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912C" w14:textId="29C60A50" w:rsidR="0023750E" w:rsidRPr="00A37967" w:rsidRDefault="00AE4FB0" w:rsidP="0023750E">
      <w:pPr>
        <w:pStyle w:val="Title"/>
      </w:pPr>
      <w:r>
        <w:rPr>
          <w:noProof/>
        </w:rPr>
        <w:drawing>
          <wp:anchor distT="0" distB="0" distL="114300" distR="114300" simplePos="0" relativeHeight="251658240" behindDoc="0" locked="0" layoutInCell="1" allowOverlap="1" wp14:anchorId="71EDB199" wp14:editId="55F8DA26">
            <wp:simplePos x="0" y="0"/>
            <wp:positionH relativeFrom="column">
              <wp:posOffset>-112803</wp:posOffset>
            </wp:positionH>
            <wp:positionV relativeFrom="paragraph">
              <wp:posOffset>0</wp:posOffset>
            </wp:positionV>
            <wp:extent cx="2273935" cy="554990"/>
            <wp:effectExtent l="0" t="0" r="0" b="0"/>
            <wp:wrapNone/>
            <wp:docPr id="3377173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1739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554990"/>
                    </a:xfrm>
                    <a:prstGeom prst="rect">
                      <a:avLst/>
                    </a:prstGeom>
                    <a:noFill/>
                  </pic:spPr>
                </pic:pic>
              </a:graphicData>
            </a:graphic>
          </wp:anchor>
        </w:drawing>
      </w:r>
      <w:r w:rsidR="00365B05" w:rsidRPr="00CA4815">
        <w:rPr>
          <w:b w:val="0"/>
          <w:bCs/>
          <w:noProof/>
        </w:rPr>
        <w:drawing>
          <wp:anchor distT="0" distB="0" distL="114300" distR="114300" simplePos="0" relativeHeight="251658242" behindDoc="1" locked="1" layoutInCell="1" allowOverlap="1" wp14:anchorId="2D865ED4" wp14:editId="27871E08">
            <wp:simplePos x="0" y="0"/>
            <wp:positionH relativeFrom="page">
              <wp:align>left</wp:align>
            </wp:positionH>
            <wp:positionV relativeFrom="paragraph">
              <wp:posOffset>-776605</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23750E" w:rsidRPr="00A37967">
        <w:t xml:space="preserve">The First Five Years: What </w:t>
      </w:r>
      <w:r w:rsidR="0023750E" w:rsidRPr="0023750E">
        <w:t>makes</w:t>
      </w:r>
      <w:r w:rsidR="0023750E" w:rsidRPr="00A37967">
        <w:t xml:space="preserve"> a difference?</w:t>
      </w:r>
    </w:p>
    <w:p w14:paraId="72022604" w14:textId="77777777" w:rsidR="0023750E" w:rsidRPr="003E6B0B" w:rsidRDefault="0023750E" w:rsidP="0023750E">
      <w:pPr>
        <w:pStyle w:val="Subtitle"/>
      </w:pPr>
      <w:r>
        <w:t>2.1 Child and family characteristics</w:t>
      </w:r>
    </w:p>
    <w:p w14:paraId="577949E8" w14:textId="77777777" w:rsidR="0023750E" w:rsidRPr="00AF7ADD" w:rsidRDefault="0023750E" w:rsidP="00DB3714">
      <w:pPr>
        <w:pStyle w:val="Heading2"/>
      </w:pPr>
      <w:r>
        <w:t>Key Findings</w:t>
      </w:r>
    </w:p>
    <w:p w14:paraId="63153D32" w14:textId="32CFA693" w:rsidR="0023750E" w:rsidRPr="00C209B7" w:rsidRDefault="0023750E" w:rsidP="0023750E">
      <w:pPr>
        <w:spacing w:line="276" w:lineRule="auto"/>
        <w:rPr>
          <w:rFonts w:eastAsiaTheme="minorEastAsia"/>
        </w:rPr>
      </w:pPr>
      <w:r w:rsidRPr="009B4501">
        <w:rPr>
          <w:rStyle w:val="normaltextrun"/>
          <w:rFonts w:ascii="Calibri" w:hAnsi="Calibri" w:cs="Calibri"/>
          <w:color w:val="000000"/>
          <w:shd w:val="clear" w:color="auto" w:fill="FFFFFF"/>
        </w:rPr>
        <w:t xml:space="preserve">We analysed the associations between </w:t>
      </w:r>
      <w:r>
        <w:rPr>
          <w:rStyle w:val="normaltextrun"/>
          <w:rFonts w:ascii="Calibri" w:hAnsi="Calibri" w:cs="Calibri"/>
          <w:color w:val="000000"/>
          <w:shd w:val="clear" w:color="auto" w:fill="FFFFFF"/>
        </w:rPr>
        <w:t xml:space="preserve">child and family characteristics </w:t>
      </w:r>
      <w:r w:rsidRPr="009B4501">
        <w:rPr>
          <w:rStyle w:val="normaltextrun"/>
          <w:rFonts w:ascii="Calibri" w:hAnsi="Calibri" w:cs="Calibri"/>
          <w:color w:val="000000"/>
          <w:shd w:val="clear" w:color="auto" w:fill="FFFFFF"/>
        </w:rPr>
        <w:t>and developmental vulnerability</w:t>
      </w:r>
      <w:r w:rsidR="00966DE0">
        <w:rPr>
          <w:rStyle w:val="normaltextrun"/>
          <w:rFonts w:ascii="Calibri" w:hAnsi="Calibri" w:cs="Calibri"/>
          <w:color w:val="000000"/>
          <w:shd w:val="clear" w:color="auto" w:fill="FFFFFF"/>
        </w:rPr>
        <w:t xml:space="preserve">. Guided by </w:t>
      </w:r>
      <w:r w:rsidR="00134786">
        <w:rPr>
          <w:rStyle w:val="normaltextrun"/>
          <w:rFonts w:ascii="Calibri" w:hAnsi="Calibri" w:cs="Calibri"/>
          <w:color w:val="000000"/>
          <w:shd w:val="clear" w:color="auto" w:fill="FFFFFF"/>
        </w:rPr>
        <w:t>the literature and the characteristics available in the data</w:t>
      </w:r>
      <w:r>
        <w:rPr>
          <w:rStyle w:val="normaltextrun"/>
          <w:rFonts w:ascii="Calibri" w:hAnsi="Calibri" w:cs="Calibri"/>
          <w:color w:val="000000"/>
          <w:shd w:val="clear" w:color="auto" w:fill="FFFFFF"/>
        </w:rPr>
        <w:t>,</w:t>
      </w:r>
      <w:r w:rsidR="00C435FF">
        <w:rPr>
          <w:rStyle w:val="normaltextrun"/>
          <w:rFonts w:ascii="Calibri" w:hAnsi="Calibri" w:cs="Calibri"/>
          <w:color w:val="000000"/>
          <w:shd w:val="clear" w:color="auto" w:fill="FFFFFF"/>
        </w:rPr>
        <w:t xml:space="preserve"> we considered</w:t>
      </w:r>
      <w:r>
        <w:rPr>
          <w:rStyle w:val="normaltextrun"/>
          <w:rFonts w:ascii="Calibri" w:hAnsi="Calibri" w:cs="Calibri"/>
          <w:color w:val="000000"/>
          <w:shd w:val="clear" w:color="auto" w:fill="FFFFFF"/>
        </w:rPr>
        <w:t xml:space="preserve"> parental education, single-parent status, socio-economic circumstances, </w:t>
      </w:r>
      <w:r w:rsidRPr="00C209B7">
        <w:rPr>
          <w:rStyle w:val="normaltextrun"/>
          <w:rFonts w:ascii="Calibri" w:hAnsi="Calibri" w:cs="Calibri"/>
          <w:color w:val="000000"/>
          <w:shd w:val="clear" w:color="auto" w:fill="FFFFFF"/>
        </w:rPr>
        <w:t>language background, maternal age, and health.</w:t>
      </w:r>
    </w:p>
    <w:p w14:paraId="40D980EE" w14:textId="31CE0F2A" w:rsidR="0023750E" w:rsidRPr="00C209B7" w:rsidRDefault="0023750E" w:rsidP="0023750E">
      <w:pPr>
        <w:pStyle w:val="ListParagraph"/>
        <w:numPr>
          <w:ilvl w:val="0"/>
          <w:numId w:val="24"/>
        </w:numPr>
        <w:rPr>
          <w:rFonts w:eastAsiaTheme="minorEastAsia"/>
        </w:rPr>
      </w:pPr>
      <w:r w:rsidRPr="00C209B7">
        <w:rPr>
          <w:rFonts w:eastAsiaTheme="minorEastAsia"/>
        </w:rPr>
        <w:t>Higher parent or carer highest educational attainment was associated with lower rates of developmental vulnerability.</w:t>
      </w:r>
    </w:p>
    <w:p w14:paraId="7333F529" w14:textId="49289314" w:rsidR="0023750E" w:rsidRDefault="0023750E" w:rsidP="0023750E">
      <w:pPr>
        <w:pStyle w:val="ListParagraph"/>
        <w:numPr>
          <w:ilvl w:val="0"/>
          <w:numId w:val="24"/>
        </w:numPr>
      </w:pPr>
      <w:r>
        <w:t>Neighbourhood socio-economic status and household income were protective factors for child development. Children of families in the third lowest household income decile had the highest overall rates of developmental vulnerability.</w:t>
      </w:r>
    </w:p>
    <w:p w14:paraId="2B5129C5" w14:textId="349F316B" w:rsidR="0023750E" w:rsidRPr="000B592C" w:rsidRDefault="0023750E" w:rsidP="0023750E">
      <w:pPr>
        <w:pStyle w:val="ListParagraph"/>
        <w:numPr>
          <w:ilvl w:val="0"/>
          <w:numId w:val="24"/>
        </w:numPr>
      </w:pPr>
      <w:r w:rsidRPr="008F11C9">
        <w:t xml:space="preserve">Children from language backgrounds other than English and those with a parent </w:t>
      </w:r>
      <w:r>
        <w:t xml:space="preserve">not </w:t>
      </w:r>
      <w:r w:rsidRPr="008F11C9">
        <w:t>born in a</w:t>
      </w:r>
      <w:r>
        <w:t>n</w:t>
      </w:r>
      <w:r w:rsidRPr="008F11C9">
        <w:t xml:space="preserve"> Organisation for Economic Cooperation and Development (OECD) country </w:t>
      </w:r>
      <w:r>
        <w:t>we</w:t>
      </w:r>
      <w:r w:rsidRPr="008F11C9">
        <w:t>re substantially more likely to be developmentally vulnerable on the communication skills and general knowledge domain.</w:t>
      </w:r>
    </w:p>
    <w:p w14:paraId="63BC386A" w14:textId="2B3FCA4D" w:rsidR="0023750E" w:rsidRDefault="004C74E5" w:rsidP="004C74E5">
      <w:pPr>
        <w:pStyle w:val="ListParagraph"/>
        <w:numPr>
          <w:ilvl w:val="0"/>
          <w:numId w:val="24"/>
        </w:numPr>
      </w:pPr>
      <w:r w:rsidRPr="004C74E5">
        <w:t>Rates of developmental vulnerability were higher among children of mothers under 20 and children of single parents.</w:t>
      </w:r>
      <w:r>
        <w:t xml:space="preserve"> </w:t>
      </w:r>
      <w:r w:rsidR="0023750E">
        <w:t xml:space="preserve">Children born when their </w:t>
      </w:r>
      <w:r w:rsidR="0023750E" w:rsidRPr="00FD0919">
        <w:t xml:space="preserve">mothers were aged between 28 and 39 years </w:t>
      </w:r>
      <w:r w:rsidR="0023750E">
        <w:t>were least likely to be developmentally vulnerable</w:t>
      </w:r>
      <w:r w:rsidR="0023750E" w:rsidRPr="00FD0919">
        <w:t>.</w:t>
      </w:r>
    </w:p>
    <w:p w14:paraId="46CD3025" w14:textId="77777777" w:rsidR="0023750E" w:rsidRDefault="0023750E" w:rsidP="0023750E">
      <w:pPr>
        <w:pStyle w:val="ListParagraph"/>
        <w:numPr>
          <w:ilvl w:val="0"/>
          <w:numId w:val="24"/>
        </w:numPr>
      </w:pPr>
      <w:r>
        <w:t>Parental mental ill-health also increased the risk of developmental vulnerability in children, particularly long-term parental mental ill-health.</w:t>
      </w:r>
    </w:p>
    <w:p w14:paraId="48BCDC06" w14:textId="77777777" w:rsidR="0023750E" w:rsidRPr="00F51C18" w:rsidRDefault="0023750E" w:rsidP="0023750E">
      <w:pPr>
        <w:pStyle w:val="Heading2"/>
        <w:spacing w:line="276" w:lineRule="auto"/>
      </w:pPr>
      <w:r>
        <w:t>P</w:t>
      </w:r>
      <w:r w:rsidRPr="00491BAE">
        <w:t>arent</w:t>
      </w:r>
      <w:r>
        <w:t xml:space="preserve"> or carer</w:t>
      </w:r>
      <w:r w:rsidRPr="00491BAE">
        <w:t xml:space="preserve"> education</w:t>
      </w:r>
      <w:r>
        <w:t>al attainment</w:t>
      </w:r>
    </w:p>
    <w:p w14:paraId="1051B131" w14:textId="2290C93B" w:rsidR="0023750E" w:rsidRDefault="0023750E" w:rsidP="0023750E">
      <w:pPr>
        <w:spacing w:line="276" w:lineRule="auto"/>
      </w:pPr>
      <w:r>
        <w:rPr>
          <w:rFonts w:eastAsia="Calibri" w:cstheme="minorHAnsi"/>
        </w:rPr>
        <w:t>The Australian Early Development Census (AEDC) reports the highest level of school and post-school education attained for up to two parents or carers</w:t>
      </w:r>
      <w:r>
        <w:rPr>
          <w:rStyle w:val="FootnoteReference"/>
          <w:rFonts w:eastAsia="Calibri" w:cstheme="minorHAnsi"/>
        </w:rPr>
        <w:footnoteReference w:id="2"/>
      </w:r>
      <w:r>
        <w:rPr>
          <w:rFonts w:eastAsia="Calibri" w:cstheme="minorHAnsi"/>
        </w:rPr>
        <w:t xml:space="preserve">. We used this information to derive the highest educational attainment of the most educated and least educated parent or carer for each child (see </w:t>
      </w:r>
      <w:r w:rsidRPr="00FF66C4">
        <w:rPr>
          <w:rFonts w:eastAsia="Calibri" w:cstheme="minorHAnsi"/>
          <w:i/>
          <w:iCs/>
        </w:rPr>
        <w:t>Methodology</w:t>
      </w:r>
      <w:r>
        <w:rPr>
          <w:rFonts w:eastAsia="Calibri" w:cstheme="minorHAnsi"/>
        </w:rPr>
        <w:t xml:space="preserve"> section).</w:t>
      </w:r>
    </w:p>
    <w:p w14:paraId="29076491" w14:textId="2784A1AB" w:rsidR="0023750E" w:rsidRDefault="0023750E" w:rsidP="0023750E">
      <w:pPr>
        <w:spacing w:line="276" w:lineRule="auto"/>
        <w:rPr>
          <w:rFonts w:eastAsia="Calibri"/>
        </w:rPr>
      </w:pPr>
      <w:r>
        <w:t>Overall, we</w:t>
      </w:r>
      <w:r>
        <w:rPr>
          <w:rFonts w:eastAsia="Calibri" w:cstheme="minorHAnsi"/>
        </w:rPr>
        <w:t xml:space="preserve"> found higher levels of parent or carer educational attainment were associated with lower rates of child developmental vulnerability, both for the most educated parent (Figure 1), and for each parent individually (Figure 2). </w:t>
      </w:r>
      <w:r w:rsidRPr="7123F044">
        <w:rPr>
          <w:rFonts w:eastAsia="Calibri"/>
        </w:rPr>
        <w:t>These</w:t>
      </w:r>
      <w:r w:rsidRPr="7123F044">
        <w:rPr>
          <w:rFonts w:ascii="Calibri" w:eastAsia="Calibri" w:hAnsi="Calibri" w:cs="Calibri"/>
        </w:rPr>
        <w:t xml:space="preserve"> results are</w:t>
      </w:r>
      <w:r>
        <w:rPr>
          <w:rFonts w:ascii="Calibri" w:eastAsia="Calibri" w:hAnsi="Calibri" w:cs="Calibri"/>
        </w:rPr>
        <w:t xml:space="preserve"> consistent with previous studies, which </w:t>
      </w:r>
      <w:r>
        <w:t>have identified family education levels as a key</w:t>
      </w:r>
      <w:r w:rsidR="005E3CB9">
        <w:t xml:space="preserve"> </w:t>
      </w:r>
      <w:r>
        <w:t xml:space="preserve">attribute related to developmental vulnerability, typically with a focus on maternal education (Kohl and Hobbs 1998; Lapointe et al. 2007; Noble et al. 2015; </w:t>
      </w:r>
      <w:proofErr w:type="spellStart"/>
      <w:r>
        <w:t>Comuk</w:t>
      </w:r>
      <w:proofErr w:type="spellEnd"/>
      <w:r>
        <w:t xml:space="preserve">-Balci et al. 2016). </w:t>
      </w:r>
      <w:r w:rsidRPr="7123F044">
        <w:rPr>
          <w:rFonts w:ascii="Calibri" w:eastAsia="Calibri" w:hAnsi="Calibri" w:cs="Calibri"/>
        </w:rPr>
        <w:t>Past research suggests</w:t>
      </w:r>
      <w:r>
        <w:rPr>
          <w:rFonts w:ascii="Calibri" w:eastAsia="Calibri" w:hAnsi="Calibri" w:cs="Calibri"/>
        </w:rPr>
        <w:t xml:space="preserve"> the mechanism behind this relationship may stem from associated attributes like intellectual capability and greater income (</w:t>
      </w:r>
      <w:proofErr w:type="spellStart"/>
      <w:r>
        <w:rPr>
          <w:rFonts w:ascii="Calibri" w:hAnsi="Calibri"/>
        </w:rPr>
        <w:t>Venetsanou</w:t>
      </w:r>
      <w:proofErr w:type="spellEnd"/>
      <w:r>
        <w:rPr>
          <w:rFonts w:ascii="Calibri" w:hAnsi="Calibri"/>
        </w:rPr>
        <w:t xml:space="preserve"> </w:t>
      </w:r>
      <w:r>
        <w:rPr>
          <w:rFonts w:ascii="Calibri" w:hAnsi="Calibri"/>
          <w:iCs/>
        </w:rPr>
        <w:t xml:space="preserve">and </w:t>
      </w:r>
      <w:proofErr w:type="spellStart"/>
      <w:r>
        <w:rPr>
          <w:rFonts w:ascii="Calibri" w:hAnsi="Calibri"/>
          <w:iCs/>
        </w:rPr>
        <w:t>Kambas</w:t>
      </w:r>
      <w:proofErr w:type="spellEnd"/>
      <w:r>
        <w:rPr>
          <w:rFonts w:ascii="Calibri" w:hAnsi="Calibri"/>
        </w:rPr>
        <w:t xml:space="preserve"> 2010; </w:t>
      </w:r>
      <w:r>
        <w:t>Noble et al. 2015)</w:t>
      </w:r>
      <w:r>
        <w:rPr>
          <w:rFonts w:ascii="Calibri" w:eastAsia="Calibri" w:hAnsi="Calibri" w:cs="Calibri"/>
        </w:rPr>
        <w:t xml:space="preserve">. Additionally, </w:t>
      </w:r>
      <w:r w:rsidRPr="7123F044">
        <w:rPr>
          <w:rFonts w:ascii="Calibri" w:eastAsia="Calibri" w:hAnsi="Calibri" w:cs="Calibri"/>
        </w:rPr>
        <w:t>previous studies indicate</w:t>
      </w:r>
      <w:r>
        <w:rPr>
          <w:rFonts w:ascii="Calibri" w:eastAsia="Calibri" w:hAnsi="Calibri" w:cs="Calibri"/>
        </w:rPr>
        <w:t xml:space="preserve"> that parental education may contribute to child development through more stimulating environments, positive psychology and greater literacy of health and child rearing practises (</w:t>
      </w:r>
      <w:proofErr w:type="spellStart"/>
      <w:r>
        <w:rPr>
          <w:rFonts w:ascii="Calibri" w:hAnsi="Calibri"/>
        </w:rPr>
        <w:t>Venetsanou</w:t>
      </w:r>
      <w:proofErr w:type="spellEnd"/>
      <w:r>
        <w:rPr>
          <w:rFonts w:ascii="Calibri" w:hAnsi="Calibri"/>
        </w:rPr>
        <w:t xml:space="preserve"> </w:t>
      </w:r>
      <w:r>
        <w:rPr>
          <w:rFonts w:ascii="Calibri" w:hAnsi="Calibri"/>
          <w:iCs/>
        </w:rPr>
        <w:t xml:space="preserve">and </w:t>
      </w:r>
      <w:proofErr w:type="spellStart"/>
      <w:r>
        <w:rPr>
          <w:rFonts w:ascii="Calibri" w:hAnsi="Calibri"/>
          <w:iCs/>
        </w:rPr>
        <w:t>Kambas</w:t>
      </w:r>
      <w:proofErr w:type="spellEnd"/>
      <w:r>
        <w:rPr>
          <w:rFonts w:ascii="Calibri" w:hAnsi="Calibri"/>
        </w:rPr>
        <w:t xml:space="preserve"> 2010; </w:t>
      </w:r>
      <w:proofErr w:type="spellStart"/>
      <w:r>
        <w:rPr>
          <w:rFonts w:ascii="Calibri" w:hAnsi="Calibri"/>
        </w:rPr>
        <w:t>Comuk</w:t>
      </w:r>
      <w:proofErr w:type="spellEnd"/>
      <w:r>
        <w:rPr>
          <w:rFonts w:ascii="Calibri" w:hAnsi="Calibri"/>
        </w:rPr>
        <w:t xml:space="preserve">-Balci </w:t>
      </w:r>
      <w:r>
        <w:rPr>
          <w:rFonts w:ascii="Calibri" w:hAnsi="Calibri"/>
          <w:iCs/>
        </w:rPr>
        <w:t>et al.</w:t>
      </w:r>
      <w:r>
        <w:rPr>
          <w:rFonts w:ascii="Calibri" w:hAnsi="Calibri"/>
        </w:rPr>
        <w:t xml:space="preserve"> 2016)</w:t>
      </w:r>
      <w:r>
        <w:rPr>
          <w:rFonts w:ascii="Calibri" w:eastAsia="Calibri" w:hAnsi="Calibri" w:cs="Calibri"/>
        </w:rPr>
        <w:t>.</w:t>
      </w:r>
    </w:p>
    <w:p w14:paraId="1BA9D842" w14:textId="77777777" w:rsidR="0023750E" w:rsidRDefault="0023750E" w:rsidP="005E52A4">
      <w:pPr>
        <w:pStyle w:val="Caption"/>
      </w:pPr>
      <w:r w:rsidRPr="00AA028A">
        <w:rPr>
          <w:rFonts w:ascii="Calibri" w:eastAsia="Calibri" w:hAnsi="Calibri" w:cs="Calibri"/>
        </w:rPr>
        <w:t xml:space="preserve">Figure 1. </w:t>
      </w:r>
      <w:r w:rsidRPr="00AA028A">
        <w:t>Proportion</w:t>
      </w:r>
      <w:r>
        <w:t xml:space="preserve"> (%)</w:t>
      </w:r>
      <w:r w:rsidRPr="00AA028A">
        <w:t xml:space="preserve"> </w:t>
      </w:r>
      <w:r>
        <w:t>of children who are d</w:t>
      </w:r>
      <w:r w:rsidRPr="1D1D130D">
        <w:t>evelopmental</w:t>
      </w:r>
      <w:r>
        <w:t>ly</w:t>
      </w:r>
      <w:r w:rsidRPr="1D1D130D">
        <w:t xml:space="preserve"> vulnerab</w:t>
      </w:r>
      <w:r>
        <w:t>le on one or more domains, by highest educational attainment of most educated parent, 2018 AEDC cohort.</w:t>
      </w:r>
    </w:p>
    <w:p w14:paraId="5DDA1DB0" w14:textId="77777777" w:rsidR="0023750E" w:rsidRPr="003129FD" w:rsidRDefault="0023750E" w:rsidP="00B9354A">
      <w:pPr>
        <w:keepNext/>
        <w:spacing w:after="0" w:line="276" w:lineRule="auto"/>
        <w:jc w:val="center"/>
        <w:rPr>
          <w:rFonts w:ascii="Calibri" w:eastAsia="Calibri" w:hAnsi="Calibri" w:cs="Calibri"/>
          <w:b/>
          <w:bCs/>
          <w:color w:val="404040" w:themeColor="text1" w:themeTint="BF"/>
          <w:sz w:val="26"/>
          <w:szCs w:val="26"/>
        </w:rPr>
      </w:pPr>
      <w:r>
        <w:rPr>
          <w:noProof/>
        </w:rPr>
        <w:drawing>
          <wp:inline distT="0" distB="0" distL="0" distR="0" wp14:anchorId="6145D890" wp14:editId="7D8F1791">
            <wp:extent cx="4822825" cy="2436126"/>
            <wp:effectExtent l="0" t="0" r="15875" b="2540"/>
            <wp:docPr id="861642049" name="Chart 1" descr="Figure 1 shows that higher levels of the most educated parent or carer educational attainment were associated with lower rates of child developmental vulnerability.">
              <a:extLst xmlns:a="http://schemas.openxmlformats.org/drawingml/2006/main">
                <a:ext uri="{FF2B5EF4-FFF2-40B4-BE49-F238E27FC236}">
                  <a16:creationId xmlns:a16="http://schemas.microsoft.com/office/drawing/2014/main" id="{DE069D3C-9702-444D-A6C1-1D0E84D2A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B1CE3E" w14:textId="17426CBF" w:rsidR="0023750E" w:rsidRPr="00FF37E9" w:rsidRDefault="0023750E" w:rsidP="00B9354A">
      <w:pPr>
        <w:pStyle w:val="Source"/>
        <w:keepNext/>
      </w:pPr>
      <w:r w:rsidRPr="004A3CEE">
        <w:rPr>
          <w:b/>
          <w:bCs/>
        </w:rPr>
        <w:t>Source</w:t>
      </w:r>
      <w:r w:rsidRPr="000E627D">
        <w:rPr>
          <w:b/>
        </w:rPr>
        <w:t>:</w:t>
      </w:r>
      <w:r w:rsidRPr="004A3CEE">
        <w:t xml:space="preserve"> </w:t>
      </w:r>
      <w:r w:rsidRPr="000E627D">
        <w:rPr>
          <w:rStyle w:val="normaltextrun"/>
        </w:rPr>
        <w:t>Customised ‘First Five Years’ extract from the Multi-Agency Data Integration Project</w:t>
      </w:r>
      <w:r w:rsidRPr="000E627D">
        <w:rPr>
          <w:rStyle w:val="eop"/>
        </w:rPr>
        <w:t>.</w:t>
      </w:r>
    </w:p>
    <w:p w14:paraId="2741EA2E" w14:textId="263AF0AB" w:rsidR="0023750E" w:rsidRPr="000E627D" w:rsidRDefault="0023750E" w:rsidP="00B9354A">
      <w:pPr>
        <w:pStyle w:val="Source"/>
        <w:keepNext/>
      </w:pPr>
      <w:r w:rsidRPr="00FF37E9">
        <w:rPr>
          <w:b/>
          <w:bCs/>
        </w:rPr>
        <w:t>Notes</w:t>
      </w:r>
      <w:r w:rsidRPr="000E627D">
        <w:rPr>
          <w:b/>
        </w:rPr>
        <w:t>:</w:t>
      </w:r>
      <w:r w:rsidRPr="00FF37E9">
        <w:t xml:space="preserve"> </w:t>
      </w:r>
      <w:r w:rsidRPr="000E627D">
        <w:rPr>
          <w:rStyle w:val="normaltextrun"/>
        </w:rPr>
        <w:t>This figure compares children from the 2018 cohort of the Australian Early Development Census.</w:t>
      </w:r>
      <w:r w:rsidRPr="00495DFC">
        <w:t xml:space="preserve"> </w:t>
      </w:r>
      <w:r w:rsidRPr="00DA3062">
        <w:t>N = 259,034</w:t>
      </w:r>
      <w:r w:rsidRPr="00273D54">
        <w:t xml:space="preserve">. </w:t>
      </w:r>
      <w:r w:rsidRPr="00495DFC">
        <w:t>Grouped by highest education</w:t>
      </w:r>
      <w:r>
        <w:t>al attainment</w:t>
      </w:r>
      <w:r w:rsidRPr="00495DFC">
        <w:t xml:space="preserve"> of </w:t>
      </w:r>
      <w:r>
        <w:t xml:space="preserve">most educated </w:t>
      </w:r>
      <w:r w:rsidRPr="00495DFC">
        <w:t>parent</w:t>
      </w:r>
      <w:r>
        <w:t xml:space="preserve"> or carer.</w:t>
      </w:r>
    </w:p>
    <w:p w14:paraId="26C1AF65" w14:textId="3E2F97E7" w:rsidR="0023750E" w:rsidRDefault="0023750E" w:rsidP="0023750E">
      <w:pPr>
        <w:spacing w:line="276" w:lineRule="auto"/>
      </w:pPr>
      <w:r>
        <w:rPr>
          <w:rFonts w:ascii="Calibri" w:eastAsia="Calibri" w:hAnsi="Calibri" w:cs="Calibri"/>
        </w:rPr>
        <w:t xml:space="preserve">For children with two parents or carers listed in the AEDC, we found that higher educational attainment in both parents/carers positively impacted child development. </w:t>
      </w:r>
      <w:r>
        <w:t>Figure 2 shows how different combinations of parent or carer educational attainment were associated with the risk of child developmental vulnerability.</w:t>
      </w:r>
    </w:p>
    <w:p w14:paraId="79831213" w14:textId="77777777" w:rsidR="006D3F4A" w:rsidRDefault="0023750E" w:rsidP="005E52A4">
      <w:pPr>
        <w:pStyle w:val="Caption"/>
        <w:rPr>
          <w:noProof/>
        </w:rPr>
      </w:pPr>
      <w:r>
        <w:rPr>
          <w:rFonts w:ascii="Calibri" w:eastAsia="Calibri" w:hAnsi="Calibri" w:cs="Calibri"/>
        </w:rPr>
        <w:t xml:space="preserve">Figure 2. </w:t>
      </w:r>
      <w:r>
        <w:t>Proportion (%) of children who are developmentally vulnerable on one or more domains, by highest educational attainment of the most educated and the least educated parents or carers, 2018 AEDC cohort.</w:t>
      </w:r>
      <w:r w:rsidR="006D3F4A" w:rsidRPr="006D3F4A">
        <w:rPr>
          <w:noProof/>
        </w:rPr>
        <w:t xml:space="preserve"> </w:t>
      </w:r>
    </w:p>
    <w:p w14:paraId="6F727082" w14:textId="7ED2D6B0" w:rsidR="0023750E" w:rsidRDefault="006D3F4A" w:rsidP="005E52A4">
      <w:pPr>
        <w:pStyle w:val="Caption"/>
      </w:pPr>
      <w:r w:rsidRPr="000A125C">
        <w:rPr>
          <w:noProof/>
        </w:rPr>
        <mc:AlternateContent>
          <mc:Choice Requires="wps">
            <w:drawing>
              <wp:inline distT="0" distB="0" distL="0" distR="0" wp14:anchorId="444F454C" wp14:editId="30223F04">
                <wp:extent cx="5494020" cy="2822575"/>
                <wp:effectExtent l="0" t="0" r="0" b="0"/>
                <wp:docPr id="217" name="Text Box 2" descr="Figure 2 shows that higher levels of parent or carer educational attainment were associated with lower rates of child developmental vulnerability, for both the parents or car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351" cy="2822575"/>
                        </a:xfrm>
                        <a:prstGeom prst="rect">
                          <a:avLst/>
                        </a:prstGeom>
                        <a:solidFill>
                          <a:srgbClr val="FFFFFF"/>
                        </a:solidFill>
                        <a:ln w="9525">
                          <a:noFill/>
                          <a:miter lim="800000"/>
                          <a:headEnd/>
                          <a:tailEnd/>
                        </a:ln>
                      </wps:spPr>
                      <wps:txbx>
                        <w:txbxContent>
                          <w:tbl>
                            <w:tblPr>
                              <w:tblW w:w="10440" w:type="dxa"/>
                              <w:tblLayout w:type="fixed"/>
                              <w:tblLook w:val="04A0" w:firstRow="1" w:lastRow="0" w:firstColumn="1" w:lastColumn="0" w:noHBand="0" w:noVBand="1"/>
                            </w:tblPr>
                            <w:tblGrid>
                              <w:gridCol w:w="425"/>
                              <w:gridCol w:w="1542"/>
                              <w:gridCol w:w="898"/>
                              <w:gridCol w:w="787"/>
                              <w:gridCol w:w="112"/>
                              <w:gridCol w:w="898"/>
                              <w:gridCol w:w="982"/>
                              <w:gridCol w:w="490"/>
                              <w:gridCol w:w="411"/>
                              <w:gridCol w:w="227"/>
                              <w:gridCol w:w="672"/>
                              <w:gridCol w:w="906"/>
                              <w:gridCol w:w="236"/>
                              <w:gridCol w:w="898"/>
                              <w:gridCol w:w="411"/>
                              <w:gridCol w:w="545"/>
                            </w:tblGrid>
                            <w:tr w:rsidR="006D3F4A" w14:paraId="5DB7BEA3" w14:textId="77777777">
                              <w:trPr>
                                <w:gridAfter w:val="1"/>
                                <w:wAfter w:w="545" w:type="dxa"/>
                                <w:trHeight w:val="378"/>
                              </w:trPr>
                              <w:tc>
                                <w:tcPr>
                                  <w:tcW w:w="425" w:type="dxa"/>
                                  <w:shd w:val="clear" w:color="auto" w:fill="FFFFFF"/>
                                  <w:noWrap/>
                                  <w:vAlign w:val="bottom"/>
                                  <w:hideMark/>
                                </w:tcPr>
                                <w:p w14:paraId="0BAEE02E"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542" w:type="dxa"/>
                                  <w:shd w:val="clear" w:color="auto" w:fill="FFFFFF"/>
                                  <w:noWrap/>
                                  <w:vAlign w:val="bottom"/>
                                  <w:hideMark/>
                                </w:tcPr>
                                <w:p w14:paraId="4EDAF018" w14:textId="77777777" w:rsidR="006D3F4A" w:rsidRDefault="006D3F4A">
                                  <w:pPr>
                                    <w:spacing w:after="0" w:line="256"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w:t>
                                  </w:r>
                                </w:p>
                              </w:tc>
                              <w:tc>
                                <w:tcPr>
                                  <w:tcW w:w="6383" w:type="dxa"/>
                                  <w:gridSpan w:val="10"/>
                                  <w:shd w:val="clear" w:color="auto" w:fill="FFFFFF"/>
                                  <w:noWrap/>
                                  <w:hideMark/>
                                </w:tcPr>
                                <w:p w14:paraId="4039A914" w14:textId="77777777" w:rsidR="006D3F4A" w:rsidRDefault="006D3F4A">
                                  <w:pPr>
                                    <w:spacing w:after="0" w:line="256" w:lineRule="auto"/>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More-educated parent</w:t>
                                  </w:r>
                                </w:p>
                              </w:tc>
                              <w:tc>
                                <w:tcPr>
                                  <w:tcW w:w="1545" w:type="dxa"/>
                                  <w:gridSpan w:val="3"/>
                                  <w:shd w:val="clear" w:color="auto" w:fill="FFFFFF"/>
                                  <w:noWrap/>
                                </w:tcPr>
                                <w:p w14:paraId="7F182E5E" w14:textId="77777777" w:rsidR="006D3F4A" w:rsidRDefault="006D3F4A">
                                  <w:pPr>
                                    <w:spacing w:after="0" w:line="256" w:lineRule="auto"/>
                                    <w:rPr>
                                      <w:rFonts w:ascii="Calibri" w:eastAsia="Times New Roman" w:hAnsi="Calibri" w:cs="Calibri"/>
                                      <w:b/>
                                      <w:bCs/>
                                      <w:color w:val="000000"/>
                                      <w:sz w:val="20"/>
                                      <w:szCs w:val="20"/>
                                      <w:lang w:eastAsia="en-AU"/>
                                    </w:rPr>
                                  </w:pPr>
                                </w:p>
                              </w:tc>
                            </w:tr>
                            <w:tr w:rsidR="006D3F4A" w14:paraId="60545B8F" w14:textId="77777777">
                              <w:trPr>
                                <w:gridAfter w:val="2"/>
                                <w:wAfter w:w="956" w:type="dxa"/>
                                <w:trHeight w:val="906"/>
                              </w:trPr>
                              <w:tc>
                                <w:tcPr>
                                  <w:tcW w:w="425" w:type="dxa"/>
                                  <w:shd w:val="clear" w:color="auto" w:fill="FFFFFF"/>
                                  <w:noWrap/>
                                  <w:vAlign w:val="bottom"/>
                                  <w:hideMark/>
                                </w:tcPr>
                                <w:p w14:paraId="6D196208" w14:textId="77777777" w:rsidR="006D3F4A" w:rsidRDefault="006D3F4A">
                                  <w:pPr>
                                    <w:spacing w:after="0" w:line="256" w:lineRule="auto"/>
                                    <w:rPr>
                                      <w:rFonts w:ascii="Calibri" w:eastAsia="Times New Roman" w:hAnsi="Calibri" w:cs="Calibri"/>
                                      <w:color w:val="FFFFFF"/>
                                      <w:lang w:eastAsia="en-AU"/>
                                    </w:rPr>
                                  </w:pPr>
                                  <w:r>
                                    <w:rPr>
                                      <w:rFonts w:ascii="Calibri" w:eastAsia="Times New Roman" w:hAnsi="Calibri" w:cs="Calibri"/>
                                      <w:color w:val="FFFFFF"/>
                                      <w:lang w:eastAsia="en-AU"/>
                                    </w:rPr>
                                    <w:t> </w:t>
                                  </w:r>
                                </w:p>
                              </w:tc>
                              <w:tc>
                                <w:tcPr>
                                  <w:tcW w:w="1542" w:type="dxa"/>
                                  <w:shd w:val="clear" w:color="auto" w:fill="FFFFFF"/>
                                  <w:noWrap/>
                                  <w:vAlign w:val="bottom"/>
                                  <w:hideMark/>
                                </w:tcPr>
                                <w:p w14:paraId="01D2BF8D" w14:textId="77777777" w:rsidR="006D3F4A" w:rsidRDefault="006D3F4A">
                                  <w:pPr>
                                    <w:spacing w:after="0" w:line="256"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98" w:type="dxa"/>
                                  <w:shd w:val="clear" w:color="auto" w:fill="FFFFFF"/>
                                  <w:hideMark/>
                                </w:tcPr>
                                <w:p w14:paraId="0D0B3468"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Bachelor degree or above</w:t>
                                  </w:r>
                                </w:p>
                              </w:tc>
                              <w:tc>
                                <w:tcPr>
                                  <w:tcW w:w="899" w:type="dxa"/>
                                  <w:gridSpan w:val="2"/>
                                  <w:shd w:val="clear" w:color="auto" w:fill="FFFFFF"/>
                                  <w:hideMark/>
                                </w:tcPr>
                                <w:p w14:paraId="01E62565"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Advanced Diploma or Diploma</w:t>
                                  </w:r>
                                </w:p>
                              </w:tc>
                              <w:tc>
                                <w:tcPr>
                                  <w:tcW w:w="898" w:type="dxa"/>
                                  <w:shd w:val="clear" w:color="auto" w:fill="FFFFFF"/>
                                  <w:hideMark/>
                                </w:tcPr>
                                <w:p w14:paraId="75355338"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Certificate level I to IV</w:t>
                                  </w:r>
                                </w:p>
                              </w:tc>
                              <w:tc>
                                <w:tcPr>
                                  <w:tcW w:w="982" w:type="dxa"/>
                                  <w:shd w:val="clear" w:color="auto" w:fill="FFFFFF"/>
                                  <w:hideMark/>
                                </w:tcPr>
                                <w:p w14:paraId="19C67D7E"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12</w:t>
                                  </w:r>
                                </w:p>
                              </w:tc>
                              <w:tc>
                                <w:tcPr>
                                  <w:tcW w:w="901" w:type="dxa"/>
                                  <w:gridSpan w:val="2"/>
                                  <w:shd w:val="clear" w:color="auto" w:fill="FFFFFF"/>
                                  <w:hideMark/>
                                </w:tcPr>
                                <w:p w14:paraId="6EC90EE1"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11</w:t>
                                  </w:r>
                                </w:p>
                              </w:tc>
                              <w:tc>
                                <w:tcPr>
                                  <w:tcW w:w="899" w:type="dxa"/>
                                  <w:gridSpan w:val="2"/>
                                  <w:shd w:val="clear" w:color="auto" w:fill="FFFFFF"/>
                                  <w:hideMark/>
                                </w:tcPr>
                                <w:p w14:paraId="324CD236"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10</w:t>
                                  </w:r>
                                </w:p>
                              </w:tc>
                              <w:tc>
                                <w:tcPr>
                                  <w:tcW w:w="906" w:type="dxa"/>
                                  <w:shd w:val="clear" w:color="auto" w:fill="FFFFFF"/>
                                  <w:hideMark/>
                                </w:tcPr>
                                <w:p w14:paraId="482940DA"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9 or below</w:t>
                                  </w:r>
                                </w:p>
                              </w:tc>
                              <w:tc>
                                <w:tcPr>
                                  <w:tcW w:w="236" w:type="dxa"/>
                                  <w:shd w:val="clear" w:color="auto" w:fill="FFFFFF"/>
                                  <w:noWrap/>
                                  <w:vAlign w:val="bottom"/>
                                </w:tcPr>
                                <w:p w14:paraId="71A9BFDD" w14:textId="77777777" w:rsidR="006D3F4A" w:rsidRDefault="006D3F4A">
                                  <w:pPr>
                                    <w:spacing w:after="0" w:line="256" w:lineRule="auto"/>
                                    <w:rPr>
                                      <w:rFonts w:ascii="Calibri" w:eastAsia="Times New Roman" w:hAnsi="Calibri" w:cs="Calibri"/>
                                      <w:color w:val="000000"/>
                                      <w:lang w:eastAsia="en-AU"/>
                                    </w:rPr>
                                  </w:pPr>
                                </w:p>
                              </w:tc>
                              <w:tc>
                                <w:tcPr>
                                  <w:tcW w:w="898" w:type="dxa"/>
                                  <w:noWrap/>
                                  <w:vAlign w:val="bottom"/>
                                </w:tcPr>
                                <w:p w14:paraId="183264DE" w14:textId="77777777" w:rsidR="006D3F4A" w:rsidRDefault="006D3F4A">
                                  <w:pPr>
                                    <w:spacing w:after="0" w:line="256" w:lineRule="auto"/>
                                    <w:rPr>
                                      <w:rFonts w:ascii="Calibri" w:eastAsia="Times New Roman" w:hAnsi="Calibri" w:cs="Calibri"/>
                                      <w:color w:val="000000"/>
                                      <w:lang w:eastAsia="en-AU"/>
                                    </w:rPr>
                                  </w:pPr>
                                </w:p>
                              </w:tc>
                            </w:tr>
                            <w:tr w:rsidR="006D3F4A" w14:paraId="177D03C9" w14:textId="77777777">
                              <w:trPr>
                                <w:gridAfter w:val="2"/>
                                <w:wAfter w:w="956" w:type="dxa"/>
                                <w:trHeight w:val="417"/>
                              </w:trPr>
                              <w:tc>
                                <w:tcPr>
                                  <w:tcW w:w="425" w:type="dxa"/>
                                  <w:vMerge w:val="restart"/>
                                  <w:shd w:val="clear" w:color="auto" w:fill="FFFFFF"/>
                                  <w:textDirection w:val="btLr"/>
                                  <w:vAlign w:val="center"/>
                                  <w:hideMark/>
                                </w:tcPr>
                                <w:p w14:paraId="1F495EA8" w14:textId="77777777" w:rsidR="006D3F4A" w:rsidRDefault="006D3F4A">
                                  <w:pPr>
                                    <w:spacing w:after="0" w:line="256" w:lineRule="auto"/>
                                    <w:jc w:val="center"/>
                                    <w:rPr>
                                      <w:rFonts w:ascii="Calibri" w:eastAsia="Times New Roman" w:hAnsi="Calibri" w:cs="Calibri"/>
                                      <w:b/>
                                      <w:bCs/>
                                      <w:lang w:eastAsia="en-AU"/>
                                    </w:rPr>
                                  </w:pPr>
                                  <w:r>
                                    <w:rPr>
                                      <w:rFonts w:ascii="Calibri" w:eastAsia="Times New Roman" w:hAnsi="Calibri" w:cs="Calibri"/>
                                      <w:b/>
                                      <w:bCs/>
                                      <w:sz w:val="20"/>
                                      <w:szCs w:val="20"/>
                                      <w:lang w:eastAsia="en-AU"/>
                                    </w:rPr>
                                    <w:t>Less-educated parent</w:t>
                                  </w:r>
                                </w:p>
                              </w:tc>
                              <w:tc>
                                <w:tcPr>
                                  <w:tcW w:w="1542" w:type="dxa"/>
                                  <w:shd w:val="clear" w:color="auto" w:fill="FFFFFF"/>
                                  <w:noWrap/>
                                  <w:vAlign w:val="center"/>
                                  <w:hideMark/>
                                </w:tcPr>
                                <w:p w14:paraId="5CC12779"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Bachelor degree or above</w:t>
                                  </w:r>
                                </w:p>
                              </w:tc>
                              <w:tc>
                                <w:tcPr>
                                  <w:tcW w:w="898" w:type="dxa"/>
                                  <w:shd w:val="clear" w:color="auto" w:fill="004F9D"/>
                                  <w:noWrap/>
                                  <w:vAlign w:val="center"/>
                                  <w:hideMark/>
                                </w:tcPr>
                                <w:p w14:paraId="791441F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13%</w:t>
                                  </w:r>
                                </w:p>
                              </w:tc>
                              <w:tc>
                                <w:tcPr>
                                  <w:tcW w:w="899" w:type="dxa"/>
                                  <w:gridSpan w:val="2"/>
                                  <w:shd w:val="clear" w:color="auto" w:fill="FFFFFF"/>
                                  <w:noWrap/>
                                  <w:vAlign w:val="center"/>
                                  <w:hideMark/>
                                </w:tcPr>
                                <w:p w14:paraId="1934A2D7"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8" w:type="dxa"/>
                                  <w:shd w:val="clear" w:color="auto" w:fill="FFFFFF"/>
                                  <w:noWrap/>
                                  <w:vAlign w:val="center"/>
                                  <w:hideMark/>
                                </w:tcPr>
                                <w:p w14:paraId="1357C56F"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82" w:type="dxa"/>
                                  <w:shd w:val="clear" w:color="auto" w:fill="FFFFFF"/>
                                  <w:noWrap/>
                                  <w:vAlign w:val="center"/>
                                  <w:hideMark/>
                                </w:tcPr>
                                <w:p w14:paraId="293DF71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1" w:type="dxa"/>
                                  <w:gridSpan w:val="2"/>
                                  <w:shd w:val="clear" w:color="auto" w:fill="FFFFFF"/>
                                  <w:noWrap/>
                                  <w:vAlign w:val="center"/>
                                  <w:hideMark/>
                                </w:tcPr>
                                <w:p w14:paraId="493BDC1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1876DF1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2359E19B"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4A30C622"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4C2DE37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4DC58A1C" w14:textId="77777777">
                              <w:trPr>
                                <w:gridAfter w:val="2"/>
                                <w:wAfter w:w="956" w:type="dxa"/>
                                <w:trHeight w:val="417"/>
                              </w:trPr>
                              <w:tc>
                                <w:tcPr>
                                  <w:tcW w:w="425" w:type="dxa"/>
                                  <w:vMerge/>
                                  <w:vAlign w:val="center"/>
                                  <w:hideMark/>
                                </w:tcPr>
                                <w:p w14:paraId="3206F389"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4FB9AD7A"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Advanced Diploma or Diploma</w:t>
                                  </w:r>
                                </w:p>
                              </w:tc>
                              <w:tc>
                                <w:tcPr>
                                  <w:tcW w:w="898" w:type="dxa"/>
                                  <w:shd w:val="clear" w:color="auto" w:fill="114A93"/>
                                  <w:noWrap/>
                                  <w:vAlign w:val="center"/>
                                  <w:hideMark/>
                                </w:tcPr>
                                <w:p w14:paraId="214111F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15%</w:t>
                                  </w:r>
                                </w:p>
                              </w:tc>
                              <w:tc>
                                <w:tcPr>
                                  <w:tcW w:w="899" w:type="dxa"/>
                                  <w:gridSpan w:val="2"/>
                                  <w:shd w:val="clear" w:color="auto" w:fill="2B4282"/>
                                  <w:noWrap/>
                                  <w:vAlign w:val="center"/>
                                  <w:hideMark/>
                                </w:tcPr>
                                <w:p w14:paraId="5859FE4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19%</w:t>
                                  </w:r>
                                </w:p>
                              </w:tc>
                              <w:tc>
                                <w:tcPr>
                                  <w:tcW w:w="898" w:type="dxa"/>
                                  <w:shd w:val="clear" w:color="auto" w:fill="FFFFFF"/>
                                  <w:noWrap/>
                                  <w:vAlign w:val="center"/>
                                  <w:hideMark/>
                                </w:tcPr>
                                <w:p w14:paraId="0F7BC3D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82" w:type="dxa"/>
                                  <w:shd w:val="clear" w:color="auto" w:fill="FFFFFF"/>
                                  <w:noWrap/>
                                  <w:vAlign w:val="center"/>
                                  <w:hideMark/>
                                </w:tcPr>
                                <w:p w14:paraId="1A14690B"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1" w:type="dxa"/>
                                  <w:gridSpan w:val="2"/>
                                  <w:shd w:val="clear" w:color="auto" w:fill="FFFFFF"/>
                                  <w:noWrap/>
                                  <w:vAlign w:val="center"/>
                                  <w:hideMark/>
                                </w:tcPr>
                                <w:p w14:paraId="1C0E9A5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7744098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082E0E3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69E3C777"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6268139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7C7AA6BF" w14:textId="77777777">
                              <w:trPr>
                                <w:gridAfter w:val="2"/>
                                <w:wAfter w:w="956" w:type="dxa"/>
                                <w:trHeight w:val="417"/>
                              </w:trPr>
                              <w:tc>
                                <w:tcPr>
                                  <w:tcW w:w="425" w:type="dxa"/>
                                  <w:vMerge/>
                                  <w:vAlign w:val="center"/>
                                  <w:hideMark/>
                                </w:tcPr>
                                <w:p w14:paraId="2E503BB9"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57100318"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Certificate level I to IV</w:t>
                                  </w:r>
                                </w:p>
                              </w:tc>
                              <w:tc>
                                <w:tcPr>
                                  <w:tcW w:w="898" w:type="dxa"/>
                                  <w:shd w:val="clear" w:color="auto" w:fill="104A93"/>
                                  <w:noWrap/>
                                  <w:vAlign w:val="center"/>
                                  <w:hideMark/>
                                </w:tcPr>
                                <w:p w14:paraId="1C53963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15%</w:t>
                                  </w:r>
                                </w:p>
                              </w:tc>
                              <w:tc>
                                <w:tcPr>
                                  <w:tcW w:w="899" w:type="dxa"/>
                                  <w:gridSpan w:val="2"/>
                                  <w:shd w:val="clear" w:color="auto" w:fill="2C4282"/>
                                  <w:noWrap/>
                                  <w:vAlign w:val="center"/>
                                  <w:hideMark/>
                                </w:tcPr>
                                <w:p w14:paraId="4DB6CEC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19%</w:t>
                                  </w:r>
                                </w:p>
                              </w:tc>
                              <w:tc>
                                <w:tcPr>
                                  <w:tcW w:w="898" w:type="dxa"/>
                                  <w:shd w:val="clear" w:color="auto" w:fill="3E3C77"/>
                                  <w:noWrap/>
                                  <w:vAlign w:val="center"/>
                                  <w:hideMark/>
                                </w:tcPr>
                                <w:p w14:paraId="792708A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22%</w:t>
                                  </w:r>
                                </w:p>
                              </w:tc>
                              <w:tc>
                                <w:tcPr>
                                  <w:tcW w:w="982" w:type="dxa"/>
                                  <w:shd w:val="clear" w:color="auto" w:fill="FFFFFF"/>
                                  <w:noWrap/>
                                  <w:vAlign w:val="center"/>
                                  <w:hideMark/>
                                </w:tcPr>
                                <w:p w14:paraId="698495A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1" w:type="dxa"/>
                                  <w:gridSpan w:val="2"/>
                                  <w:shd w:val="clear" w:color="auto" w:fill="FFFFFF"/>
                                  <w:noWrap/>
                                  <w:vAlign w:val="center"/>
                                  <w:hideMark/>
                                </w:tcPr>
                                <w:p w14:paraId="1E6E52E2"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096E5D7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6A03EB3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33630F58"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7A507A8F"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5FE01DDB" w14:textId="77777777">
                              <w:trPr>
                                <w:gridAfter w:val="2"/>
                                <w:wAfter w:w="956" w:type="dxa"/>
                                <w:trHeight w:val="417"/>
                              </w:trPr>
                              <w:tc>
                                <w:tcPr>
                                  <w:tcW w:w="425" w:type="dxa"/>
                                  <w:vMerge/>
                                  <w:vAlign w:val="center"/>
                                  <w:hideMark/>
                                </w:tcPr>
                                <w:p w14:paraId="085BF5AF"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4AECFDA2"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12</w:t>
                                  </w:r>
                                </w:p>
                              </w:tc>
                              <w:tc>
                                <w:tcPr>
                                  <w:tcW w:w="898" w:type="dxa"/>
                                  <w:shd w:val="clear" w:color="auto" w:fill="144991"/>
                                  <w:noWrap/>
                                  <w:vAlign w:val="center"/>
                                  <w:hideMark/>
                                </w:tcPr>
                                <w:p w14:paraId="00CB1F8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16%</w:t>
                                  </w:r>
                                </w:p>
                              </w:tc>
                              <w:tc>
                                <w:tcPr>
                                  <w:tcW w:w="899" w:type="dxa"/>
                                  <w:gridSpan w:val="2"/>
                                  <w:shd w:val="clear" w:color="auto" w:fill="353F7C"/>
                                  <w:noWrap/>
                                  <w:vAlign w:val="center"/>
                                  <w:hideMark/>
                                </w:tcPr>
                                <w:p w14:paraId="0B841758"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20%</w:t>
                                  </w:r>
                                </w:p>
                              </w:tc>
                              <w:tc>
                                <w:tcPr>
                                  <w:tcW w:w="898" w:type="dxa"/>
                                  <w:shd w:val="clear" w:color="auto" w:fill="463A72"/>
                                  <w:noWrap/>
                                  <w:vAlign w:val="center"/>
                                  <w:hideMark/>
                                </w:tcPr>
                                <w:p w14:paraId="65803407"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23%</w:t>
                                  </w:r>
                                </w:p>
                              </w:tc>
                              <w:tc>
                                <w:tcPr>
                                  <w:tcW w:w="982" w:type="dxa"/>
                                  <w:shd w:val="clear" w:color="auto" w:fill="433B74"/>
                                  <w:noWrap/>
                                  <w:vAlign w:val="center"/>
                                  <w:hideMark/>
                                </w:tcPr>
                                <w:p w14:paraId="0258EA9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22%</w:t>
                                  </w:r>
                                </w:p>
                              </w:tc>
                              <w:tc>
                                <w:tcPr>
                                  <w:tcW w:w="901" w:type="dxa"/>
                                  <w:gridSpan w:val="2"/>
                                  <w:shd w:val="clear" w:color="auto" w:fill="FFFFFF"/>
                                  <w:noWrap/>
                                  <w:vAlign w:val="center"/>
                                  <w:hideMark/>
                                </w:tcPr>
                                <w:p w14:paraId="282B7BC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2737E5C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26779A8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5570EC16"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681DF22A"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757E5BCB" w14:textId="77777777">
                              <w:trPr>
                                <w:gridAfter w:val="2"/>
                                <w:wAfter w:w="956" w:type="dxa"/>
                                <w:trHeight w:val="417"/>
                              </w:trPr>
                              <w:tc>
                                <w:tcPr>
                                  <w:tcW w:w="425" w:type="dxa"/>
                                  <w:vMerge/>
                                  <w:vAlign w:val="center"/>
                                  <w:hideMark/>
                                </w:tcPr>
                                <w:p w14:paraId="33E64A47"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24BC58F7"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11</w:t>
                                  </w:r>
                                </w:p>
                              </w:tc>
                              <w:tc>
                                <w:tcPr>
                                  <w:tcW w:w="898" w:type="dxa"/>
                                  <w:shd w:val="clear" w:color="auto" w:fill="244487"/>
                                  <w:noWrap/>
                                  <w:vAlign w:val="center"/>
                                  <w:hideMark/>
                                </w:tcPr>
                                <w:p w14:paraId="68ADC708"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18%</w:t>
                                  </w:r>
                                </w:p>
                              </w:tc>
                              <w:tc>
                                <w:tcPr>
                                  <w:tcW w:w="899" w:type="dxa"/>
                                  <w:gridSpan w:val="2"/>
                                  <w:shd w:val="clear" w:color="auto" w:fill="52366B"/>
                                  <w:noWrap/>
                                  <w:vAlign w:val="center"/>
                                  <w:hideMark/>
                                </w:tcPr>
                                <w:p w14:paraId="6DB96CC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24%</w:t>
                                  </w:r>
                                </w:p>
                              </w:tc>
                              <w:tc>
                                <w:tcPr>
                                  <w:tcW w:w="898" w:type="dxa"/>
                                  <w:shd w:val="clear" w:color="auto" w:fill="692F5C"/>
                                  <w:noWrap/>
                                  <w:vAlign w:val="center"/>
                                  <w:hideMark/>
                                </w:tcPr>
                                <w:p w14:paraId="7D8FC7B7"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28%</w:t>
                                  </w:r>
                                </w:p>
                              </w:tc>
                              <w:tc>
                                <w:tcPr>
                                  <w:tcW w:w="982" w:type="dxa"/>
                                  <w:shd w:val="clear" w:color="auto" w:fill="6B2E5B"/>
                                  <w:noWrap/>
                                  <w:vAlign w:val="center"/>
                                  <w:hideMark/>
                                </w:tcPr>
                                <w:p w14:paraId="0FEDB03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28%</w:t>
                                  </w:r>
                                </w:p>
                              </w:tc>
                              <w:tc>
                                <w:tcPr>
                                  <w:tcW w:w="901" w:type="dxa"/>
                                  <w:gridSpan w:val="2"/>
                                  <w:shd w:val="clear" w:color="auto" w:fill="8D2447"/>
                                  <w:noWrap/>
                                  <w:vAlign w:val="center"/>
                                  <w:hideMark/>
                                </w:tcPr>
                                <w:p w14:paraId="2C8D134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32%</w:t>
                                  </w:r>
                                </w:p>
                              </w:tc>
                              <w:tc>
                                <w:tcPr>
                                  <w:tcW w:w="899" w:type="dxa"/>
                                  <w:gridSpan w:val="2"/>
                                  <w:shd w:val="clear" w:color="auto" w:fill="FFFFFF"/>
                                  <w:noWrap/>
                                  <w:vAlign w:val="center"/>
                                  <w:hideMark/>
                                </w:tcPr>
                                <w:p w14:paraId="3B287B1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1B069FA2"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6826DCDF"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35F43AB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1148EC9B" w14:textId="77777777">
                              <w:trPr>
                                <w:gridAfter w:val="2"/>
                                <w:wAfter w:w="956" w:type="dxa"/>
                                <w:trHeight w:val="417"/>
                              </w:trPr>
                              <w:tc>
                                <w:tcPr>
                                  <w:tcW w:w="425" w:type="dxa"/>
                                  <w:vMerge/>
                                  <w:vAlign w:val="center"/>
                                  <w:hideMark/>
                                </w:tcPr>
                                <w:p w14:paraId="0B94739C"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5923DAB2"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10</w:t>
                                  </w:r>
                                </w:p>
                              </w:tc>
                              <w:tc>
                                <w:tcPr>
                                  <w:tcW w:w="898" w:type="dxa"/>
                                  <w:shd w:val="clear" w:color="auto" w:fill="30407F"/>
                                  <w:noWrap/>
                                  <w:vAlign w:val="center"/>
                                  <w:hideMark/>
                                </w:tcPr>
                                <w:p w14:paraId="4F89D34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20%</w:t>
                                  </w:r>
                                </w:p>
                              </w:tc>
                              <w:tc>
                                <w:tcPr>
                                  <w:tcW w:w="899" w:type="dxa"/>
                                  <w:gridSpan w:val="2"/>
                                  <w:shd w:val="clear" w:color="auto" w:fill="5D3264"/>
                                  <w:noWrap/>
                                  <w:vAlign w:val="center"/>
                                  <w:hideMark/>
                                </w:tcPr>
                                <w:p w14:paraId="757A305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26%</w:t>
                                  </w:r>
                                </w:p>
                              </w:tc>
                              <w:tc>
                                <w:tcPr>
                                  <w:tcW w:w="898" w:type="dxa"/>
                                  <w:shd w:val="clear" w:color="auto" w:fill="762B54"/>
                                  <w:noWrap/>
                                  <w:vAlign w:val="center"/>
                                  <w:hideMark/>
                                </w:tcPr>
                                <w:p w14:paraId="6B9E522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29%</w:t>
                                  </w:r>
                                </w:p>
                              </w:tc>
                              <w:tc>
                                <w:tcPr>
                                  <w:tcW w:w="982" w:type="dxa"/>
                                  <w:shd w:val="clear" w:color="auto" w:fill="80284E"/>
                                  <w:noWrap/>
                                  <w:vAlign w:val="center"/>
                                  <w:hideMark/>
                                </w:tcPr>
                                <w:p w14:paraId="33C176A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31%</w:t>
                                  </w:r>
                                </w:p>
                              </w:tc>
                              <w:tc>
                                <w:tcPr>
                                  <w:tcW w:w="901" w:type="dxa"/>
                                  <w:gridSpan w:val="2"/>
                                  <w:shd w:val="clear" w:color="auto" w:fill="B2182F"/>
                                  <w:noWrap/>
                                  <w:vAlign w:val="center"/>
                                  <w:hideMark/>
                                </w:tcPr>
                                <w:p w14:paraId="1FF1ED9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38%</w:t>
                                  </w:r>
                                </w:p>
                              </w:tc>
                              <w:tc>
                                <w:tcPr>
                                  <w:tcW w:w="899" w:type="dxa"/>
                                  <w:gridSpan w:val="2"/>
                                  <w:shd w:val="clear" w:color="auto" w:fill="A71C37"/>
                                  <w:noWrap/>
                                  <w:vAlign w:val="center"/>
                                  <w:hideMark/>
                                </w:tcPr>
                                <w:p w14:paraId="1F3381AF"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36%</w:t>
                                  </w:r>
                                </w:p>
                              </w:tc>
                              <w:tc>
                                <w:tcPr>
                                  <w:tcW w:w="906" w:type="dxa"/>
                                  <w:shd w:val="clear" w:color="auto" w:fill="FFFFFF"/>
                                  <w:noWrap/>
                                  <w:vAlign w:val="center"/>
                                  <w:hideMark/>
                                </w:tcPr>
                                <w:p w14:paraId="1602DE4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0716437B"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7C27788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4FFE5408" w14:textId="77777777">
                              <w:trPr>
                                <w:gridAfter w:val="2"/>
                                <w:wAfter w:w="956" w:type="dxa"/>
                                <w:trHeight w:val="417"/>
                              </w:trPr>
                              <w:tc>
                                <w:tcPr>
                                  <w:tcW w:w="425" w:type="dxa"/>
                                  <w:vMerge/>
                                  <w:vAlign w:val="center"/>
                                  <w:hideMark/>
                                </w:tcPr>
                                <w:p w14:paraId="35A9A417"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4808DF85"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9 or below</w:t>
                                  </w:r>
                                </w:p>
                              </w:tc>
                              <w:tc>
                                <w:tcPr>
                                  <w:tcW w:w="898" w:type="dxa"/>
                                  <w:shd w:val="clear" w:color="auto" w:fill="593466"/>
                                  <w:noWrap/>
                                  <w:vAlign w:val="center"/>
                                  <w:hideMark/>
                                </w:tcPr>
                                <w:p w14:paraId="1773D10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25%</w:t>
                                  </w:r>
                                </w:p>
                              </w:tc>
                              <w:tc>
                                <w:tcPr>
                                  <w:tcW w:w="899" w:type="dxa"/>
                                  <w:gridSpan w:val="2"/>
                                  <w:shd w:val="clear" w:color="auto" w:fill="8A2548"/>
                                  <w:noWrap/>
                                  <w:vAlign w:val="center"/>
                                  <w:hideMark/>
                                </w:tcPr>
                                <w:p w14:paraId="5125C51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32%</w:t>
                                  </w:r>
                                </w:p>
                              </w:tc>
                              <w:tc>
                                <w:tcPr>
                                  <w:tcW w:w="898" w:type="dxa"/>
                                  <w:shd w:val="clear" w:color="auto" w:fill="B11930"/>
                                  <w:noWrap/>
                                  <w:vAlign w:val="center"/>
                                  <w:hideMark/>
                                </w:tcPr>
                                <w:p w14:paraId="3107DAC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37%</w:t>
                                  </w:r>
                                </w:p>
                              </w:tc>
                              <w:tc>
                                <w:tcPr>
                                  <w:tcW w:w="982" w:type="dxa"/>
                                  <w:shd w:val="clear" w:color="auto" w:fill="AC1A33"/>
                                  <w:noWrap/>
                                  <w:vAlign w:val="center"/>
                                  <w:hideMark/>
                                </w:tcPr>
                                <w:p w14:paraId="155FE333"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37%</w:t>
                                  </w:r>
                                </w:p>
                              </w:tc>
                              <w:tc>
                                <w:tcPr>
                                  <w:tcW w:w="901" w:type="dxa"/>
                                  <w:gridSpan w:val="2"/>
                                  <w:shd w:val="clear" w:color="auto" w:fill="D80C18"/>
                                  <w:noWrap/>
                                  <w:vAlign w:val="center"/>
                                  <w:hideMark/>
                                </w:tcPr>
                                <w:p w14:paraId="1A9BE123"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43%</w:t>
                                  </w:r>
                                </w:p>
                              </w:tc>
                              <w:tc>
                                <w:tcPr>
                                  <w:tcW w:w="899" w:type="dxa"/>
                                  <w:gridSpan w:val="2"/>
                                  <w:shd w:val="clear" w:color="auto" w:fill="F30408"/>
                                  <w:noWrap/>
                                  <w:vAlign w:val="center"/>
                                  <w:hideMark/>
                                </w:tcPr>
                                <w:p w14:paraId="6918CBBC" w14:textId="77777777" w:rsidR="006D3F4A" w:rsidRPr="00366AA1" w:rsidRDefault="006D3F4A">
                                  <w:pPr>
                                    <w:spacing w:after="0" w:line="256" w:lineRule="auto"/>
                                    <w:jc w:val="center"/>
                                    <w:rPr>
                                      <w:rFonts w:ascii="Calibri" w:eastAsia="Times New Roman" w:hAnsi="Calibri" w:cs="Calibri"/>
                                      <w:b/>
                                      <w:bCs/>
                                      <w:sz w:val="20"/>
                                      <w:szCs w:val="20"/>
                                      <w:lang w:eastAsia="en-AU"/>
                                    </w:rPr>
                                  </w:pPr>
                                  <w:r w:rsidRPr="00366AA1">
                                    <w:rPr>
                                      <w:rFonts w:ascii="Calibri" w:eastAsia="Times New Roman" w:hAnsi="Calibri" w:cs="Calibri"/>
                                      <w:b/>
                                      <w:bCs/>
                                      <w:sz w:val="20"/>
                                      <w:szCs w:val="20"/>
                                      <w:lang w:eastAsia="en-AU"/>
                                    </w:rPr>
                                    <w:t>47%</w:t>
                                  </w:r>
                                </w:p>
                              </w:tc>
                              <w:tc>
                                <w:tcPr>
                                  <w:tcW w:w="906" w:type="dxa"/>
                                  <w:shd w:val="clear" w:color="auto" w:fill="D40E1B"/>
                                  <w:noWrap/>
                                  <w:vAlign w:val="center"/>
                                  <w:hideMark/>
                                </w:tcPr>
                                <w:p w14:paraId="774CEB32"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42%</w:t>
                                  </w:r>
                                </w:p>
                              </w:tc>
                              <w:tc>
                                <w:tcPr>
                                  <w:tcW w:w="236" w:type="dxa"/>
                                  <w:shd w:val="clear" w:color="auto" w:fill="FFFFFF"/>
                                  <w:noWrap/>
                                  <w:vAlign w:val="bottom"/>
                                </w:tcPr>
                                <w:p w14:paraId="5CE7DFB0"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467D4CF6"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0AAD8B0F" w14:textId="77777777">
                              <w:trPr>
                                <w:trHeight w:val="252"/>
                              </w:trPr>
                              <w:tc>
                                <w:tcPr>
                                  <w:tcW w:w="425" w:type="dxa"/>
                                  <w:shd w:val="clear" w:color="auto" w:fill="FFFFFF"/>
                                  <w:textDirection w:val="btLr"/>
                                  <w:vAlign w:val="center"/>
                                  <w:hideMark/>
                                </w:tcPr>
                                <w:p w14:paraId="6AEA8880" w14:textId="77777777" w:rsidR="006D3F4A" w:rsidRDefault="006D3F4A">
                                  <w:pPr>
                                    <w:spacing w:after="0" w:line="256" w:lineRule="auto"/>
                                    <w:rPr>
                                      <w:rFonts w:ascii="Calibri" w:eastAsia="Times New Roman" w:hAnsi="Calibri" w:cs="Calibri"/>
                                      <w:b/>
                                      <w:bCs/>
                                      <w:lang w:eastAsia="en-AU"/>
                                    </w:rPr>
                                  </w:pPr>
                                  <w:r>
                                    <w:rPr>
                                      <w:rFonts w:ascii="Calibri" w:eastAsia="Times New Roman" w:hAnsi="Calibri" w:cs="Calibri"/>
                                      <w:b/>
                                      <w:bCs/>
                                      <w:lang w:eastAsia="en-AU"/>
                                    </w:rPr>
                                    <w:t> </w:t>
                                  </w:r>
                                </w:p>
                              </w:tc>
                              <w:tc>
                                <w:tcPr>
                                  <w:tcW w:w="1542" w:type="dxa"/>
                                  <w:shd w:val="clear" w:color="auto" w:fill="FFFFFF"/>
                                  <w:noWrap/>
                                  <w:vAlign w:val="bottom"/>
                                  <w:hideMark/>
                                </w:tcPr>
                                <w:p w14:paraId="42838F49"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685" w:type="dxa"/>
                                  <w:gridSpan w:val="2"/>
                                  <w:shd w:val="clear" w:color="auto" w:fill="FFFFFF"/>
                                  <w:noWrap/>
                                  <w:vAlign w:val="bottom"/>
                                  <w:hideMark/>
                                </w:tcPr>
                                <w:p w14:paraId="4C1CB5DE"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010" w:type="dxa"/>
                                  <w:gridSpan w:val="2"/>
                                  <w:shd w:val="clear" w:color="auto" w:fill="FFFFFF"/>
                                  <w:noWrap/>
                                  <w:vAlign w:val="bottom"/>
                                  <w:hideMark/>
                                </w:tcPr>
                                <w:p w14:paraId="0479D108"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82" w:type="dxa"/>
                                  <w:shd w:val="clear" w:color="auto" w:fill="FFFFFF"/>
                                  <w:noWrap/>
                                  <w:vAlign w:val="bottom"/>
                                  <w:hideMark/>
                                </w:tcPr>
                                <w:p w14:paraId="5054C90B"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490" w:type="dxa"/>
                                  <w:shd w:val="clear" w:color="auto" w:fill="FFFFFF"/>
                                  <w:noWrap/>
                                  <w:vAlign w:val="bottom"/>
                                  <w:hideMark/>
                                </w:tcPr>
                                <w:p w14:paraId="5FB17A1E"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638" w:type="dxa"/>
                                  <w:gridSpan w:val="2"/>
                                  <w:shd w:val="clear" w:color="auto" w:fill="FFFFFF"/>
                                  <w:noWrap/>
                                  <w:vAlign w:val="bottom"/>
                                  <w:hideMark/>
                                </w:tcPr>
                                <w:p w14:paraId="36A6C9E9"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672" w:type="dxa"/>
                                  <w:shd w:val="clear" w:color="auto" w:fill="FFFFFF"/>
                                  <w:noWrap/>
                                  <w:vAlign w:val="bottom"/>
                                  <w:hideMark/>
                                </w:tcPr>
                                <w:p w14:paraId="379CB089"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06" w:type="dxa"/>
                                  <w:shd w:val="clear" w:color="auto" w:fill="FFFFFF"/>
                                  <w:noWrap/>
                                  <w:vAlign w:val="bottom"/>
                                  <w:hideMark/>
                                </w:tcPr>
                                <w:p w14:paraId="112D36CA"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545" w:type="dxa"/>
                                  <w:gridSpan w:val="3"/>
                                  <w:shd w:val="clear" w:color="auto" w:fill="FFFFFF"/>
                                  <w:noWrap/>
                                  <w:vAlign w:val="bottom"/>
                                  <w:hideMark/>
                                </w:tcPr>
                                <w:p w14:paraId="0E9B8DA5"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545" w:type="dxa"/>
                                  <w:shd w:val="clear" w:color="auto" w:fill="FFFFFF"/>
                                  <w:noWrap/>
                                  <w:vAlign w:val="bottom"/>
                                  <w:hideMark/>
                                </w:tcPr>
                                <w:p w14:paraId="0095B781"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r>
                          </w:tbl>
                          <w:p w14:paraId="3EBC84F5" w14:textId="77777777" w:rsidR="006D3F4A" w:rsidRDefault="006D3F4A" w:rsidP="006D3F4A"/>
                        </w:txbxContent>
                      </wps:txbx>
                      <wps:bodyPr rot="0" vert="horz" wrap="square" lIns="91440" tIns="45720" rIns="91440" bIns="45720" anchor="t" anchorCtr="0">
                        <a:noAutofit/>
                      </wps:bodyPr>
                    </wps:wsp>
                  </a:graphicData>
                </a:graphic>
              </wp:inline>
            </w:drawing>
          </mc:Choice>
          <mc:Fallback>
            <w:pict>
              <v:shapetype w14:anchorId="444F454C" id="_x0000_t202" coordsize="21600,21600" o:spt="202" path="m,l,21600r21600,l21600,xe">
                <v:stroke joinstyle="miter"/>
                <v:path gradientshapeok="t" o:connecttype="rect"/>
              </v:shapetype>
              <v:shape id="Text Box 2" o:spid="_x0000_s1026" type="#_x0000_t202" alt="Figure 2 shows that higher levels of parent or carer educational attainment were associated with lower rates of child developmental vulnerability, for both the parents or carers." style="width:432.6pt;height:2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" stroked="f">
                <v:textbox>
                  <w:txbxContent>
                    <w:tbl>
                      <w:tblPr>
                        <w:tblW w:w="10440" w:type="dxa"/>
                        <w:tblLayout w:type="fixed"/>
                        <w:tblLook w:val="04A0" w:firstRow="1" w:lastRow="0" w:firstColumn="1" w:lastColumn="0" w:noHBand="0" w:noVBand="1"/>
                      </w:tblPr>
                      <w:tblGrid>
                        <w:gridCol w:w="425"/>
                        <w:gridCol w:w="1542"/>
                        <w:gridCol w:w="898"/>
                        <w:gridCol w:w="787"/>
                        <w:gridCol w:w="112"/>
                        <w:gridCol w:w="898"/>
                        <w:gridCol w:w="982"/>
                        <w:gridCol w:w="490"/>
                        <w:gridCol w:w="411"/>
                        <w:gridCol w:w="227"/>
                        <w:gridCol w:w="672"/>
                        <w:gridCol w:w="906"/>
                        <w:gridCol w:w="236"/>
                        <w:gridCol w:w="898"/>
                        <w:gridCol w:w="411"/>
                        <w:gridCol w:w="545"/>
                      </w:tblGrid>
                      <w:tr w:rsidR="006D3F4A" w14:paraId="5DB7BEA3" w14:textId="77777777">
                        <w:trPr>
                          <w:gridAfter w:val="1"/>
                          <w:wAfter w:w="545" w:type="dxa"/>
                          <w:trHeight w:val="378"/>
                        </w:trPr>
                        <w:tc>
                          <w:tcPr>
                            <w:tcW w:w="425" w:type="dxa"/>
                            <w:shd w:val="clear" w:color="auto" w:fill="FFFFFF"/>
                            <w:noWrap/>
                            <w:vAlign w:val="bottom"/>
                            <w:hideMark/>
                          </w:tcPr>
                          <w:p w14:paraId="0BAEE02E"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542" w:type="dxa"/>
                            <w:shd w:val="clear" w:color="auto" w:fill="FFFFFF"/>
                            <w:noWrap/>
                            <w:vAlign w:val="bottom"/>
                            <w:hideMark/>
                          </w:tcPr>
                          <w:p w14:paraId="4EDAF018" w14:textId="77777777" w:rsidR="006D3F4A" w:rsidRDefault="006D3F4A">
                            <w:pPr>
                              <w:spacing w:after="0" w:line="256"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w:t>
                            </w:r>
                          </w:p>
                        </w:tc>
                        <w:tc>
                          <w:tcPr>
                            <w:tcW w:w="6383" w:type="dxa"/>
                            <w:gridSpan w:val="10"/>
                            <w:shd w:val="clear" w:color="auto" w:fill="FFFFFF"/>
                            <w:noWrap/>
                            <w:hideMark/>
                          </w:tcPr>
                          <w:p w14:paraId="4039A914" w14:textId="77777777" w:rsidR="006D3F4A" w:rsidRDefault="006D3F4A">
                            <w:pPr>
                              <w:spacing w:after="0" w:line="256" w:lineRule="auto"/>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More-educated parent</w:t>
                            </w:r>
                          </w:p>
                        </w:tc>
                        <w:tc>
                          <w:tcPr>
                            <w:tcW w:w="1545" w:type="dxa"/>
                            <w:gridSpan w:val="3"/>
                            <w:shd w:val="clear" w:color="auto" w:fill="FFFFFF"/>
                            <w:noWrap/>
                          </w:tcPr>
                          <w:p w14:paraId="7F182E5E" w14:textId="77777777" w:rsidR="006D3F4A" w:rsidRDefault="006D3F4A">
                            <w:pPr>
                              <w:spacing w:after="0" w:line="256" w:lineRule="auto"/>
                              <w:rPr>
                                <w:rFonts w:ascii="Calibri" w:eastAsia="Times New Roman" w:hAnsi="Calibri" w:cs="Calibri"/>
                                <w:b/>
                                <w:bCs/>
                                <w:color w:val="000000"/>
                                <w:sz w:val="20"/>
                                <w:szCs w:val="20"/>
                                <w:lang w:eastAsia="en-AU"/>
                              </w:rPr>
                            </w:pPr>
                          </w:p>
                        </w:tc>
                      </w:tr>
                      <w:tr w:rsidR="006D3F4A" w14:paraId="60545B8F" w14:textId="77777777">
                        <w:trPr>
                          <w:gridAfter w:val="2"/>
                          <w:wAfter w:w="956" w:type="dxa"/>
                          <w:trHeight w:val="906"/>
                        </w:trPr>
                        <w:tc>
                          <w:tcPr>
                            <w:tcW w:w="425" w:type="dxa"/>
                            <w:shd w:val="clear" w:color="auto" w:fill="FFFFFF"/>
                            <w:noWrap/>
                            <w:vAlign w:val="bottom"/>
                            <w:hideMark/>
                          </w:tcPr>
                          <w:p w14:paraId="6D196208" w14:textId="77777777" w:rsidR="006D3F4A" w:rsidRDefault="006D3F4A">
                            <w:pPr>
                              <w:spacing w:after="0" w:line="256" w:lineRule="auto"/>
                              <w:rPr>
                                <w:rFonts w:ascii="Calibri" w:eastAsia="Times New Roman" w:hAnsi="Calibri" w:cs="Calibri"/>
                                <w:color w:val="FFFFFF"/>
                                <w:lang w:eastAsia="en-AU"/>
                              </w:rPr>
                            </w:pPr>
                            <w:r>
                              <w:rPr>
                                <w:rFonts w:ascii="Calibri" w:eastAsia="Times New Roman" w:hAnsi="Calibri" w:cs="Calibri"/>
                                <w:color w:val="FFFFFF"/>
                                <w:lang w:eastAsia="en-AU"/>
                              </w:rPr>
                              <w:t> </w:t>
                            </w:r>
                          </w:p>
                        </w:tc>
                        <w:tc>
                          <w:tcPr>
                            <w:tcW w:w="1542" w:type="dxa"/>
                            <w:shd w:val="clear" w:color="auto" w:fill="FFFFFF"/>
                            <w:noWrap/>
                            <w:vAlign w:val="bottom"/>
                            <w:hideMark/>
                          </w:tcPr>
                          <w:p w14:paraId="01D2BF8D" w14:textId="77777777" w:rsidR="006D3F4A" w:rsidRDefault="006D3F4A">
                            <w:pPr>
                              <w:spacing w:after="0" w:line="256"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898" w:type="dxa"/>
                            <w:shd w:val="clear" w:color="auto" w:fill="FFFFFF"/>
                            <w:hideMark/>
                          </w:tcPr>
                          <w:p w14:paraId="0D0B3468"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Bachelor degree or above</w:t>
                            </w:r>
                          </w:p>
                        </w:tc>
                        <w:tc>
                          <w:tcPr>
                            <w:tcW w:w="899" w:type="dxa"/>
                            <w:gridSpan w:val="2"/>
                            <w:shd w:val="clear" w:color="auto" w:fill="FFFFFF"/>
                            <w:hideMark/>
                          </w:tcPr>
                          <w:p w14:paraId="01E62565"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Advanced Diploma or Diploma</w:t>
                            </w:r>
                          </w:p>
                        </w:tc>
                        <w:tc>
                          <w:tcPr>
                            <w:tcW w:w="898" w:type="dxa"/>
                            <w:shd w:val="clear" w:color="auto" w:fill="FFFFFF"/>
                            <w:hideMark/>
                          </w:tcPr>
                          <w:p w14:paraId="75355338"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Certificate level I to IV</w:t>
                            </w:r>
                          </w:p>
                        </w:tc>
                        <w:tc>
                          <w:tcPr>
                            <w:tcW w:w="982" w:type="dxa"/>
                            <w:shd w:val="clear" w:color="auto" w:fill="FFFFFF"/>
                            <w:hideMark/>
                          </w:tcPr>
                          <w:p w14:paraId="19C67D7E"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12</w:t>
                            </w:r>
                          </w:p>
                        </w:tc>
                        <w:tc>
                          <w:tcPr>
                            <w:tcW w:w="901" w:type="dxa"/>
                            <w:gridSpan w:val="2"/>
                            <w:shd w:val="clear" w:color="auto" w:fill="FFFFFF"/>
                            <w:hideMark/>
                          </w:tcPr>
                          <w:p w14:paraId="6EC90EE1"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11</w:t>
                            </w:r>
                          </w:p>
                        </w:tc>
                        <w:tc>
                          <w:tcPr>
                            <w:tcW w:w="899" w:type="dxa"/>
                            <w:gridSpan w:val="2"/>
                            <w:shd w:val="clear" w:color="auto" w:fill="FFFFFF"/>
                            <w:hideMark/>
                          </w:tcPr>
                          <w:p w14:paraId="324CD236"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10</w:t>
                            </w:r>
                          </w:p>
                        </w:tc>
                        <w:tc>
                          <w:tcPr>
                            <w:tcW w:w="906" w:type="dxa"/>
                            <w:shd w:val="clear" w:color="auto" w:fill="FFFFFF"/>
                            <w:hideMark/>
                          </w:tcPr>
                          <w:p w14:paraId="482940DA" w14:textId="77777777" w:rsidR="006D3F4A" w:rsidRDefault="006D3F4A">
                            <w:pPr>
                              <w:spacing w:after="0" w:line="256" w:lineRule="auto"/>
                              <w:jc w:val="center"/>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9 or below</w:t>
                            </w:r>
                          </w:p>
                        </w:tc>
                        <w:tc>
                          <w:tcPr>
                            <w:tcW w:w="236" w:type="dxa"/>
                            <w:shd w:val="clear" w:color="auto" w:fill="FFFFFF"/>
                            <w:noWrap/>
                            <w:vAlign w:val="bottom"/>
                          </w:tcPr>
                          <w:p w14:paraId="71A9BFDD" w14:textId="77777777" w:rsidR="006D3F4A" w:rsidRDefault="006D3F4A">
                            <w:pPr>
                              <w:spacing w:after="0" w:line="256" w:lineRule="auto"/>
                              <w:rPr>
                                <w:rFonts w:ascii="Calibri" w:eastAsia="Times New Roman" w:hAnsi="Calibri" w:cs="Calibri"/>
                                <w:color w:val="000000"/>
                                <w:lang w:eastAsia="en-AU"/>
                              </w:rPr>
                            </w:pPr>
                          </w:p>
                        </w:tc>
                        <w:tc>
                          <w:tcPr>
                            <w:tcW w:w="898" w:type="dxa"/>
                            <w:noWrap/>
                            <w:vAlign w:val="bottom"/>
                          </w:tcPr>
                          <w:p w14:paraId="183264DE" w14:textId="77777777" w:rsidR="006D3F4A" w:rsidRDefault="006D3F4A">
                            <w:pPr>
                              <w:spacing w:after="0" w:line="256" w:lineRule="auto"/>
                              <w:rPr>
                                <w:rFonts w:ascii="Calibri" w:eastAsia="Times New Roman" w:hAnsi="Calibri" w:cs="Calibri"/>
                                <w:color w:val="000000"/>
                                <w:lang w:eastAsia="en-AU"/>
                              </w:rPr>
                            </w:pPr>
                          </w:p>
                        </w:tc>
                      </w:tr>
                      <w:tr w:rsidR="006D3F4A" w14:paraId="177D03C9" w14:textId="77777777">
                        <w:trPr>
                          <w:gridAfter w:val="2"/>
                          <w:wAfter w:w="956" w:type="dxa"/>
                          <w:trHeight w:val="417"/>
                        </w:trPr>
                        <w:tc>
                          <w:tcPr>
                            <w:tcW w:w="425" w:type="dxa"/>
                            <w:vMerge w:val="restart"/>
                            <w:shd w:val="clear" w:color="auto" w:fill="FFFFFF"/>
                            <w:textDirection w:val="btLr"/>
                            <w:vAlign w:val="center"/>
                            <w:hideMark/>
                          </w:tcPr>
                          <w:p w14:paraId="1F495EA8" w14:textId="77777777" w:rsidR="006D3F4A" w:rsidRDefault="006D3F4A">
                            <w:pPr>
                              <w:spacing w:after="0" w:line="256" w:lineRule="auto"/>
                              <w:jc w:val="center"/>
                              <w:rPr>
                                <w:rFonts w:ascii="Calibri" w:eastAsia="Times New Roman" w:hAnsi="Calibri" w:cs="Calibri"/>
                                <w:b/>
                                <w:bCs/>
                                <w:lang w:eastAsia="en-AU"/>
                              </w:rPr>
                            </w:pPr>
                            <w:r>
                              <w:rPr>
                                <w:rFonts w:ascii="Calibri" w:eastAsia="Times New Roman" w:hAnsi="Calibri" w:cs="Calibri"/>
                                <w:b/>
                                <w:bCs/>
                                <w:sz w:val="20"/>
                                <w:szCs w:val="20"/>
                                <w:lang w:eastAsia="en-AU"/>
                              </w:rPr>
                              <w:t>Less-educated parent</w:t>
                            </w:r>
                          </w:p>
                        </w:tc>
                        <w:tc>
                          <w:tcPr>
                            <w:tcW w:w="1542" w:type="dxa"/>
                            <w:shd w:val="clear" w:color="auto" w:fill="FFFFFF"/>
                            <w:noWrap/>
                            <w:vAlign w:val="center"/>
                            <w:hideMark/>
                          </w:tcPr>
                          <w:p w14:paraId="5CC12779"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Bachelor degree or above</w:t>
                            </w:r>
                          </w:p>
                        </w:tc>
                        <w:tc>
                          <w:tcPr>
                            <w:tcW w:w="898" w:type="dxa"/>
                            <w:shd w:val="clear" w:color="auto" w:fill="004F9D"/>
                            <w:noWrap/>
                            <w:vAlign w:val="center"/>
                            <w:hideMark/>
                          </w:tcPr>
                          <w:p w14:paraId="791441F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13%</w:t>
                            </w:r>
                          </w:p>
                        </w:tc>
                        <w:tc>
                          <w:tcPr>
                            <w:tcW w:w="899" w:type="dxa"/>
                            <w:gridSpan w:val="2"/>
                            <w:shd w:val="clear" w:color="auto" w:fill="FFFFFF"/>
                            <w:noWrap/>
                            <w:vAlign w:val="center"/>
                            <w:hideMark/>
                          </w:tcPr>
                          <w:p w14:paraId="1934A2D7"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8" w:type="dxa"/>
                            <w:shd w:val="clear" w:color="auto" w:fill="FFFFFF"/>
                            <w:noWrap/>
                            <w:vAlign w:val="center"/>
                            <w:hideMark/>
                          </w:tcPr>
                          <w:p w14:paraId="1357C56F"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82" w:type="dxa"/>
                            <w:shd w:val="clear" w:color="auto" w:fill="FFFFFF"/>
                            <w:noWrap/>
                            <w:vAlign w:val="center"/>
                            <w:hideMark/>
                          </w:tcPr>
                          <w:p w14:paraId="293DF71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1" w:type="dxa"/>
                            <w:gridSpan w:val="2"/>
                            <w:shd w:val="clear" w:color="auto" w:fill="FFFFFF"/>
                            <w:noWrap/>
                            <w:vAlign w:val="center"/>
                            <w:hideMark/>
                          </w:tcPr>
                          <w:p w14:paraId="493BDC1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1876DF1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2359E19B"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4A30C622"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4C2DE37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4DC58A1C" w14:textId="77777777">
                        <w:trPr>
                          <w:gridAfter w:val="2"/>
                          <w:wAfter w:w="956" w:type="dxa"/>
                          <w:trHeight w:val="417"/>
                        </w:trPr>
                        <w:tc>
                          <w:tcPr>
                            <w:tcW w:w="425" w:type="dxa"/>
                            <w:vMerge/>
                            <w:vAlign w:val="center"/>
                            <w:hideMark/>
                          </w:tcPr>
                          <w:p w14:paraId="3206F389"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4FB9AD7A"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Advanced Diploma or Diploma</w:t>
                            </w:r>
                          </w:p>
                        </w:tc>
                        <w:tc>
                          <w:tcPr>
                            <w:tcW w:w="898" w:type="dxa"/>
                            <w:shd w:val="clear" w:color="auto" w:fill="114A93"/>
                            <w:noWrap/>
                            <w:vAlign w:val="center"/>
                            <w:hideMark/>
                          </w:tcPr>
                          <w:p w14:paraId="214111F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15%</w:t>
                            </w:r>
                          </w:p>
                        </w:tc>
                        <w:tc>
                          <w:tcPr>
                            <w:tcW w:w="899" w:type="dxa"/>
                            <w:gridSpan w:val="2"/>
                            <w:shd w:val="clear" w:color="auto" w:fill="2B4282"/>
                            <w:noWrap/>
                            <w:vAlign w:val="center"/>
                            <w:hideMark/>
                          </w:tcPr>
                          <w:p w14:paraId="5859FE4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19%</w:t>
                            </w:r>
                          </w:p>
                        </w:tc>
                        <w:tc>
                          <w:tcPr>
                            <w:tcW w:w="898" w:type="dxa"/>
                            <w:shd w:val="clear" w:color="auto" w:fill="FFFFFF"/>
                            <w:noWrap/>
                            <w:vAlign w:val="center"/>
                            <w:hideMark/>
                          </w:tcPr>
                          <w:p w14:paraId="0F7BC3D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82" w:type="dxa"/>
                            <w:shd w:val="clear" w:color="auto" w:fill="FFFFFF"/>
                            <w:noWrap/>
                            <w:vAlign w:val="center"/>
                            <w:hideMark/>
                          </w:tcPr>
                          <w:p w14:paraId="1A14690B"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1" w:type="dxa"/>
                            <w:gridSpan w:val="2"/>
                            <w:shd w:val="clear" w:color="auto" w:fill="FFFFFF"/>
                            <w:noWrap/>
                            <w:vAlign w:val="center"/>
                            <w:hideMark/>
                          </w:tcPr>
                          <w:p w14:paraId="1C0E9A5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7744098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082E0E3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69E3C777"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6268139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7C7AA6BF" w14:textId="77777777">
                        <w:trPr>
                          <w:gridAfter w:val="2"/>
                          <w:wAfter w:w="956" w:type="dxa"/>
                          <w:trHeight w:val="417"/>
                        </w:trPr>
                        <w:tc>
                          <w:tcPr>
                            <w:tcW w:w="425" w:type="dxa"/>
                            <w:vMerge/>
                            <w:vAlign w:val="center"/>
                            <w:hideMark/>
                          </w:tcPr>
                          <w:p w14:paraId="2E503BB9"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57100318"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Certificate level I to IV</w:t>
                            </w:r>
                          </w:p>
                        </w:tc>
                        <w:tc>
                          <w:tcPr>
                            <w:tcW w:w="898" w:type="dxa"/>
                            <w:shd w:val="clear" w:color="auto" w:fill="104A93"/>
                            <w:noWrap/>
                            <w:vAlign w:val="center"/>
                            <w:hideMark/>
                          </w:tcPr>
                          <w:p w14:paraId="1C53963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15%</w:t>
                            </w:r>
                          </w:p>
                        </w:tc>
                        <w:tc>
                          <w:tcPr>
                            <w:tcW w:w="899" w:type="dxa"/>
                            <w:gridSpan w:val="2"/>
                            <w:shd w:val="clear" w:color="auto" w:fill="2C4282"/>
                            <w:noWrap/>
                            <w:vAlign w:val="center"/>
                            <w:hideMark/>
                          </w:tcPr>
                          <w:p w14:paraId="4DB6CEC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19%</w:t>
                            </w:r>
                          </w:p>
                        </w:tc>
                        <w:tc>
                          <w:tcPr>
                            <w:tcW w:w="898" w:type="dxa"/>
                            <w:shd w:val="clear" w:color="auto" w:fill="3E3C77"/>
                            <w:noWrap/>
                            <w:vAlign w:val="center"/>
                            <w:hideMark/>
                          </w:tcPr>
                          <w:p w14:paraId="792708A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22%</w:t>
                            </w:r>
                          </w:p>
                        </w:tc>
                        <w:tc>
                          <w:tcPr>
                            <w:tcW w:w="982" w:type="dxa"/>
                            <w:shd w:val="clear" w:color="auto" w:fill="FFFFFF"/>
                            <w:noWrap/>
                            <w:vAlign w:val="center"/>
                            <w:hideMark/>
                          </w:tcPr>
                          <w:p w14:paraId="698495A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1" w:type="dxa"/>
                            <w:gridSpan w:val="2"/>
                            <w:shd w:val="clear" w:color="auto" w:fill="FFFFFF"/>
                            <w:noWrap/>
                            <w:vAlign w:val="center"/>
                            <w:hideMark/>
                          </w:tcPr>
                          <w:p w14:paraId="1E6E52E2"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096E5D7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6A03EB3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33630F58"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7A507A8F"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5FE01DDB" w14:textId="77777777">
                        <w:trPr>
                          <w:gridAfter w:val="2"/>
                          <w:wAfter w:w="956" w:type="dxa"/>
                          <w:trHeight w:val="417"/>
                        </w:trPr>
                        <w:tc>
                          <w:tcPr>
                            <w:tcW w:w="425" w:type="dxa"/>
                            <w:vMerge/>
                            <w:vAlign w:val="center"/>
                            <w:hideMark/>
                          </w:tcPr>
                          <w:p w14:paraId="085BF5AF"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4AECFDA2"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12</w:t>
                            </w:r>
                          </w:p>
                        </w:tc>
                        <w:tc>
                          <w:tcPr>
                            <w:tcW w:w="898" w:type="dxa"/>
                            <w:shd w:val="clear" w:color="auto" w:fill="144991"/>
                            <w:noWrap/>
                            <w:vAlign w:val="center"/>
                            <w:hideMark/>
                          </w:tcPr>
                          <w:p w14:paraId="00CB1F8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16%</w:t>
                            </w:r>
                          </w:p>
                        </w:tc>
                        <w:tc>
                          <w:tcPr>
                            <w:tcW w:w="899" w:type="dxa"/>
                            <w:gridSpan w:val="2"/>
                            <w:shd w:val="clear" w:color="auto" w:fill="353F7C"/>
                            <w:noWrap/>
                            <w:vAlign w:val="center"/>
                            <w:hideMark/>
                          </w:tcPr>
                          <w:p w14:paraId="0B841758"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20%</w:t>
                            </w:r>
                          </w:p>
                        </w:tc>
                        <w:tc>
                          <w:tcPr>
                            <w:tcW w:w="898" w:type="dxa"/>
                            <w:shd w:val="clear" w:color="auto" w:fill="463A72"/>
                            <w:noWrap/>
                            <w:vAlign w:val="center"/>
                            <w:hideMark/>
                          </w:tcPr>
                          <w:p w14:paraId="65803407"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23%</w:t>
                            </w:r>
                          </w:p>
                        </w:tc>
                        <w:tc>
                          <w:tcPr>
                            <w:tcW w:w="982" w:type="dxa"/>
                            <w:shd w:val="clear" w:color="auto" w:fill="433B74"/>
                            <w:noWrap/>
                            <w:vAlign w:val="center"/>
                            <w:hideMark/>
                          </w:tcPr>
                          <w:p w14:paraId="0258EA9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22%</w:t>
                            </w:r>
                          </w:p>
                        </w:tc>
                        <w:tc>
                          <w:tcPr>
                            <w:tcW w:w="901" w:type="dxa"/>
                            <w:gridSpan w:val="2"/>
                            <w:shd w:val="clear" w:color="auto" w:fill="FFFFFF"/>
                            <w:noWrap/>
                            <w:vAlign w:val="center"/>
                            <w:hideMark/>
                          </w:tcPr>
                          <w:p w14:paraId="282B7BC4"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899" w:type="dxa"/>
                            <w:gridSpan w:val="2"/>
                            <w:shd w:val="clear" w:color="auto" w:fill="FFFFFF"/>
                            <w:noWrap/>
                            <w:vAlign w:val="center"/>
                            <w:hideMark/>
                          </w:tcPr>
                          <w:p w14:paraId="2737E5C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26779A8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5570EC16"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681DF22A"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757E5BCB" w14:textId="77777777">
                        <w:trPr>
                          <w:gridAfter w:val="2"/>
                          <w:wAfter w:w="956" w:type="dxa"/>
                          <w:trHeight w:val="417"/>
                        </w:trPr>
                        <w:tc>
                          <w:tcPr>
                            <w:tcW w:w="425" w:type="dxa"/>
                            <w:vMerge/>
                            <w:vAlign w:val="center"/>
                            <w:hideMark/>
                          </w:tcPr>
                          <w:p w14:paraId="33E64A47"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24BC58F7"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11</w:t>
                            </w:r>
                          </w:p>
                        </w:tc>
                        <w:tc>
                          <w:tcPr>
                            <w:tcW w:w="898" w:type="dxa"/>
                            <w:shd w:val="clear" w:color="auto" w:fill="244487"/>
                            <w:noWrap/>
                            <w:vAlign w:val="center"/>
                            <w:hideMark/>
                          </w:tcPr>
                          <w:p w14:paraId="68ADC708"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18%</w:t>
                            </w:r>
                          </w:p>
                        </w:tc>
                        <w:tc>
                          <w:tcPr>
                            <w:tcW w:w="899" w:type="dxa"/>
                            <w:gridSpan w:val="2"/>
                            <w:shd w:val="clear" w:color="auto" w:fill="52366B"/>
                            <w:noWrap/>
                            <w:vAlign w:val="center"/>
                            <w:hideMark/>
                          </w:tcPr>
                          <w:p w14:paraId="6DB96CCC"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24%</w:t>
                            </w:r>
                          </w:p>
                        </w:tc>
                        <w:tc>
                          <w:tcPr>
                            <w:tcW w:w="898" w:type="dxa"/>
                            <w:shd w:val="clear" w:color="auto" w:fill="692F5C"/>
                            <w:noWrap/>
                            <w:vAlign w:val="center"/>
                            <w:hideMark/>
                          </w:tcPr>
                          <w:p w14:paraId="7D8FC7B7"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28%</w:t>
                            </w:r>
                          </w:p>
                        </w:tc>
                        <w:tc>
                          <w:tcPr>
                            <w:tcW w:w="982" w:type="dxa"/>
                            <w:shd w:val="clear" w:color="auto" w:fill="6B2E5B"/>
                            <w:noWrap/>
                            <w:vAlign w:val="center"/>
                            <w:hideMark/>
                          </w:tcPr>
                          <w:p w14:paraId="0FEDB03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28%</w:t>
                            </w:r>
                          </w:p>
                        </w:tc>
                        <w:tc>
                          <w:tcPr>
                            <w:tcW w:w="901" w:type="dxa"/>
                            <w:gridSpan w:val="2"/>
                            <w:shd w:val="clear" w:color="auto" w:fill="8D2447"/>
                            <w:noWrap/>
                            <w:vAlign w:val="center"/>
                            <w:hideMark/>
                          </w:tcPr>
                          <w:p w14:paraId="2C8D134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32%</w:t>
                            </w:r>
                          </w:p>
                        </w:tc>
                        <w:tc>
                          <w:tcPr>
                            <w:tcW w:w="899" w:type="dxa"/>
                            <w:gridSpan w:val="2"/>
                            <w:shd w:val="clear" w:color="auto" w:fill="FFFFFF"/>
                            <w:noWrap/>
                            <w:vAlign w:val="center"/>
                            <w:hideMark/>
                          </w:tcPr>
                          <w:p w14:paraId="3B287B15"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906" w:type="dxa"/>
                            <w:shd w:val="clear" w:color="auto" w:fill="FFFFFF"/>
                            <w:noWrap/>
                            <w:vAlign w:val="center"/>
                            <w:hideMark/>
                          </w:tcPr>
                          <w:p w14:paraId="1B069FA2"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6826DCDF"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35F43AB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1148EC9B" w14:textId="77777777">
                        <w:trPr>
                          <w:gridAfter w:val="2"/>
                          <w:wAfter w:w="956" w:type="dxa"/>
                          <w:trHeight w:val="417"/>
                        </w:trPr>
                        <w:tc>
                          <w:tcPr>
                            <w:tcW w:w="425" w:type="dxa"/>
                            <w:vMerge/>
                            <w:vAlign w:val="center"/>
                            <w:hideMark/>
                          </w:tcPr>
                          <w:p w14:paraId="0B94739C"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5923DAB2"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10</w:t>
                            </w:r>
                          </w:p>
                        </w:tc>
                        <w:tc>
                          <w:tcPr>
                            <w:tcW w:w="898" w:type="dxa"/>
                            <w:shd w:val="clear" w:color="auto" w:fill="30407F"/>
                            <w:noWrap/>
                            <w:vAlign w:val="center"/>
                            <w:hideMark/>
                          </w:tcPr>
                          <w:p w14:paraId="4F89D34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20%</w:t>
                            </w:r>
                          </w:p>
                        </w:tc>
                        <w:tc>
                          <w:tcPr>
                            <w:tcW w:w="899" w:type="dxa"/>
                            <w:gridSpan w:val="2"/>
                            <w:shd w:val="clear" w:color="auto" w:fill="5D3264"/>
                            <w:noWrap/>
                            <w:vAlign w:val="center"/>
                            <w:hideMark/>
                          </w:tcPr>
                          <w:p w14:paraId="757A305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26%</w:t>
                            </w:r>
                          </w:p>
                        </w:tc>
                        <w:tc>
                          <w:tcPr>
                            <w:tcW w:w="898" w:type="dxa"/>
                            <w:shd w:val="clear" w:color="auto" w:fill="762B54"/>
                            <w:noWrap/>
                            <w:vAlign w:val="center"/>
                            <w:hideMark/>
                          </w:tcPr>
                          <w:p w14:paraId="6B9E522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29%</w:t>
                            </w:r>
                          </w:p>
                        </w:tc>
                        <w:tc>
                          <w:tcPr>
                            <w:tcW w:w="982" w:type="dxa"/>
                            <w:shd w:val="clear" w:color="auto" w:fill="80284E"/>
                            <w:noWrap/>
                            <w:vAlign w:val="center"/>
                            <w:hideMark/>
                          </w:tcPr>
                          <w:p w14:paraId="33C176A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31%</w:t>
                            </w:r>
                          </w:p>
                        </w:tc>
                        <w:tc>
                          <w:tcPr>
                            <w:tcW w:w="901" w:type="dxa"/>
                            <w:gridSpan w:val="2"/>
                            <w:shd w:val="clear" w:color="auto" w:fill="B2182F"/>
                            <w:noWrap/>
                            <w:vAlign w:val="center"/>
                            <w:hideMark/>
                          </w:tcPr>
                          <w:p w14:paraId="1FF1ED90"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38%</w:t>
                            </w:r>
                          </w:p>
                        </w:tc>
                        <w:tc>
                          <w:tcPr>
                            <w:tcW w:w="899" w:type="dxa"/>
                            <w:gridSpan w:val="2"/>
                            <w:shd w:val="clear" w:color="auto" w:fill="A71C37"/>
                            <w:noWrap/>
                            <w:vAlign w:val="center"/>
                            <w:hideMark/>
                          </w:tcPr>
                          <w:p w14:paraId="1F3381AF"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36%</w:t>
                            </w:r>
                          </w:p>
                        </w:tc>
                        <w:tc>
                          <w:tcPr>
                            <w:tcW w:w="906" w:type="dxa"/>
                            <w:shd w:val="clear" w:color="auto" w:fill="FFFFFF"/>
                            <w:noWrap/>
                            <w:vAlign w:val="center"/>
                            <w:hideMark/>
                          </w:tcPr>
                          <w:p w14:paraId="1602DE49"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 </w:t>
                            </w:r>
                          </w:p>
                        </w:tc>
                        <w:tc>
                          <w:tcPr>
                            <w:tcW w:w="236" w:type="dxa"/>
                            <w:shd w:val="clear" w:color="auto" w:fill="FFFFFF"/>
                            <w:noWrap/>
                            <w:vAlign w:val="bottom"/>
                          </w:tcPr>
                          <w:p w14:paraId="0716437B"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7C27788E"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4FFE5408" w14:textId="77777777">
                        <w:trPr>
                          <w:gridAfter w:val="2"/>
                          <w:wAfter w:w="956" w:type="dxa"/>
                          <w:trHeight w:val="417"/>
                        </w:trPr>
                        <w:tc>
                          <w:tcPr>
                            <w:tcW w:w="425" w:type="dxa"/>
                            <w:vMerge/>
                            <w:vAlign w:val="center"/>
                            <w:hideMark/>
                          </w:tcPr>
                          <w:p w14:paraId="35A9A417" w14:textId="77777777" w:rsidR="006D3F4A" w:rsidRDefault="006D3F4A">
                            <w:pPr>
                              <w:spacing w:after="0" w:line="256" w:lineRule="auto"/>
                              <w:rPr>
                                <w:rFonts w:ascii="Calibri" w:eastAsia="Times New Roman" w:hAnsi="Calibri" w:cs="Calibri"/>
                                <w:b/>
                                <w:bCs/>
                                <w:lang w:eastAsia="en-AU"/>
                              </w:rPr>
                            </w:pPr>
                          </w:p>
                        </w:tc>
                        <w:tc>
                          <w:tcPr>
                            <w:tcW w:w="1542" w:type="dxa"/>
                            <w:shd w:val="clear" w:color="auto" w:fill="FFFFFF"/>
                            <w:noWrap/>
                            <w:vAlign w:val="center"/>
                            <w:hideMark/>
                          </w:tcPr>
                          <w:p w14:paraId="4808DF85" w14:textId="77777777" w:rsidR="006D3F4A" w:rsidRDefault="006D3F4A">
                            <w:pPr>
                              <w:spacing w:after="0" w:line="256" w:lineRule="auto"/>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Year 9 or below</w:t>
                            </w:r>
                          </w:p>
                        </w:tc>
                        <w:tc>
                          <w:tcPr>
                            <w:tcW w:w="898" w:type="dxa"/>
                            <w:shd w:val="clear" w:color="auto" w:fill="593466"/>
                            <w:noWrap/>
                            <w:vAlign w:val="center"/>
                            <w:hideMark/>
                          </w:tcPr>
                          <w:p w14:paraId="1773D10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25%</w:t>
                            </w:r>
                          </w:p>
                        </w:tc>
                        <w:tc>
                          <w:tcPr>
                            <w:tcW w:w="899" w:type="dxa"/>
                            <w:gridSpan w:val="2"/>
                            <w:shd w:val="clear" w:color="auto" w:fill="8A2548"/>
                            <w:noWrap/>
                            <w:vAlign w:val="center"/>
                            <w:hideMark/>
                          </w:tcPr>
                          <w:p w14:paraId="5125C51D"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32%</w:t>
                            </w:r>
                          </w:p>
                        </w:tc>
                        <w:tc>
                          <w:tcPr>
                            <w:tcW w:w="898" w:type="dxa"/>
                            <w:shd w:val="clear" w:color="auto" w:fill="B11930"/>
                            <w:noWrap/>
                            <w:vAlign w:val="center"/>
                            <w:hideMark/>
                          </w:tcPr>
                          <w:p w14:paraId="3107DAC1"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37%</w:t>
                            </w:r>
                          </w:p>
                        </w:tc>
                        <w:tc>
                          <w:tcPr>
                            <w:tcW w:w="982" w:type="dxa"/>
                            <w:shd w:val="clear" w:color="auto" w:fill="AC1A33"/>
                            <w:noWrap/>
                            <w:vAlign w:val="center"/>
                            <w:hideMark/>
                          </w:tcPr>
                          <w:p w14:paraId="155FE333"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37%</w:t>
                            </w:r>
                          </w:p>
                        </w:tc>
                        <w:tc>
                          <w:tcPr>
                            <w:tcW w:w="901" w:type="dxa"/>
                            <w:gridSpan w:val="2"/>
                            <w:shd w:val="clear" w:color="auto" w:fill="D80C18"/>
                            <w:noWrap/>
                            <w:vAlign w:val="center"/>
                            <w:hideMark/>
                          </w:tcPr>
                          <w:p w14:paraId="1A9BE123"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43%</w:t>
                            </w:r>
                          </w:p>
                        </w:tc>
                        <w:tc>
                          <w:tcPr>
                            <w:tcW w:w="899" w:type="dxa"/>
                            <w:gridSpan w:val="2"/>
                            <w:shd w:val="clear" w:color="auto" w:fill="F30408"/>
                            <w:noWrap/>
                            <w:vAlign w:val="center"/>
                            <w:hideMark/>
                          </w:tcPr>
                          <w:p w14:paraId="6918CBBC" w14:textId="77777777" w:rsidR="006D3F4A" w:rsidRPr="00366AA1" w:rsidRDefault="006D3F4A">
                            <w:pPr>
                              <w:spacing w:after="0" w:line="256" w:lineRule="auto"/>
                              <w:jc w:val="center"/>
                              <w:rPr>
                                <w:rFonts w:ascii="Calibri" w:eastAsia="Times New Roman" w:hAnsi="Calibri" w:cs="Calibri"/>
                                <w:b/>
                                <w:bCs/>
                                <w:sz w:val="20"/>
                                <w:szCs w:val="20"/>
                                <w:lang w:eastAsia="en-AU"/>
                              </w:rPr>
                            </w:pPr>
                            <w:r w:rsidRPr="00366AA1">
                              <w:rPr>
                                <w:rFonts w:ascii="Calibri" w:eastAsia="Times New Roman" w:hAnsi="Calibri" w:cs="Calibri"/>
                                <w:b/>
                                <w:bCs/>
                                <w:sz w:val="20"/>
                                <w:szCs w:val="20"/>
                                <w:lang w:eastAsia="en-AU"/>
                              </w:rPr>
                              <w:t>47%</w:t>
                            </w:r>
                          </w:p>
                        </w:tc>
                        <w:tc>
                          <w:tcPr>
                            <w:tcW w:w="906" w:type="dxa"/>
                            <w:shd w:val="clear" w:color="auto" w:fill="D40E1B"/>
                            <w:noWrap/>
                            <w:vAlign w:val="center"/>
                            <w:hideMark/>
                          </w:tcPr>
                          <w:p w14:paraId="774CEB32"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r w:rsidRPr="00803112">
                              <w:rPr>
                                <w:rFonts w:ascii="Calibri" w:eastAsia="Times New Roman" w:hAnsi="Calibri" w:cs="Calibri"/>
                                <w:b/>
                                <w:bCs/>
                                <w:color w:val="FFFFFF"/>
                                <w:sz w:val="20"/>
                                <w:szCs w:val="20"/>
                                <w:lang w:eastAsia="en-AU"/>
                              </w:rPr>
                              <w:t>42%</w:t>
                            </w:r>
                          </w:p>
                        </w:tc>
                        <w:tc>
                          <w:tcPr>
                            <w:tcW w:w="236" w:type="dxa"/>
                            <w:shd w:val="clear" w:color="auto" w:fill="FFFFFF"/>
                            <w:noWrap/>
                            <w:vAlign w:val="bottom"/>
                          </w:tcPr>
                          <w:p w14:paraId="5CE7DFB0" w14:textId="77777777" w:rsidR="006D3F4A" w:rsidRPr="00803112" w:rsidRDefault="006D3F4A">
                            <w:pPr>
                              <w:spacing w:after="0" w:line="256" w:lineRule="auto"/>
                              <w:rPr>
                                <w:rFonts w:ascii="Calibri" w:eastAsia="Times New Roman" w:hAnsi="Calibri" w:cs="Calibri"/>
                                <w:color w:val="000000"/>
                                <w:sz w:val="20"/>
                                <w:szCs w:val="20"/>
                                <w:lang w:eastAsia="en-AU"/>
                              </w:rPr>
                            </w:pPr>
                          </w:p>
                        </w:tc>
                        <w:tc>
                          <w:tcPr>
                            <w:tcW w:w="898" w:type="dxa"/>
                            <w:noWrap/>
                            <w:vAlign w:val="center"/>
                          </w:tcPr>
                          <w:p w14:paraId="467D4CF6" w14:textId="77777777" w:rsidR="006D3F4A" w:rsidRPr="00803112" w:rsidRDefault="006D3F4A">
                            <w:pPr>
                              <w:spacing w:after="0" w:line="256" w:lineRule="auto"/>
                              <w:jc w:val="center"/>
                              <w:rPr>
                                <w:rFonts w:ascii="Calibri" w:eastAsia="Times New Roman" w:hAnsi="Calibri" w:cs="Calibri"/>
                                <w:b/>
                                <w:bCs/>
                                <w:color w:val="FFFFFF"/>
                                <w:sz w:val="20"/>
                                <w:szCs w:val="20"/>
                                <w:lang w:eastAsia="en-AU"/>
                              </w:rPr>
                            </w:pPr>
                          </w:p>
                        </w:tc>
                      </w:tr>
                      <w:tr w:rsidR="006D3F4A" w14:paraId="0AAD8B0F" w14:textId="77777777">
                        <w:trPr>
                          <w:trHeight w:val="252"/>
                        </w:trPr>
                        <w:tc>
                          <w:tcPr>
                            <w:tcW w:w="425" w:type="dxa"/>
                            <w:shd w:val="clear" w:color="auto" w:fill="FFFFFF"/>
                            <w:textDirection w:val="btLr"/>
                            <w:vAlign w:val="center"/>
                            <w:hideMark/>
                          </w:tcPr>
                          <w:p w14:paraId="6AEA8880" w14:textId="77777777" w:rsidR="006D3F4A" w:rsidRDefault="006D3F4A">
                            <w:pPr>
                              <w:spacing w:after="0" w:line="256" w:lineRule="auto"/>
                              <w:rPr>
                                <w:rFonts w:ascii="Calibri" w:eastAsia="Times New Roman" w:hAnsi="Calibri" w:cs="Calibri"/>
                                <w:b/>
                                <w:bCs/>
                                <w:lang w:eastAsia="en-AU"/>
                              </w:rPr>
                            </w:pPr>
                            <w:r>
                              <w:rPr>
                                <w:rFonts w:ascii="Calibri" w:eastAsia="Times New Roman" w:hAnsi="Calibri" w:cs="Calibri"/>
                                <w:b/>
                                <w:bCs/>
                                <w:lang w:eastAsia="en-AU"/>
                              </w:rPr>
                              <w:t> </w:t>
                            </w:r>
                          </w:p>
                        </w:tc>
                        <w:tc>
                          <w:tcPr>
                            <w:tcW w:w="1542" w:type="dxa"/>
                            <w:shd w:val="clear" w:color="auto" w:fill="FFFFFF"/>
                            <w:noWrap/>
                            <w:vAlign w:val="bottom"/>
                            <w:hideMark/>
                          </w:tcPr>
                          <w:p w14:paraId="42838F49"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685" w:type="dxa"/>
                            <w:gridSpan w:val="2"/>
                            <w:shd w:val="clear" w:color="auto" w:fill="FFFFFF"/>
                            <w:noWrap/>
                            <w:vAlign w:val="bottom"/>
                            <w:hideMark/>
                          </w:tcPr>
                          <w:p w14:paraId="4C1CB5DE"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010" w:type="dxa"/>
                            <w:gridSpan w:val="2"/>
                            <w:shd w:val="clear" w:color="auto" w:fill="FFFFFF"/>
                            <w:noWrap/>
                            <w:vAlign w:val="bottom"/>
                            <w:hideMark/>
                          </w:tcPr>
                          <w:p w14:paraId="0479D108"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82" w:type="dxa"/>
                            <w:shd w:val="clear" w:color="auto" w:fill="FFFFFF"/>
                            <w:noWrap/>
                            <w:vAlign w:val="bottom"/>
                            <w:hideMark/>
                          </w:tcPr>
                          <w:p w14:paraId="5054C90B"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490" w:type="dxa"/>
                            <w:shd w:val="clear" w:color="auto" w:fill="FFFFFF"/>
                            <w:noWrap/>
                            <w:vAlign w:val="bottom"/>
                            <w:hideMark/>
                          </w:tcPr>
                          <w:p w14:paraId="5FB17A1E"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638" w:type="dxa"/>
                            <w:gridSpan w:val="2"/>
                            <w:shd w:val="clear" w:color="auto" w:fill="FFFFFF"/>
                            <w:noWrap/>
                            <w:vAlign w:val="bottom"/>
                            <w:hideMark/>
                          </w:tcPr>
                          <w:p w14:paraId="36A6C9E9"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672" w:type="dxa"/>
                            <w:shd w:val="clear" w:color="auto" w:fill="FFFFFF"/>
                            <w:noWrap/>
                            <w:vAlign w:val="bottom"/>
                            <w:hideMark/>
                          </w:tcPr>
                          <w:p w14:paraId="379CB089"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906" w:type="dxa"/>
                            <w:shd w:val="clear" w:color="auto" w:fill="FFFFFF"/>
                            <w:noWrap/>
                            <w:vAlign w:val="bottom"/>
                            <w:hideMark/>
                          </w:tcPr>
                          <w:p w14:paraId="112D36CA"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1545" w:type="dxa"/>
                            <w:gridSpan w:val="3"/>
                            <w:shd w:val="clear" w:color="auto" w:fill="FFFFFF"/>
                            <w:noWrap/>
                            <w:vAlign w:val="bottom"/>
                            <w:hideMark/>
                          </w:tcPr>
                          <w:p w14:paraId="0E9B8DA5"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c>
                          <w:tcPr>
                            <w:tcW w:w="545" w:type="dxa"/>
                            <w:shd w:val="clear" w:color="auto" w:fill="FFFFFF"/>
                            <w:noWrap/>
                            <w:vAlign w:val="bottom"/>
                            <w:hideMark/>
                          </w:tcPr>
                          <w:p w14:paraId="0095B781" w14:textId="77777777" w:rsidR="006D3F4A" w:rsidRDefault="006D3F4A">
                            <w:pPr>
                              <w:spacing w:after="0" w:line="256" w:lineRule="auto"/>
                              <w:rPr>
                                <w:rFonts w:ascii="Calibri" w:eastAsia="Times New Roman" w:hAnsi="Calibri" w:cs="Calibri"/>
                                <w:color w:val="000000"/>
                                <w:lang w:eastAsia="en-AU"/>
                              </w:rPr>
                            </w:pPr>
                            <w:r>
                              <w:rPr>
                                <w:rFonts w:ascii="Calibri" w:eastAsia="Times New Roman" w:hAnsi="Calibri" w:cs="Calibri"/>
                                <w:color w:val="000000"/>
                                <w:lang w:eastAsia="en-AU"/>
                              </w:rPr>
                              <w:t> </w:t>
                            </w:r>
                          </w:p>
                        </w:tc>
                      </w:tr>
                    </w:tbl>
                    <w:p w14:paraId="3EBC84F5" w14:textId="77777777" w:rsidR="006D3F4A" w:rsidRDefault="006D3F4A" w:rsidP="006D3F4A"/>
                  </w:txbxContent>
                </v:textbox>
                <w10:anchorlock/>
              </v:shape>
            </w:pict>
          </mc:Fallback>
        </mc:AlternateContent>
      </w:r>
    </w:p>
    <w:p w14:paraId="535767EB" w14:textId="7ECC0899" w:rsidR="0023750E" w:rsidRPr="000E627D" w:rsidRDefault="0023750E" w:rsidP="00B9354A">
      <w:pPr>
        <w:pStyle w:val="Source"/>
        <w:keepNext/>
      </w:pPr>
      <w:r>
        <w:rPr>
          <w:b/>
          <w:bCs/>
        </w:rPr>
        <w:t>Source</w:t>
      </w:r>
      <w:r w:rsidRPr="000E627D">
        <w:rPr>
          <w:b/>
        </w:rPr>
        <w:t>:</w:t>
      </w:r>
      <w:r>
        <w:t xml:space="preserve"> </w:t>
      </w:r>
      <w:r w:rsidRPr="00B9354A">
        <w:t>Customised ‘First Five Years’ extract from the Multi-Agency Data Integration Project</w:t>
      </w:r>
      <w:r w:rsidRPr="000E627D">
        <w:rPr>
          <w:rStyle w:val="normaltextrun"/>
        </w:rPr>
        <w:t>.</w:t>
      </w:r>
      <w:r w:rsidRPr="000E627D">
        <w:rPr>
          <w:rStyle w:val="eop"/>
        </w:rPr>
        <w:t> </w:t>
      </w:r>
    </w:p>
    <w:p w14:paraId="717EE9F6" w14:textId="45A15011" w:rsidR="0023750E" w:rsidRPr="00DA0A2E" w:rsidRDefault="0023750E" w:rsidP="00B1132D">
      <w:pPr>
        <w:pStyle w:val="Source"/>
        <w:keepNext/>
        <w:rPr>
          <w:szCs w:val="18"/>
        </w:rPr>
      </w:pPr>
      <w:r>
        <w:rPr>
          <w:b/>
          <w:bCs/>
        </w:rPr>
        <w:t>Notes</w:t>
      </w:r>
      <w:r w:rsidRPr="000E627D">
        <w:rPr>
          <w:b/>
        </w:rPr>
        <w:t>:</w:t>
      </w:r>
      <w:r>
        <w:t xml:space="preserve"> </w:t>
      </w:r>
      <w:r w:rsidRPr="000E627D">
        <w:rPr>
          <w:rStyle w:val="normaltextrun"/>
        </w:rPr>
        <w:t>This figure compares children from the 2018 cohort of the Australian Early Development Census.</w:t>
      </w:r>
      <w:r>
        <w:t xml:space="preserve"> N =235,149. Data only available for up to two parents or carers. Parent or carer education</w:t>
      </w:r>
      <w:r w:rsidR="005E3CB9">
        <w:t xml:space="preserve"> was</w:t>
      </w:r>
      <w:r>
        <w:t xml:space="preserve"> identified using the AEDC (see Methodology section).</w:t>
      </w:r>
    </w:p>
    <w:p w14:paraId="2CE282A5" w14:textId="0C9C0351" w:rsidR="0023750E" w:rsidRDefault="0023750E" w:rsidP="0023750E">
      <w:pPr>
        <w:spacing w:line="276" w:lineRule="auto"/>
      </w:pPr>
      <w:r w:rsidRPr="2B0DDAFE">
        <w:rPr>
          <w:rFonts w:ascii="Calibri" w:eastAsia="Calibri" w:hAnsi="Calibri" w:cs="Calibri"/>
        </w:rPr>
        <w:t xml:space="preserve">For children with two parents or carers listed in the AEDC, </w:t>
      </w:r>
      <w:r>
        <w:t xml:space="preserve">as the highest educational attainment of either parent or carer decreased, the proportion of children that were developmentally vulnerable on one or more domains generally increased. </w:t>
      </w:r>
      <w:bookmarkStart w:id="0" w:name="_Hlk146205155"/>
      <w:r>
        <w:t xml:space="preserve">This trend was consistent at all education levels except as it passed through the Certificate level I to IV group when holding the less-educated parent’s education level constant. This is likely because the AEDC contains a broad education level grouping Certificate </w:t>
      </w:r>
      <w:r w:rsidR="05980080">
        <w:t>I</w:t>
      </w:r>
      <w:r>
        <w:t xml:space="preserve"> to IV, treating four distinct education levels under the </w:t>
      </w:r>
      <w:r w:rsidR="003F2269">
        <w:t>Australian Qualifications Framework (</w:t>
      </w:r>
      <w:r>
        <w:t>AQF</w:t>
      </w:r>
      <w:r w:rsidR="003F2269">
        <w:t>)</w:t>
      </w:r>
      <w:r>
        <w:t xml:space="preserve"> as one group (DET 2019). There is a large spread of difficulty and length within the Certificate I-IV grouping reported in the AEDC, making this difficult to order with the other qualifications listed.</w:t>
      </w:r>
    </w:p>
    <w:bookmarkEnd w:id="0"/>
    <w:p w14:paraId="08BACC96" w14:textId="59EE193D" w:rsidR="0023750E" w:rsidRDefault="0023750E" w:rsidP="0023750E">
      <w:pPr>
        <w:spacing w:line="276" w:lineRule="auto"/>
      </w:pPr>
      <w:r>
        <w:t xml:space="preserve">The importance of the less educated parent’s or carers’ education can be illustrated by looking at </w:t>
      </w:r>
      <w:r w:rsidRPr="00193A97">
        <w:t xml:space="preserve">the last row in </w:t>
      </w:r>
      <w:r>
        <w:t xml:space="preserve">Figure 2. </w:t>
      </w:r>
      <w:r w:rsidRPr="00193A97">
        <w:t>For a parent or carer with a highest educational attainment of Year 9 or below, even i</w:t>
      </w:r>
      <w:r w:rsidRPr="00845933">
        <w:t>f</w:t>
      </w:r>
      <w:r>
        <w:t xml:space="preserve"> the other parent or carer has a Bachelor degree or above, the rate of child developmental vulnerability on one or more domains was 25 per cent. As the level of highest educational attainment of the more educated parent or carer decreased, the percentage of children that were developmentally vulnerable on one or more domains increased, with rates at 47 per cent and 42 per cent for Year 10 and Year 9 or below, respectively.</w:t>
      </w:r>
    </w:p>
    <w:p w14:paraId="01474567" w14:textId="77777777" w:rsidR="0023750E" w:rsidRPr="00C34ABC" w:rsidRDefault="0023750E" w:rsidP="0023750E">
      <w:pPr>
        <w:spacing w:line="276" w:lineRule="auto"/>
      </w:pPr>
      <w:r>
        <w:t xml:space="preserve">The prevalence of post-school education among parents or carers of young children in Australia is high. Only 9,756 children had at least one parent or carer with a highest educational attainment of Year 9 or below, with 2,496 children having two parents or carers with a highest educational attainment of Year 9 or below. In contrast, 64,356 children had two parents or carers with </w:t>
      </w:r>
      <w:proofErr w:type="gramStart"/>
      <w:r>
        <w:t>a</w:t>
      </w:r>
      <w:proofErr w:type="gramEnd"/>
      <w:r>
        <w:t xml:space="preserve"> highest educational attainment of </w:t>
      </w:r>
      <w:proofErr w:type="gramStart"/>
      <w:r>
        <w:t>bachelor</w:t>
      </w:r>
      <w:proofErr w:type="gramEnd"/>
      <w:r>
        <w:t xml:space="preserve"> degree or above and a total of 114,361 children had at least one parent or carer with a </w:t>
      </w:r>
      <w:proofErr w:type="gramStart"/>
      <w:r>
        <w:t>bachelor</w:t>
      </w:r>
      <w:proofErr w:type="gramEnd"/>
      <w:r>
        <w:t xml:space="preserve"> degree or above.</w:t>
      </w:r>
    </w:p>
    <w:p w14:paraId="263E28A8" w14:textId="58897005" w:rsidR="0023750E" w:rsidRPr="00427D0C" w:rsidRDefault="0023750E" w:rsidP="0023750E">
      <w:pPr>
        <w:autoSpaceDE w:val="0"/>
        <w:autoSpaceDN w:val="0"/>
        <w:adjustRightInd w:val="0"/>
        <w:spacing w:after="0" w:line="276" w:lineRule="auto"/>
        <w:rPr>
          <w:rFonts w:eastAsia="Calibri"/>
        </w:rPr>
      </w:pPr>
      <w:r w:rsidRPr="000F5D48">
        <w:rPr>
          <w:rFonts w:eastAsia="Calibri"/>
        </w:rPr>
        <w:t xml:space="preserve">Even once a range of other factors were accounted for, our predictive modelling showed that the </w:t>
      </w:r>
      <w:r w:rsidRPr="000F5D48">
        <w:rPr>
          <w:rFonts w:ascii="Calibri" w:eastAsia="Calibri" w:hAnsi="Calibri" w:cs="Calibri"/>
        </w:rPr>
        <w:t xml:space="preserve">highest level of </w:t>
      </w:r>
      <w:r w:rsidRPr="000F5D48">
        <w:rPr>
          <w:rFonts w:eastAsia="Calibri"/>
        </w:rPr>
        <w:t xml:space="preserve">educational attainment of the most educated parent or carer was an important factor for predicting developmental vulnerability (see </w:t>
      </w:r>
      <w:r w:rsidRPr="000F5D48">
        <w:rPr>
          <w:rFonts w:eastAsia="Calibri"/>
          <w:i/>
        </w:rPr>
        <w:t>Predictive modelling</w:t>
      </w:r>
      <w:r w:rsidRPr="000F5D48">
        <w:rPr>
          <w:rFonts w:eastAsia="Calibri"/>
        </w:rPr>
        <w:t xml:space="preserve"> section, Figures 1, 2b, 3b).</w:t>
      </w:r>
    </w:p>
    <w:p w14:paraId="39AA7D44" w14:textId="77777777" w:rsidR="0023750E" w:rsidRDefault="0023750E" w:rsidP="0023750E">
      <w:pPr>
        <w:pStyle w:val="Heading2"/>
        <w:spacing w:line="276" w:lineRule="auto"/>
      </w:pPr>
      <w:r>
        <w:t>Single parent households</w:t>
      </w:r>
    </w:p>
    <w:p w14:paraId="5C945C93" w14:textId="2B9B5379" w:rsidR="0023750E" w:rsidRDefault="0023750E" w:rsidP="0023750E">
      <w:pPr>
        <w:autoSpaceDE w:val="0"/>
        <w:autoSpaceDN w:val="0"/>
        <w:adjustRightInd w:val="0"/>
        <w:spacing w:line="276" w:lineRule="auto"/>
        <w:rPr>
          <w:rFonts w:eastAsia="Calibri"/>
        </w:rPr>
      </w:pPr>
      <w:r>
        <w:rPr>
          <w:rFonts w:eastAsia="Calibri" w:cstheme="minorHAnsi"/>
        </w:rPr>
        <w:t>Overall, children from single parent households had higher rates of developmental vulnerability than children with two parents (29 and 18 per cent respectively), and this was true for all parental education levels (Figure 3). D</w:t>
      </w:r>
      <w:r w:rsidRPr="0047793C">
        <w:rPr>
          <w:rFonts w:eastAsia="Calibri" w:cstheme="minorHAnsi"/>
        </w:rPr>
        <w:t xml:space="preserve">evelopmental vulnerability </w:t>
      </w:r>
      <w:r>
        <w:rPr>
          <w:rFonts w:eastAsia="Calibri" w:cstheme="minorHAnsi"/>
        </w:rPr>
        <w:t xml:space="preserve">of children in single parent </w:t>
      </w:r>
      <w:r w:rsidRPr="0047793C">
        <w:rPr>
          <w:rFonts w:eastAsia="Calibri" w:cstheme="minorHAnsi"/>
        </w:rPr>
        <w:t xml:space="preserve">households </w:t>
      </w:r>
      <w:r>
        <w:rPr>
          <w:rFonts w:eastAsia="Calibri" w:cstheme="minorHAnsi"/>
        </w:rPr>
        <w:t>de</w:t>
      </w:r>
      <w:r w:rsidRPr="0047793C">
        <w:rPr>
          <w:rFonts w:eastAsia="Calibri" w:cstheme="minorHAnsi"/>
        </w:rPr>
        <w:t xml:space="preserve">creases </w:t>
      </w:r>
      <w:r>
        <w:rPr>
          <w:rFonts w:eastAsia="Calibri" w:cstheme="minorHAnsi"/>
        </w:rPr>
        <w:t xml:space="preserve">as </w:t>
      </w:r>
      <w:r w:rsidRPr="0047793C">
        <w:rPr>
          <w:rFonts w:eastAsia="Calibri" w:cstheme="minorHAnsi"/>
        </w:rPr>
        <w:t>parent or carer educational attainment</w:t>
      </w:r>
      <w:r>
        <w:rPr>
          <w:rFonts w:eastAsia="Calibri" w:cstheme="minorHAnsi"/>
        </w:rPr>
        <w:t xml:space="preserve"> increases</w:t>
      </w:r>
      <w:r w:rsidRPr="0047793C">
        <w:rPr>
          <w:rFonts w:eastAsia="Calibri" w:cstheme="minorHAnsi"/>
        </w:rPr>
        <w:t xml:space="preserve">, ranging from 48 per cent for </w:t>
      </w:r>
      <w:r w:rsidRPr="0047793C">
        <w:rPr>
          <w:rFonts w:ascii="Calibri" w:eastAsia="Times New Roman" w:hAnsi="Calibri" w:cs="Calibri"/>
          <w:color w:val="000000"/>
          <w:lang w:eastAsia="en-AU"/>
        </w:rPr>
        <w:t xml:space="preserve">Year 9 or below </w:t>
      </w:r>
      <w:r>
        <w:rPr>
          <w:rFonts w:ascii="Calibri" w:eastAsia="Times New Roman" w:hAnsi="Calibri" w:cs="Calibri"/>
          <w:color w:val="000000"/>
          <w:lang w:eastAsia="en-AU"/>
        </w:rPr>
        <w:t xml:space="preserve">to </w:t>
      </w:r>
      <w:r w:rsidRPr="0047793C">
        <w:rPr>
          <w:rFonts w:eastAsia="Calibri" w:cstheme="minorHAnsi"/>
        </w:rPr>
        <w:t xml:space="preserve">18 per cent for </w:t>
      </w:r>
      <w:r w:rsidRPr="0047793C">
        <w:rPr>
          <w:rFonts w:ascii="Calibri" w:eastAsia="Times New Roman" w:hAnsi="Calibri" w:cs="Calibri"/>
          <w:color w:val="000000"/>
          <w:lang w:eastAsia="en-AU"/>
        </w:rPr>
        <w:t xml:space="preserve">Bachelor degree or above. </w:t>
      </w:r>
      <w:r>
        <w:rPr>
          <w:rFonts w:eastAsia="Calibri" w:cstheme="minorHAnsi"/>
        </w:rPr>
        <w:t xml:space="preserve">Our predictive modelling identified being from a single parent household as an important factor of developmental vulnerability (see </w:t>
      </w:r>
      <w:r w:rsidRPr="00B10503">
        <w:rPr>
          <w:rFonts w:eastAsia="Calibri" w:cstheme="minorHAnsi"/>
          <w:i/>
          <w:iCs/>
        </w:rPr>
        <w:t>Predictive modelling</w:t>
      </w:r>
      <w:r>
        <w:rPr>
          <w:rFonts w:eastAsia="Calibri" w:cstheme="minorHAnsi"/>
        </w:rPr>
        <w:t xml:space="preserve"> section, Figure 1)</w:t>
      </w:r>
      <w:r>
        <w:rPr>
          <w:rStyle w:val="FootnoteReference"/>
          <w:rFonts w:eastAsia="Calibri" w:cstheme="minorHAnsi"/>
        </w:rPr>
        <w:footnoteReference w:id="3"/>
      </w:r>
      <w:r>
        <w:t>.</w:t>
      </w:r>
    </w:p>
    <w:p w14:paraId="42B064D8" w14:textId="77777777" w:rsidR="0023750E" w:rsidRDefault="0023750E" w:rsidP="005E52A4">
      <w:pPr>
        <w:pStyle w:val="Caption"/>
      </w:pPr>
      <w:r w:rsidRPr="00AA028A">
        <w:rPr>
          <w:rFonts w:ascii="Calibri" w:eastAsia="Calibri" w:hAnsi="Calibri" w:cs="Calibri"/>
        </w:rPr>
        <w:t xml:space="preserve">Figure </w:t>
      </w:r>
      <w:r>
        <w:rPr>
          <w:rFonts w:ascii="Calibri" w:eastAsia="Calibri" w:hAnsi="Calibri" w:cs="Calibri"/>
        </w:rPr>
        <w:t>3</w:t>
      </w:r>
      <w:r w:rsidRPr="00AA028A">
        <w:rPr>
          <w:rFonts w:ascii="Calibri" w:eastAsia="Calibri" w:hAnsi="Calibri" w:cs="Calibri"/>
        </w:rPr>
        <w:t xml:space="preserve">. </w:t>
      </w:r>
      <w:r w:rsidRPr="00AA028A">
        <w:t>Proportion</w:t>
      </w:r>
      <w:r>
        <w:t xml:space="preserve"> (%)</w:t>
      </w:r>
      <w:r w:rsidRPr="00AA028A">
        <w:t xml:space="preserve"> </w:t>
      </w:r>
      <w:r>
        <w:t>of children who are d</w:t>
      </w:r>
      <w:r w:rsidRPr="1D1D130D">
        <w:t>evelopmental</w:t>
      </w:r>
      <w:r>
        <w:t>ly</w:t>
      </w:r>
      <w:r w:rsidRPr="1D1D130D">
        <w:t xml:space="preserve"> vulnerab</w:t>
      </w:r>
      <w:r>
        <w:t>le on one or more domains, by highest educational attainment of most educated parent or carer, by single parent household status, 2018 AEDC cohort.</w:t>
      </w:r>
    </w:p>
    <w:p w14:paraId="04198C76" w14:textId="77777777" w:rsidR="0023750E" w:rsidRDefault="0023750E" w:rsidP="00ED511F">
      <w:pPr>
        <w:keepNext/>
        <w:autoSpaceDE w:val="0"/>
        <w:autoSpaceDN w:val="0"/>
        <w:adjustRightInd w:val="0"/>
        <w:spacing w:line="276" w:lineRule="auto"/>
        <w:rPr>
          <w:rFonts w:eastAsia="Calibri"/>
        </w:rPr>
      </w:pPr>
      <w:r>
        <w:rPr>
          <w:noProof/>
        </w:rPr>
        <w:drawing>
          <wp:inline distT="0" distB="0" distL="0" distR="0" wp14:anchorId="4B6C7813" wp14:editId="084CB378">
            <wp:extent cx="5376630" cy="2971362"/>
            <wp:effectExtent l="0" t="0" r="0" b="635"/>
            <wp:docPr id="1775719901" name="Chart 1" descr="Figure 1 shows that higher levels of the most educated parent or carer educational attainment were associated with lower rates of child developmental vulnerability.">
              <a:extLst xmlns:a="http://schemas.openxmlformats.org/drawingml/2006/main">
                <a:ext uri="{FF2B5EF4-FFF2-40B4-BE49-F238E27FC236}">
                  <a16:creationId xmlns:a16="http://schemas.microsoft.com/office/drawing/2014/main" id="{91849FF9-9E20-4D3C-9392-16827F323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2E441C" w14:textId="799BC7CA" w:rsidR="0023750E" w:rsidRPr="000E627D" w:rsidRDefault="0023750E" w:rsidP="00ED511F">
      <w:pPr>
        <w:pStyle w:val="Source"/>
        <w:keepNext/>
      </w:pPr>
      <w:r>
        <w:rPr>
          <w:b/>
          <w:bCs/>
        </w:rPr>
        <w:t>Source</w:t>
      </w:r>
      <w:r w:rsidRPr="000E627D">
        <w:rPr>
          <w:b/>
        </w:rPr>
        <w:t>:</w:t>
      </w:r>
      <w:r>
        <w:t xml:space="preserve"> </w:t>
      </w:r>
      <w:r w:rsidRPr="000E627D">
        <w:rPr>
          <w:rStyle w:val="normaltextrun"/>
        </w:rPr>
        <w:t>Customised ‘First Five Years’ extract from the Multi-Agency Data Integration Project.</w:t>
      </w:r>
      <w:r w:rsidRPr="000E627D">
        <w:rPr>
          <w:rStyle w:val="eop"/>
        </w:rPr>
        <w:t> </w:t>
      </w:r>
      <w:r w:rsidRPr="000E627D">
        <w:t xml:space="preserve"> </w:t>
      </w:r>
    </w:p>
    <w:p w14:paraId="00F7DDB0" w14:textId="45B18091" w:rsidR="0023750E" w:rsidRPr="000E627D" w:rsidRDefault="0023750E" w:rsidP="00ED511F">
      <w:pPr>
        <w:pStyle w:val="Source"/>
        <w:keepNext/>
        <w:rPr>
          <w:rStyle w:val="CommentReference"/>
          <w:sz w:val="18"/>
          <w:szCs w:val="22"/>
        </w:rPr>
      </w:pPr>
      <w:r>
        <w:rPr>
          <w:b/>
          <w:bCs/>
        </w:rPr>
        <w:t>Notes</w:t>
      </w:r>
      <w:r w:rsidRPr="000E627D">
        <w:rPr>
          <w:b/>
        </w:rPr>
        <w:t>:</w:t>
      </w:r>
      <w:r>
        <w:t xml:space="preserve"> </w:t>
      </w:r>
      <w:r w:rsidRPr="000E627D">
        <w:rPr>
          <w:rStyle w:val="normaltextrun"/>
        </w:rPr>
        <w:t>This figure compares children from the 2018 cohort of the Australian Early Development Census.</w:t>
      </w:r>
      <w:r>
        <w:t xml:space="preserve"> N =252,998.</w:t>
      </w:r>
      <w:r w:rsidRPr="005D3A55">
        <w:t xml:space="preserve"> </w:t>
      </w:r>
      <w:r>
        <w:t>Single-parent household status</w:t>
      </w:r>
      <w:r w:rsidR="005E3CB9">
        <w:t xml:space="preserve"> was</w:t>
      </w:r>
      <w:r>
        <w:t xml:space="preserve"> identified through child and parent(s) shared address data. Parent or carer education </w:t>
      </w:r>
      <w:r w:rsidR="005E3CB9">
        <w:t xml:space="preserve">was </w:t>
      </w:r>
      <w:r>
        <w:t>identified using the AEDC (see Methodology section).</w:t>
      </w:r>
    </w:p>
    <w:p w14:paraId="4000518D" w14:textId="77777777" w:rsidR="0023750E" w:rsidRDefault="0023750E" w:rsidP="0023750E">
      <w:pPr>
        <w:autoSpaceDE w:val="0"/>
        <w:autoSpaceDN w:val="0"/>
        <w:adjustRightInd w:val="0"/>
        <w:spacing w:line="276" w:lineRule="auto"/>
        <w:rPr>
          <w:rFonts w:eastAsia="Calibri"/>
        </w:rPr>
      </w:pPr>
    </w:p>
    <w:p w14:paraId="674552EE" w14:textId="24C48A6F" w:rsidR="0023750E" w:rsidRPr="00E947E7" w:rsidRDefault="0023750E" w:rsidP="006A7F20">
      <w:pPr>
        <w:spacing w:line="276" w:lineRule="auto"/>
      </w:pPr>
      <w:r w:rsidRPr="007700FB">
        <w:t xml:space="preserve">Neighbourhood-level characteristics such as </w:t>
      </w:r>
      <w:r>
        <w:t xml:space="preserve">the </w:t>
      </w:r>
      <w:r w:rsidRPr="007700FB">
        <w:t>proportion of single</w:t>
      </w:r>
      <w:r>
        <w:t xml:space="preserve"> </w:t>
      </w:r>
      <w:r w:rsidRPr="007700FB">
        <w:t>parent households,</w:t>
      </w:r>
      <w:r>
        <w:t xml:space="preserve"> the proportion of unemployed adults and socio-economic status (SES) in general have also been linked to developmental </w:t>
      </w:r>
      <w:r w:rsidRPr="00E947E7">
        <w:t>outcomes (Leventhal and Brooks-Gunn 2000).</w:t>
      </w:r>
    </w:p>
    <w:p w14:paraId="698B6F6B" w14:textId="22FF7F4B" w:rsidR="0023750E" w:rsidRPr="0047793C" w:rsidRDefault="0023750E" w:rsidP="0023750E">
      <w:pPr>
        <w:autoSpaceDE w:val="0"/>
        <w:autoSpaceDN w:val="0"/>
        <w:adjustRightInd w:val="0"/>
        <w:spacing w:after="0" w:line="276" w:lineRule="auto"/>
        <w:rPr>
          <w:rStyle w:val="CommentReference"/>
          <w:rFonts w:eastAsia="Calibri"/>
        </w:rPr>
      </w:pPr>
      <w:r>
        <w:rPr>
          <w:rFonts w:ascii="Calibri" w:eastAsia="Calibri" w:hAnsi="Calibri" w:cs="Calibri"/>
        </w:rPr>
        <w:t xml:space="preserve">In the 2018 AEDC cohort, children from single parent households were more represented in lower household income deciles, ranging from 54 per cent in the first decile to only 9 per cent in the tenth decile. This trend is also true for lower neighbourhood SES, ranging from 45 per cent single-parent households in the lowest SES neighbourhood, to 13 per cent in the highest SES neighbourhoods. </w:t>
      </w:r>
      <w:r>
        <w:rPr>
          <w:rFonts w:eastAsia="Calibri"/>
        </w:rPr>
        <w:t>The benefit of two parents or carers compared to one could be attributed to the capacity to share the parental load and higher income due to a greater overall capacity to work.</w:t>
      </w:r>
    </w:p>
    <w:p w14:paraId="253E387C" w14:textId="77777777" w:rsidR="0023750E" w:rsidRDefault="0023750E" w:rsidP="0023750E">
      <w:pPr>
        <w:pStyle w:val="Heading2"/>
        <w:spacing w:line="276" w:lineRule="auto"/>
      </w:pPr>
      <w:bookmarkStart w:id="1" w:name="_Hlk146207335"/>
      <w:r>
        <w:t>Neighbourhood SES and household income</w:t>
      </w:r>
    </w:p>
    <w:bookmarkEnd w:id="1"/>
    <w:p w14:paraId="5F09B401" w14:textId="3EC33836" w:rsidR="0023750E" w:rsidRDefault="0023750E" w:rsidP="0023750E">
      <w:pPr>
        <w:spacing w:line="276" w:lineRule="auto"/>
        <w:rPr>
          <w:rFonts w:cstheme="minorHAnsi"/>
        </w:rPr>
      </w:pPr>
      <w:r>
        <w:rPr>
          <w:rFonts w:cstheme="minorHAnsi"/>
        </w:rPr>
        <w:t>Household income and neighbourhood SES</w:t>
      </w:r>
      <w:r w:rsidRPr="006D0F7A">
        <w:rPr>
          <w:rFonts w:cstheme="minorHAnsi"/>
        </w:rPr>
        <w:t xml:space="preserve"> </w:t>
      </w:r>
      <w:r>
        <w:rPr>
          <w:rFonts w:cstheme="minorHAnsi"/>
        </w:rPr>
        <w:t>are</w:t>
      </w:r>
      <w:r w:rsidRPr="006D0F7A">
        <w:rPr>
          <w:rFonts w:cstheme="minorHAnsi"/>
        </w:rPr>
        <w:t xml:space="preserve"> positively associated with developmental </w:t>
      </w:r>
      <w:r>
        <w:rPr>
          <w:rFonts w:cstheme="minorHAnsi"/>
        </w:rPr>
        <w:t xml:space="preserve">outcomes </w:t>
      </w:r>
      <w:r w:rsidRPr="00CB78EF">
        <w:rPr>
          <w:rFonts w:cstheme="minorHAnsi"/>
        </w:rPr>
        <w:t>(</w:t>
      </w:r>
      <w:r w:rsidRPr="00427D0C">
        <w:rPr>
          <w:rFonts w:cstheme="minorHAnsi"/>
        </w:rPr>
        <w:t xml:space="preserve">Brooks-Gunn et al. 1993; </w:t>
      </w:r>
      <w:r w:rsidRPr="009A3802">
        <w:rPr>
          <w:rFonts w:cstheme="minorHAnsi"/>
        </w:rPr>
        <w:t>Willms 2002</w:t>
      </w:r>
      <w:r w:rsidRPr="004A3CEE">
        <w:rPr>
          <w:rFonts w:cstheme="minorHAnsi"/>
        </w:rPr>
        <w:t xml:space="preserve">). </w:t>
      </w:r>
      <w:r w:rsidRPr="006D0F7A">
        <w:rPr>
          <w:rFonts w:cstheme="minorHAnsi"/>
        </w:rPr>
        <w:t xml:space="preserve">Children belonging to higher SES neighbourhoods </w:t>
      </w:r>
      <w:r>
        <w:rPr>
          <w:rFonts w:cstheme="minorHAnsi"/>
        </w:rPr>
        <w:t>tend to have</w:t>
      </w:r>
      <w:r w:rsidRPr="006D0F7A">
        <w:rPr>
          <w:rFonts w:cstheme="minorHAnsi"/>
        </w:rPr>
        <w:t xml:space="preserve"> better developmental </w:t>
      </w:r>
      <w:r w:rsidRPr="004A3CEE">
        <w:rPr>
          <w:rFonts w:cstheme="minorHAnsi"/>
        </w:rPr>
        <w:t>outcomes</w:t>
      </w:r>
      <w:r>
        <w:rPr>
          <w:rFonts w:cstheme="minorHAnsi"/>
        </w:rPr>
        <w:t xml:space="preserve"> </w:t>
      </w:r>
      <w:r w:rsidRPr="004A3CEE">
        <w:rPr>
          <w:rFonts w:cstheme="minorHAnsi"/>
        </w:rPr>
        <w:t>(</w:t>
      </w:r>
      <w:r w:rsidRPr="00136B83">
        <w:rPr>
          <w:rFonts w:cstheme="minorHAnsi"/>
        </w:rPr>
        <w:t xml:space="preserve">Leventhal </w:t>
      </w:r>
      <w:r w:rsidRPr="00427D0C">
        <w:rPr>
          <w:rFonts w:cstheme="minorHAnsi"/>
        </w:rPr>
        <w:t>and Brooks-Gunn</w:t>
      </w:r>
      <w:r w:rsidRPr="00C26F6E">
        <w:rPr>
          <w:rFonts w:cstheme="minorHAnsi"/>
        </w:rPr>
        <w:t xml:space="preserve"> 2000</w:t>
      </w:r>
      <w:r w:rsidRPr="004A3CEE">
        <w:rPr>
          <w:rFonts w:cstheme="minorHAnsi"/>
        </w:rPr>
        <w:t>).</w:t>
      </w:r>
    </w:p>
    <w:p w14:paraId="124B64BB" w14:textId="77777777" w:rsidR="0023750E" w:rsidRDefault="0023750E" w:rsidP="0023750E">
      <w:pPr>
        <w:spacing w:line="276" w:lineRule="auto"/>
      </w:pPr>
      <w:r>
        <w:t xml:space="preserve">As the SES of the </w:t>
      </w:r>
      <w:r w:rsidRPr="009342C0">
        <w:t xml:space="preserve">neighbourhood </w:t>
      </w:r>
      <w:r w:rsidRPr="005B31B4">
        <w:t>increase</w:t>
      </w:r>
      <w:r>
        <w:t>d</w:t>
      </w:r>
      <w:r w:rsidRPr="005B31B4">
        <w:t xml:space="preserve">, the proportion of children </w:t>
      </w:r>
      <w:r>
        <w:t>who were</w:t>
      </w:r>
      <w:r w:rsidRPr="005B31B4">
        <w:t xml:space="preserve"> </w:t>
      </w:r>
      <w:r>
        <w:t xml:space="preserve">developmentally vulnerable on one or more domains </w:t>
      </w:r>
      <w:r w:rsidRPr="005B31B4">
        <w:t>generally decrease</w:t>
      </w:r>
      <w:r>
        <w:t>d</w:t>
      </w:r>
      <w:r w:rsidRPr="005B31B4">
        <w:t xml:space="preserve">. Within </w:t>
      </w:r>
      <w:r>
        <w:t>each</w:t>
      </w:r>
      <w:r w:rsidRPr="005B31B4">
        <w:t xml:space="preserve"> </w:t>
      </w:r>
      <w:r>
        <w:t>household</w:t>
      </w:r>
      <w:r w:rsidRPr="005B31B4">
        <w:t xml:space="preserve"> income decile, this trend </w:t>
      </w:r>
      <w:r>
        <w:t>was</w:t>
      </w:r>
      <w:r w:rsidRPr="005B31B4">
        <w:t xml:space="preserve"> consistent, with children from </w:t>
      </w:r>
      <w:r>
        <w:t>households</w:t>
      </w:r>
      <w:r w:rsidRPr="005B31B4">
        <w:t xml:space="preserve"> in lower SES </w:t>
      </w:r>
      <w:r w:rsidRPr="00277901">
        <w:t>neighbourhoods</w:t>
      </w:r>
      <w:r w:rsidRPr="005B31B4">
        <w:t xml:space="preserve"> having higher rates of developmental </w:t>
      </w:r>
      <w:r>
        <w:t>vulnerability</w:t>
      </w:r>
      <w:r w:rsidRPr="005B31B4">
        <w:t xml:space="preserve"> (Figure </w:t>
      </w:r>
      <w:r>
        <w:t>4</w:t>
      </w:r>
      <w:r w:rsidRPr="005B31B4">
        <w:t>).</w:t>
      </w:r>
    </w:p>
    <w:p w14:paraId="71640FA8" w14:textId="6520F9E1" w:rsidR="0023750E" w:rsidRDefault="0023750E" w:rsidP="0023750E">
      <w:pPr>
        <w:spacing w:line="276" w:lineRule="auto"/>
      </w:pPr>
      <w:r>
        <w:t xml:space="preserve">The association between lower SES neighbourhoods and poorer developmental outcomes is consistent with the literature, which suggests lower SES is associated with a lack of resources for establishing a positive developmental environment (Lapointe et al. 2007; Oliver et al. 2007). The neighbourhood setting of the child has a substantial impact upon child development as it creates the social context that directly and indirectly affects </w:t>
      </w:r>
      <w:r w:rsidR="4A700815">
        <w:t>child</w:t>
      </w:r>
      <w:r>
        <w:t xml:space="preserve"> development including school readiness upon entry (Lapointe et al. 2007; Oliver et al. 2007; </w:t>
      </w:r>
      <w:proofErr w:type="spellStart"/>
      <w:r>
        <w:t>Venetsanou</w:t>
      </w:r>
      <w:proofErr w:type="spellEnd"/>
      <w:r>
        <w:t xml:space="preserve"> and </w:t>
      </w:r>
      <w:proofErr w:type="spellStart"/>
      <w:r>
        <w:t>Kambas</w:t>
      </w:r>
      <w:proofErr w:type="spellEnd"/>
      <w:r>
        <w:t xml:space="preserve"> 2010; Coulton et al. 2016).</w:t>
      </w:r>
    </w:p>
    <w:p w14:paraId="26B982F0" w14:textId="41761F8E" w:rsidR="0023750E" w:rsidRDefault="005E3CB9" w:rsidP="0023750E">
      <w:pPr>
        <w:spacing w:line="276" w:lineRule="auto"/>
      </w:pPr>
      <w:r>
        <w:t>Similarly, a</w:t>
      </w:r>
      <w:r w:rsidR="0023750E">
        <w:t>s</w:t>
      </w:r>
      <w:r>
        <w:t xml:space="preserve"> the</w:t>
      </w:r>
      <w:r w:rsidR="0023750E">
        <w:t xml:space="preserve"> household income decile decreased the proportion</w:t>
      </w:r>
      <w:r w:rsidR="0023750E" w:rsidRPr="00CE36AD">
        <w:t xml:space="preserve"> </w:t>
      </w:r>
      <w:r w:rsidR="0023750E">
        <w:t xml:space="preserve">of children who were developmentally vulnerable on one or more domains generally increased. This trend held across household income </w:t>
      </w:r>
      <w:proofErr w:type="gramStart"/>
      <w:r w:rsidR="0023750E">
        <w:t>deciles,</w:t>
      </w:r>
      <w:proofErr w:type="gramEnd"/>
      <w:r w:rsidR="0023750E">
        <w:t xml:space="preserve"> however </w:t>
      </w:r>
      <w:r>
        <w:t>it</w:t>
      </w:r>
      <w:r w:rsidR="0023750E">
        <w:t xml:space="preserve"> peaked at the third household income decile before slightly declining in the lowest two household income deciles (Figure 4).  This trend is somewhat surprising as lower household income is associated with greater risk of developmental vulnerability </w:t>
      </w:r>
      <w:r w:rsidR="0023750E" w:rsidRPr="00F56BDB">
        <w:t>(</w:t>
      </w:r>
      <w:r w:rsidR="0023750E" w:rsidRPr="006760E7">
        <w:t xml:space="preserve">Lapointe </w:t>
      </w:r>
      <w:r w:rsidR="0023750E" w:rsidRPr="00C21530">
        <w:t>et al</w:t>
      </w:r>
      <w:r w:rsidR="0023750E" w:rsidRPr="006760E7">
        <w:t>. 2007</w:t>
      </w:r>
      <w:r w:rsidR="0023750E" w:rsidRPr="00F56BDB">
        <w:t>).</w:t>
      </w:r>
      <w:r w:rsidR="0023750E">
        <w:t xml:space="preserve"> This may reflect unmeasured wealth and relative advantage in the lowest household income earners. The Survey of Income and Housing </w:t>
      </w:r>
      <w:proofErr w:type="gramStart"/>
      <w:r w:rsidR="0023750E">
        <w:t>excludes</w:t>
      </w:r>
      <w:proofErr w:type="gramEnd"/>
      <w:r w:rsidR="0023750E">
        <w:t xml:space="preserve"> t</w:t>
      </w:r>
      <w:r w:rsidR="0023750E" w:rsidRPr="00E32A5D">
        <w:t xml:space="preserve">he 1st and 2nd percentiles </w:t>
      </w:r>
      <w:r w:rsidR="0023750E">
        <w:t xml:space="preserve">in the </w:t>
      </w:r>
      <w:proofErr w:type="gramStart"/>
      <w:r w:rsidR="0023750E">
        <w:t>low income</w:t>
      </w:r>
      <w:proofErr w:type="gramEnd"/>
      <w:r w:rsidR="0023750E">
        <w:t xml:space="preserve"> quintile definition </w:t>
      </w:r>
      <w:r w:rsidR="0023750E" w:rsidRPr="00E32A5D">
        <w:t>due to the high wealth and expenditure characteristics those household</w:t>
      </w:r>
      <w:r w:rsidR="0023750E">
        <w:t>s</w:t>
      </w:r>
      <w:r w:rsidR="0023750E" w:rsidRPr="00E32A5D">
        <w:t xml:space="preserve"> exhibit, and the prevalence of income types other than employee income and government pensions and allowances</w:t>
      </w:r>
      <w:r w:rsidR="0023750E">
        <w:t xml:space="preserve"> (ABS 201</w:t>
      </w:r>
      <w:r w:rsidR="0005272F">
        <w:t>3</w:t>
      </w:r>
      <w:r w:rsidR="001D2392">
        <w:t>;</w:t>
      </w:r>
      <w:r w:rsidR="0023750E">
        <w:t xml:space="preserve"> ABS </w:t>
      </w:r>
      <w:r w:rsidR="007676D7">
        <w:t>202</w:t>
      </w:r>
      <w:r w:rsidR="004A278C">
        <w:t>2</w:t>
      </w:r>
      <w:r w:rsidR="0023750E">
        <w:t>).</w:t>
      </w:r>
    </w:p>
    <w:p w14:paraId="1417ECBD" w14:textId="77777777" w:rsidR="0023750E" w:rsidRDefault="0023750E" w:rsidP="005E52A4">
      <w:pPr>
        <w:pStyle w:val="Caption"/>
      </w:pPr>
      <w:r w:rsidRPr="00442F7B">
        <w:t xml:space="preserve">Figure </w:t>
      </w:r>
      <w:r>
        <w:t>4</w:t>
      </w:r>
      <w:r>
        <w:rPr>
          <w:rFonts w:ascii="Calibri" w:eastAsia="Calibri" w:hAnsi="Calibri" w:cs="Calibri"/>
          <w:color w:val="404040" w:themeColor="text1" w:themeTint="BF"/>
        </w:rPr>
        <w:t>.</w:t>
      </w:r>
      <w:r w:rsidRPr="00334709">
        <w:rPr>
          <w:rFonts w:ascii="Calibri" w:eastAsia="Calibri" w:hAnsi="Calibri" w:cs="Calibri"/>
          <w:color w:val="404040" w:themeColor="text1" w:themeTint="BF"/>
        </w:rPr>
        <w:t xml:space="preserve"> </w:t>
      </w:r>
      <w:r>
        <w:t>Proportion (%) of children who are d</w:t>
      </w:r>
      <w:r w:rsidRPr="1D1D130D">
        <w:t>evelopmental</w:t>
      </w:r>
      <w:r>
        <w:t>ly</w:t>
      </w:r>
      <w:r w:rsidRPr="1D1D130D">
        <w:t xml:space="preserve"> vulnerab</w:t>
      </w:r>
      <w:r>
        <w:t xml:space="preserve">le on one or more domains, </w:t>
      </w:r>
      <w:r w:rsidRPr="005B31B4">
        <w:t>by neighbourhood socio</w:t>
      </w:r>
      <w:r>
        <w:t>-economic status (SES), by household income decile, 2018 AEDC cohort.</w:t>
      </w:r>
    </w:p>
    <w:tbl>
      <w:tblPr>
        <w:tblW w:w="9026" w:type="dxa"/>
        <w:tblLayout w:type="fixed"/>
        <w:tblLook w:val="04A0" w:firstRow="1" w:lastRow="0" w:firstColumn="1" w:lastColumn="0" w:noHBand="0" w:noVBand="1"/>
      </w:tblPr>
      <w:tblGrid>
        <w:gridCol w:w="472"/>
        <w:gridCol w:w="1000"/>
        <w:gridCol w:w="660"/>
        <w:gridCol w:w="661"/>
        <w:gridCol w:w="661"/>
        <w:gridCol w:w="661"/>
        <w:gridCol w:w="661"/>
        <w:gridCol w:w="660"/>
        <w:gridCol w:w="661"/>
        <w:gridCol w:w="661"/>
        <w:gridCol w:w="661"/>
        <w:gridCol w:w="661"/>
        <w:gridCol w:w="284"/>
        <w:gridCol w:w="662"/>
      </w:tblGrid>
      <w:tr w:rsidR="0023750E" w:rsidRPr="00003CEF" w14:paraId="2AF42F36" w14:textId="77777777" w:rsidTr="005E52A4">
        <w:trPr>
          <w:cantSplit/>
          <w:trHeight w:val="263"/>
        </w:trPr>
        <w:tc>
          <w:tcPr>
            <w:tcW w:w="472" w:type="dxa"/>
            <w:tcBorders>
              <w:top w:val="nil"/>
              <w:left w:val="nil"/>
              <w:bottom w:val="nil"/>
              <w:right w:val="nil"/>
            </w:tcBorders>
            <w:shd w:val="clear" w:color="000000" w:fill="FFFFFF"/>
            <w:noWrap/>
            <w:vAlign w:val="bottom"/>
            <w:hideMark/>
          </w:tcPr>
          <w:p w14:paraId="74E1BD7D" w14:textId="77777777" w:rsidR="0023750E" w:rsidRPr="00003CEF" w:rsidRDefault="0023750E" w:rsidP="00ED511F">
            <w:pPr>
              <w:keepNext/>
              <w:spacing w:after="0" w:line="276" w:lineRule="auto"/>
              <w:rPr>
                <w:rFonts w:ascii="Calibri" w:eastAsia="Times New Roman" w:hAnsi="Calibri" w:cs="Calibri"/>
                <w:lang w:eastAsia="en-AU"/>
              </w:rPr>
            </w:pPr>
            <w:r w:rsidRPr="00003CEF">
              <w:rPr>
                <w:rFonts w:ascii="Calibri" w:eastAsia="Times New Roman" w:hAnsi="Calibri" w:cs="Calibri"/>
                <w:lang w:eastAsia="en-AU"/>
              </w:rPr>
              <w:t> </w:t>
            </w:r>
          </w:p>
        </w:tc>
        <w:tc>
          <w:tcPr>
            <w:tcW w:w="1000" w:type="dxa"/>
            <w:tcBorders>
              <w:top w:val="nil"/>
              <w:left w:val="nil"/>
              <w:bottom w:val="nil"/>
              <w:right w:val="nil"/>
            </w:tcBorders>
            <w:shd w:val="clear" w:color="000000" w:fill="FFFFFF"/>
            <w:noWrap/>
            <w:vAlign w:val="bottom"/>
            <w:hideMark/>
          </w:tcPr>
          <w:p w14:paraId="132F5268" w14:textId="77777777" w:rsidR="0023750E" w:rsidRPr="00003CEF" w:rsidRDefault="0023750E" w:rsidP="00ED511F">
            <w:pPr>
              <w:keepNext/>
              <w:spacing w:after="0" w:line="276" w:lineRule="auto"/>
              <w:rPr>
                <w:rFonts w:ascii="Calibri" w:eastAsia="Times New Roman" w:hAnsi="Calibri" w:cs="Calibri"/>
                <w:lang w:eastAsia="en-AU"/>
              </w:rPr>
            </w:pPr>
            <w:r w:rsidRPr="00003CEF">
              <w:rPr>
                <w:rFonts w:ascii="Calibri" w:eastAsia="Times New Roman" w:hAnsi="Calibri" w:cs="Calibri"/>
                <w:lang w:eastAsia="en-AU"/>
              </w:rPr>
              <w:t> </w:t>
            </w:r>
          </w:p>
        </w:tc>
        <w:tc>
          <w:tcPr>
            <w:tcW w:w="6608" w:type="dxa"/>
            <w:gridSpan w:val="10"/>
            <w:tcBorders>
              <w:top w:val="nil"/>
              <w:left w:val="nil"/>
              <w:bottom w:val="nil"/>
              <w:right w:val="nil"/>
            </w:tcBorders>
            <w:shd w:val="clear" w:color="000000" w:fill="FFFFFF"/>
            <w:vAlign w:val="center"/>
            <w:hideMark/>
          </w:tcPr>
          <w:p w14:paraId="19792C23" w14:textId="77777777" w:rsidR="0023750E" w:rsidRPr="00003CEF" w:rsidRDefault="0023750E" w:rsidP="00ED511F">
            <w:pPr>
              <w:keepNext/>
              <w:spacing w:after="0" w:line="276" w:lineRule="auto"/>
              <w:jc w:val="center"/>
              <w:rPr>
                <w:rFonts w:ascii="Calibri" w:eastAsia="Times New Roman" w:hAnsi="Calibri" w:cs="Calibri"/>
                <w:b/>
                <w:bCs/>
                <w:color w:val="000000"/>
                <w:lang w:eastAsia="en-AU"/>
              </w:rPr>
            </w:pPr>
            <w:r w:rsidRPr="00C21530">
              <w:rPr>
                <w:rFonts w:ascii="Calibri" w:eastAsia="Times New Roman" w:hAnsi="Calibri" w:cs="Calibri"/>
                <w:b/>
                <w:bCs/>
                <w:color w:val="000000"/>
                <w:sz w:val="20"/>
                <w:szCs w:val="20"/>
                <w:lang w:eastAsia="en-AU"/>
              </w:rPr>
              <w:t xml:space="preserve">Neighbourhood SES </w:t>
            </w:r>
          </w:p>
        </w:tc>
        <w:tc>
          <w:tcPr>
            <w:tcW w:w="284" w:type="dxa"/>
            <w:tcBorders>
              <w:top w:val="nil"/>
              <w:left w:val="nil"/>
              <w:bottom w:val="nil"/>
              <w:right w:val="nil"/>
            </w:tcBorders>
            <w:shd w:val="clear" w:color="000000" w:fill="FFFFFF"/>
            <w:vAlign w:val="center"/>
            <w:hideMark/>
          </w:tcPr>
          <w:p w14:paraId="589EF1B6" w14:textId="77777777" w:rsidR="0023750E" w:rsidRPr="00003CEF" w:rsidRDefault="0023750E" w:rsidP="00ED511F">
            <w:pPr>
              <w:keepNext/>
              <w:spacing w:after="0" w:line="276" w:lineRule="auto"/>
              <w:rPr>
                <w:rFonts w:ascii="Calibri" w:eastAsia="Times New Roman" w:hAnsi="Calibri" w:cs="Calibri"/>
                <w:b/>
                <w:bCs/>
                <w:color w:val="000000"/>
                <w:lang w:eastAsia="en-AU"/>
              </w:rPr>
            </w:pPr>
            <w:r w:rsidRPr="00003CEF">
              <w:rPr>
                <w:rFonts w:ascii="Calibri" w:eastAsia="Times New Roman" w:hAnsi="Calibri" w:cs="Calibri"/>
                <w:b/>
                <w:bCs/>
                <w:color w:val="000000"/>
                <w:lang w:eastAsia="en-AU"/>
              </w:rPr>
              <w:t> </w:t>
            </w:r>
          </w:p>
        </w:tc>
        <w:tc>
          <w:tcPr>
            <w:tcW w:w="662" w:type="dxa"/>
            <w:tcBorders>
              <w:top w:val="nil"/>
              <w:left w:val="nil"/>
              <w:bottom w:val="nil"/>
              <w:right w:val="nil"/>
            </w:tcBorders>
            <w:shd w:val="clear" w:color="000000" w:fill="FFFFFF"/>
            <w:noWrap/>
            <w:vAlign w:val="bottom"/>
            <w:hideMark/>
          </w:tcPr>
          <w:p w14:paraId="64ABB964" w14:textId="77777777" w:rsidR="0023750E" w:rsidRPr="00003CEF" w:rsidRDefault="0023750E" w:rsidP="00ED511F">
            <w:pPr>
              <w:keepNext/>
              <w:spacing w:after="0" w:line="276" w:lineRule="auto"/>
              <w:rPr>
                <w:rFonts w:ascii="Calibri" w:eastAsia="Times New Roman" w:hAnsi="Calibri" w:cs="Calibri"/>
                <w:color w:val="000000"/>
                <w:lang w:eastAsia="en-AU"/>
              </w:rPr>
            </w:pPr>
            <w:r w:rsidRPr="00003CEF">
              <w:rPr>
                <w:rFonts w:ascii="Calibri" w:eastAsia="Times New Roman" w:hAnsi="Calibri" w:cs="Calibri"/>
                <w:color w:val="000000"/>
                <w:lang w:eastAsia="en-AU"/>
              </w:rPr>
              <w:t> </w:t>
            </w:r>
          </w:p>
        </w:tc>
      </w:tr>
      <w:tr w:rsidR="0023750E" w:rsidRPr="00003CEF" w14:paraId="4C7089DC" w14:textId="77777777">
        <w:trPr>
          <w:trHeight w:val="263"/>
        </w:trPr>
        <w:tc>
          <w:tcPr>
            <w:tcW w:w="472" w:type="dxa"/>
            <w:tcBorders>
              <w:top w:val="nil"/>
              <w:left w:val="nil"/>
              <w:bottom w:val="nil"/>
              <w:right w:val="nil"/>
            </w:tcBorders>
            <w:shd w:val="clear" w:color="000000" w:fill="FFFFFF"/>
            <w:noWrap/>
            <w:vAlign w:val="bottom"/>
            <w:hideMark/>
          </w:tcPr>
          <w:p w14:paraId="74C3E416" w14:textId="77777777" w:rsidR="0023750E" w:rsidRPr="00003CEF" w:rsidRDefault="0023750E" w:rsidP="00ED511F">
            <w:pPr>
              <w:keepNext/>
              <w:spacing w:after="0" w:line="276" w:lineRule="auto"/>
              <w:rPr>
                <w:rFonts w:ascii="Calibri" w:eastAsia="Times New Roman" w:hAnsi="Calibri" w:cs="Calibri"/>
                <w:lang w:eastAsia="en-AU"/>
              </w:rPr>
            </w:pPr>
            <w:r w:rsidRPr="00003CEF">
              <w:rPr>
                <w:rFonts w:ascii="Calibri" w:eastAsia="Times New Roman" w:hAnsi="Calibri" w:cs="Calibri"/>
                <w:lang w:eastAsia="en-AU"/>
              </w:rPr>
              <w:t> </w:t>
            </w:r>
          </w:p>
        </w:tc>
        <w:tc>
          <w:tcPr>
            <w:tcW w:w="1000" w:type="dxa"/>
            <w:tcBorders>
              <w:top w:val="nil"/>
              <w:left w:val="nil"/>
              <w:bottom w:val="nil"/>
              <w:right w:val="nil"/>
            </w:tcBorders>
            <w:shd w:val="clear" w:color="000000" w:fill="FFFFFF"/>
            <w:noWrap/>
            <w:vAlign w:val="bottom"/>
            <w:hideMark/>
          </w:tcPr>
          <w:p w14:paraId="1A12060C" w14:textId="77777777" w:rsidR="0023750E" w:rsidRPr="00003CEF" w:rsidRDefault="0023750E" w:rsidP="00ED511F">
            <w:pPr>
              <w:keepNext/>
              <w:spacing w:after="0" w:line="276" w:lineRule="auto"/>
              <w:rPr>
                <w:rFonts w:ascii="Calibri" w:eastAsia="Times New Roman" w:hAnsi="Calibri" w:cs="Calibri"/>
                <w:lang w:eastAsia="en-AU"/>
              </w:rPr>
            </w:pPr>
            <w:r w:rsidRPr="00003CEF">
              <w:rPr>
                <w:rFonts w:ascii="Calibri" w:eastAsia="Times New Roman" w:hAnsi="Calibri" w:cs="Calibri"/>
                <w:lang w:eastAsia="en-AU"/>
              </w:rPr>
              <w:t> </w:t>
            </w:r>
          </w:p>
        </w:tc>
        <w:tc>
          <w:tcPr>
            <w:tcW w:w="660" w:type="dxa"/>
            <w:tcBorders>
              <w:top w:val="nil"/>
              <w:left w:val="nil"/>
              <w:bottom w:val="nil"/>
              <w:right w:val="nil"/>
            </w:tcBorders>
            <w:shd w:val="clear" w:color="000000" w:fill="FFFFFF"/>
            <w:noWrap/>
            <w:vAlign w:val="bottom"/>
            <w:hideMark/>
          </w:tcPr>
          <w:p w14:paraId="407EBD1F"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1</w:t>
            </w:r>
          </w:p>
        </w:tc>
        <w:tc>
          <w:tcPr>
            <w:tcW w:w="661" w:type="dxa"/>
            <w:tcBorders>
              <w:top w:val="nil"/>
              <w:left w:val="nil"/>
              <w:bottom w:val="nil"/>
              <w:right w:val="nil"/>
            </w:tcBorders>
            <w:shd w:val="clear" w:color="000000" w:fill="FFFFFF"/>
            <w:noWrap/>
            <w:vAlign w:val="bottom"/>
            <w:hideMark/>
          </w:tcPr>
          <w:p w14:paraId="592A2208"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2</w:t>
            </w:r>
          </w:p>
        </w:tc>
        <w:tc>
          <w:tcPr>
            <w:tcW w:w="661" w:type="dxa"/>
            <w:tcBorders>
              <w:top w:val="nil"/>
              <w:left w:val="nil"/>
              <w:bottom w:val="nil"/>
              <w:right w:val="nil"/>
            </w:tcBorders>
            <w:shd w:val="clear" w:color="000000" w:fill="FFFFFF"/>
            <w:noWrap/>
            <w:vAlign w:val="bottom"/>
            <w:hideMark/>
          </w:tcPr>
          <w:p w14:paraId="40686998"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3</w:t>
            </w:r>
          </w:p>
        </w:tc>
        <w:tc>
          <w:tcPr>
            <w:tcW w:w="661" w:type="dxa"/>
            <w:tcBorders>
              <w:top w:val="nil"/>
              <w:left w:val="nil"/>
              <w:bottom w:val="nil"/>
              <w:right w:val="nil"/>
            </w:tcBorders>
            <w:shd w:val="clear" w:color="000000" w:fill="FFFFFF"/>
            <w:noWrap/>
            <w:vAlign w:val="bottom"/>
            <w:hideMark/>
          </w:tcPr>
          <w:p w14:paraId="00A7BA26"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4</w:t>
            </w:r>
          </w:p>
        </w:tc>
        <w:tc>
          <w:tcPr>
            <w:tcW w:w="661" w:type="dxa"/>
            <w:tcBorders>
              <w:top w:val="nil"/>
              <w:left w:val="nil"/>
              <w:bottom w:val="nil"/>
              <w:right w:val="nil"/>
            </w:tcBorders>
            <w:shd w:val="clear" w:color="000000" w:fill="FFFFFF"/>
            <w:noWrap/>
            <w:vAlign w:val="bottom"/>
            <w:hideMark/>
          </w:tcPr>
          <w:p w14:paraId="3D9CF3AF"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5</w:t>
            </w:r>
          </w:p>
        </w:tc>
        <w:tc>
          <w:tcPr>
            <w:tcW w:w="660" w:type="dxa"/>
            <w:tcBorders>
              <w:top w:val="nil"/>
              <w:left w:val="nil"/>
              <w:bottom w:val="nil"/>
              <w:right w:val="nil"/>
            </w:tcBorders>
            <w:shd w:val="clear" w:color="000000" w:fill="FFFFFF"/>
            <w:noWrap/>
            <w:vAlign w:val="bottom"/>
            <w:hideMark/>
          </w:tcPr>
          <w:p w14:paraId="493D5D09"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6</w:t>
            </w:r>
          </w:p>
        </w:tc>
        <w:tc>
          <w:tcPr>
            <w:tcW w:w="661" w:type="dxa"/>
            <w:tcBorders>
              <w:top w:val="nil"/>
              <w:left w:val="nil"/>
              <w:bottom w:val="nil"/>
              <w:right w:val="nil"/>
            </w:tcBorders>
            <w:shd w:val="clear" w:color="000000" w:fill="FFFFFF"/>
            <w:noWrap/>
            <w:vAlign w:val="bottom"/>
            <w:hideMark/>
          </w:tcPr>
          <w:p w14:paraId="52270D1E"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7</w:t>
            </w:r>
          </w:p>
        </w:tc>
        <w:tc>
          <w:tcPr>
            <w:tcW w:w="661" w:type="dxa"/>
            <w:tcBorders>
              <w:top w:val="nil"/>
              <w:left w:val="nil"/>
              <w:bottom w:val="nil"/>
              <w:right w:val="nil"/>
            </w:tcBorders>
            <w:shd w:val="clear" w:color="000000" w:fill="FFFFFF"/>
            <w:noWrap/>
            <w:vAlign w:val="bottom"/>
            <w:hideMark/>
          </w:tcPr>
          <w:p w14:paraId="3F2F127D"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8</w:t>
            </w:r>
          </w:p>
        </w:tc>
        <w:tc>
          <w:tcPr>
            <w:tcW w:w="661" w:type="dxa"/>
            <w:tcBorders>
              <w:top w:val="nil"/>
              <w:left w:val="nil"/>
              <w:bottom w:val="nil"/>
              <w:right w:val="nil"/>
            </w:tcBorders>
            <w:shd w:val="clear" w:color="000000" w:fill="FFFFFF"/>
            <w:noWrap/>
            <w:vAlign w:val="bottom"/>
            <w:hideMark/>
          </w:tcPr>
          <w:p w14:paraId="0BE5100B"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9</w:t>
            </w:r>
          </w:p>
        </w:tc>
        <w:tc>
          <w:tcPr>
            <w:tcW w:w="661" w:type="dxa"/>
            <w:tcBorders>
              <w:top w:val="nil"/>
              <w:left w:val="nil"/>
              <w:bottom w:val="nil"/>
              <w:right w:val="nil"/>
            </w:tcBorders>
            <w:shd w:val="clear" w:color="000000" w:fill="FFFFFF"/>
            <w:noWrap/>
            <w:vAlign w:val="bottom"/>
            <w:hideMark/>
          </w:tcPr>
          <w:p w14:paraId="6DA5262C" w14:textId="77777777" w:rsidR="0023750E" w:rsidRPr="00C21530" w:rsidRDefault="0023750E" w:rsidP="00ED511F">
            <w:pPr>
              <w:keepNext/>
              <w:spacing w:after="0" w:line="276" w:lineRule="auto"/>
              <w:jc w:val="center"/>
              <w:rPr>
                <w:rFonts w:ascii="Calibri" w:eastAsia="Times New Roman" w:hAnsi="Calibri" w:cs="Calibri"/>
                <w:b/>
                <w:bCs/>
                <w:color w:val="000000"/>
                <w:sz w:val="20"/>
                <w:szCs w:val="20"/>
                <w:lang w:eastAsia="en-AU"/>
              </w:rPr>
            </w:pPr>
            <w:r w:rsidRPr="00C21530">
              <w:rPr>
                <w:rFonts w:ascii="Calibri" w:eastAsia="Times New Roman" w:hAnsi="Calibri" w:cs="Calibri"/>
                <w:b/>
                <w:bCs/>
                <w:color w:val="000000"/>
                <w:sz w:val="20"/>
                <w:szCs w:val="20"/>
                <w:lang w:eastAsia="en-AU"/>
              </w:rPr>
              <w:t>10</w:t>
            </w:r>
          </w:p>
        </w:tc>
        <w:tc>
          <w:tcPr>
            <w:tcW w:w="284" w:type="dxa"/>
            <w:tcBorders>
              <w:top w:val="nil"/>
              <w:left w:val="nil"/>
              <w:bottom w:val="nil"/>
              <w:right w:val="nil"/>
            </w:tcBorders>
            <w:shd w:val="clear" w:color="000000" w:fill="FFFFFF"/>
            <w:noWrap/>
            <w:vAlign w:val="bottom"/>
            <w:hideMark/>
          </w:tcPr>
          <w:p w14:paraId="73B65E51" w14:textId="77777777" w:rsidR="0023750E" w:rsidRPr="00003CEF" w:rsidRDefault="0023750E" w:rsidP="00ED511F">
            <w:pPr>
              <w:keepNext/>
              <w:spacing w:after="0" w:line="276" w:lineRule="auto"/>
              <w:rPr>
                <w:rFonts w:ascii="Calibri" w:eastAsia="Times New Roman" w:hAnsi="Calibri" w:cs="Calibri"/>
                <w:color w:val="000000"/>
                <w:lang w:eastAsia="en-AU"/>
              </w:rPr>
            </w:pPr>
            <w:r w:rsidRPr="00003CEF">
              <w:rPr>
                <w:rFonts w:ascii="Calibri" w:eastAsia="Times New Roman" w:hAnsi="Calibri" w:cs="Calibri"/>
                <w:color w:val="000000"/>
                <w:lang w:eastAsia="en-AU"/>
              </w:rPr>
              <w:t> </w:t>
            </w:r>
          </w:p>
        </w:tc>
        <w:tc>
          <w:tcPr>
            <w:tcW w:w="662" w:type="dxa"/>
            <w:tcBorders>
              <w:top w:val="nil"/>
              <w:left w:val="nil"/>
              <w:bottom w:val="nil"/>
              <w:right w:val="nil"/>
            </w:tcBorders>
            <w:shd w:val="clear" w:color="000000" w:fill="FFFFFF"/>
            <w:noWrap/>
            <w:vAlign w:val="bottom"/>
            <w:hideMark/>
          </w:tcPr>
          <w:p w14:paraId="364D3ED7" w14:textId="77777777" w:rsidR="0023750E" w:rsidRPr="00C21530" w:rsidRDefault="0023750E" w:rsidP="00ED511F">
            <w:pPr>
              <w:keepNext/>
              <w:spacing w:after="0" w:line="276" w:lineRule="auto"/>
              <w:jc w:val="center"/>
              <w:rPr>
                <w:rFonts w:ascii="Calibri" w:eastAsia="Times New Roman" w:hAnsi="Calibri" w:cs="Calibri"/>
                <w:b/>
                <w:bCs/>
                <w:color w:val="000000"/>
                <w:sz w:val="16"/>
                <w:szCs w:val="16"/>
                <w:lang w:eastAsia="en-AU"/>
              </w:rPr>
            </w:pPr>
            <w:r w:rsidRPr="00C21530">
              <w:rPr>
                <w:rFonts w:ascii="Calibri" w:eastAsia="Times New Roman" w:hAnsi="Calibri" w:cs="Calibri"/>
                <w:b/>
                <w:bCs/>
                <w:color w:val="000000"/>
                <w:sz w:val="16"/>
                <w:szCs w:val="16"/>
                <w:lang w:eastAsia="en-AU"/>
              </w:rPr>
              <w:t>All SES</w:t>
            </w:r>
          </w:p>
        </w:tc>
      </w:tr>
      <w:tr w:rsidR="0023750E" w:rsidRPr="00003CEF" w14:paraId="630DC0CB" w14:textId="77777777">
        <w:trPr>
          <w:trHeight w:val="263"/>
        </w:trPr>
        <w:tc>
          <w:tcPr>
            <w:tcW w:w="472" w:type="dxa"/>
            <w:vMerge w:val="restart"/>
            <w:tcBorders>
              <w:top w:val="nil"/>
              <w:left w:val="nil"/>
              <w:bottom w:val="nil"/>
              <w:right w:val="nil"/>
            </w:tcBorders>
            <w:shd w:val="clear" w:color="000000" w:fill="FFFFFF"/>
            <w:textDirection w:val="btLr"/>
            <w:vAlign w:val="center"/>
            <w:hideMark/>
          </w:tcPr>
          <w:p w14:paraId="146588E7" w14:textId="77777777" w:rsidR="0023750E" w:rsidRPr="00003CEF" w:rsidRDefault="0023750E" w:rsidP="00ED511F">
            <w:pPr>
              <w:keepNext/>
              <w:spacing w:after="0" w:line="276" w:lineRule="auto"/>
              <w:jc w:val="center"/>
              <w:rPr>
                <w:rFonts w:ascii="Calibri" w:eastAsia="Times New Roman" w:hAnsi="Calibri" w:cs="Calibri"/>
                <w:b/>
                <w:bCs/>
                <w:lang w:eastAsia="en-AU"/>
              </w:rPr>
            </w:pPr>
            <w:r w:rsidRPr="00C21530">
              <w:rPr>
                <w:rFonts w:ascii="Calibri" w:eastAsia="Times New Roman" w:hAnsi="Calibri" w:cs="Calibri"/>
                <w:b/>
                <w:bCs/>
                <w:sz w:val="20"/>
                <w:szCs w:val="20"/>
                <w:lang w:eastAsia="en-AU"/>
              </w:rPr>
              <w:t>Household income decile</w:t>
            </w:r>
          </w:p>
        </w:tc>
        <w:tc>
          <w:tcPr>
            <w:tcW w:w="1000" w:type="dxa"/>
            <w:tcBorders>
              <w:top w:val="nil"/>
              <w:left w:val="nil"/>
              <w:bottom w:val="nil"/>
              <w:right w:val="nil"/>
            </w:tcBorders>
            <w:shd w:val="clear" w:color="000000" w:fill="FFFFFF"/>
            <w:noWrap/>
            <w:vAlign w:val="center"/>
            <w:hideMark/>
          </w:tcPr>
          <w:p w14:paraId="1641C071"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1</w:t>
            </w:r>
          </w:p>
        </w:tc>
        <w:tc>
          <w:tcPr>
            <w:tcW w:w="660" w:type="dxa"/>
            <w:tcBorders>
              <w:top w:val="nil"/>
              <w:left w:val="nil"/>
              <w:bottom w:val="nil"/>
              <w:right w:val="nil"/>
            </w:tcBorders>
            <w:shd w:val="clear" w:color="000000" w:fill="DE2B35"/>
            <w:noWrap/>
            <w:vAlign w:val="center"/>
            <w:hideMark/>
          </w:tcPr>
          <w:p w14:paraId="73805D3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35%</w:t>
            </w:r>
          </w:p>
        </w:tc>
        <w:tc>
          <w:tcPr>
            <w:tcW w:w="661" w:type="dxa"/>
            <w:tcBorders>
              <w:top w:val="nil"/>
              <w:left w:val="nil"/>
              <w:bottom w:val="nil"/>
              <w:right w:val="nil"/>
            </w:tcBorders>
            <w:shd w:val="clear" w:color="000000" w:fill="9F3552"/>
            <w:noWrap/>
            <w:vAlign w:val="center"/>
            <w:hideMark/>
          </w:tcPr>
          <w:p w14:paraId="1E848FE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28%</w:t>
            </w:r>
          </w:p>
        </w:tc>
        <w:tc>
          <w:tcPr>
            <w:tcW w:w="661" w:type="dxa"/>
            <w:tcBorders>
              <w:top w:val="nil"/>
              <w:left w:val="nil"/>
              <w:bottom w:val="nil"/>
              <w:right w:val="nil"/>
            </w:tcBorders>
            <w:shd w:val="clear" w:color="000000" w:fill="733D67"/>
            <w:noWrap/>
            <w:vAlign w:val="center"/>
            <w:hideMark/>
          </w:tcPr>
          <w:p w14:paraId="5E9135B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23%</w:t>
            </w:r>
          </w:p>
        </w:tc>
        <w:tc>
          <w:tcPr>
            <w:tcW w:w="661" w:type="dxa"/>
            <w:tcBorders>
              <w:top w:val="nil"/>
              <w:left w:val="nil"/>
              <w:bottom w:val="nil"/>
              <w:right w:val="nil"/>
            </w:tcBorders>
            <w:shd w:val="clear" w:color="000000" w:fill="7D3B63"/>
            <w:noWrap/>
            <w:vAlign w:val="center"/>
            <w:hideMark/>
          </w:tcPr>
          <w:p w14:paraId="03C641B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24%</w:t>
            </w:r>
          </w:p>
        </w:tc>
        <w:tc>
          <w:tcPr>
            <w:tcW w:w="661" w:type="dxa"/>
            <w:tcBorders>
              <w:top w:val="nil"/>
              <w:left w:val="nil"/>
              <w:bottom w:val="nil"/>
              <w:right w:val="nil"/>
            </w:tcBorders>
            <w:shd w:val="clear" w:color="000000" w:fill="544276"/>
            <w:noWrap/>
            <w:vAlign w:val="center"/>
            <w:hideMark/>
          </w:tcPr>
          <w:p w14:paraId="67D3BE9A"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19%</w:t>
            </w:r>
          </w:p>
        </w:tc>
        <w:tc>
          <w:tcPr>
            <w:tcW w:w="660" w:type="dxa"/>
            <w:tcBorders>
              <w:top w:val="nil"/>
              <w:left w:val="nil"/>
              <w:bottom w:val="nil"/>
              <w:right w:val="nil"/>
            </w:tcBorders>
            <w:shd w:val="clear" w:color="000000" w:fill="5C4072"/>
            <w:noWrap/>
            <w:vAlign w:val="center"/>
            <w:hideMark/>
          </w:tcPr>
          <w:p w14:paraId="414411D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c>
          <w:tcPr>
            <w:tcW w:w="661" w:type="dxa"/>
            <w:tcBorders>
              <w:top w:val="nil"/>
              <w:left w:val="nil"/>
              <w:bottom w:val="nil"/>
              <w:right w:val="nil"/>
            </w:tcBorders>
            <w:shd w:val="clear" w:color="000000" w:fill="514277"/>
            <w:noWrap/>
            <w:vAlign w:val="center"/>
            <w:hideMark/>
          </w:tcPr>
          <w:p w14:paraId="6B6CE3D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19%</w:t>
            </w:r>
          </w:p>
        </w:tc>
        <w:tc>
          <w:tcPr>
            <w:tcW w:w="661" w:type="dxa"/>
            <w:tcBorders>
              <w:top w:val="nil"/>
              <w:left w:val="nil"/>
              <w:bottom w:val="nil"/>
              <w:right w:val="nil"/>
            </w:tcBorders>
            <w:shd w:val="clear" w:color="000000" w:fill="49437B"/>
            <w:noWrap/>
            <w:vAlign w:val="center"/>
            <w:hideMark/>
          </w:tcPr>
          <w:p w14:paraId="4B6D38D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1" w:type="dxa"/>
            <w:tcBorders>
              <w:top w:val="nil"/>
              <w:left w:val="nil"/>
              <w:bottom w:val="nil"/>
              <w:right w:val="nil"/>
            </w:tcBorders>
            <w:shd w:val="clear" w:color="000000" w:fill="43447E"/>
            <w:noWrap/>
            <w:vAlign w:val="center"/>
            <w:hideMark/>
          </w:tcPr>
          <w:p w14:paraId="382AA7F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17%</w:t>
            </w:r>
          </w:p>
        </w:tc>
        <w:tc>
          <w:tcPr>
            <w:tcW w:w="661" w:type="dxa"/>
            <w:tcBorders>
              <w:top w:val="nil"/>
              <w:left w:val="nil"/>
              <w:bottom w:val="nil"/>
              <w:right w:val="nil"/>
            </w:tcBorders>
            <w:shd w:val="clear" w:color="000000" w:fill="29498A"/>
            <w:noWrap/>
            <w:vAlign w:val="center"/>
            <w:hideMark/>
          </w:tcPr>
          <w:p w14:paraId="577B4F81"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284" w:type="dxa"/>
            <w:tcBorders>
              <w:top w:val="nil"/>
              <w:left w:val="nil"/>
              <w:bottom w:val="nil"/>
              <w:right w:val="nil"/>
            </w:tcBorders>
            <w:shd w:val="clear" w:color="000000" w:fill="FFFFFF"/>
            <w:noWrap/>
            <w:vAlign w:val="bottom"/>
            <w:hideMark/>
          </w:tcPr>
          <w:p w14:paraId="30A5E35A"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85395F"/>
            <w:noWrap/>
            <w:vAlign w:val="bottom"/>
            <w:hideMark/>
          </w:tcPr>
          <w:p w14:paraId="670FC53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25%</w:t>
            </w:r>
          </w:p>
        </w:tc>
      </w:tr>
      <w:tr w:rsidR="0023750E" w:rsidRPr="00003CEF" w14:paraId="5011E18A" w14:textId="77777777">
        <w:trPr>
          <w:trHeight w:val="263"/>
        </w:trPr>
        <w:tc>
          <w:tcPr>
            <w:tcW w:w="472" w:type="dxa"/>
            <w:vMerge/>
            <w:tcBorders>
              <w:top w:val="nil"/>
              <w:left w:val="nil"/>
              <w:bottom w:val="nil"/>
              <w:right w:val="nil"/>
            </w:tcBorders>
            <w:vAlign w:val="center"/>
            <w:hideMark/>
          </w:tcPr>
          <w:p w14:paraId="21AA2894"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17E380C6"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2</w:t>
            </w:r>
          </w:p>
        </w:tc>
        <w:tc>
          <w:tcPr>
            <w:tcW w:w="660" w:type="dxa"/>
            <w:tcBorders>
              <w:top w:val="nil"/>
              <w:left w:val="nil"/>
              <w:bottom w:val="nil"/>
              <w:right w:val="nil"/>
            </w:tcBorders>
            <w:shd w:val="clear" w:color="000000" w:fill="F2272B"/>
            <w:noWrap/>
            <w:vAlign w:val="center"/>
            <w:hideMark/>
          </w:tcPr>
          <w:p w14:paraId="0DCFD897" w14:textId="77777777" w:rsidR="0023750E" w:rsidRPr="00366AA1" w:rsidRDefault="0023750E" w:rsidP="00ED511F">
            <w:pPr>
              <w:keepNext/>
              <w:spacing w:after="0" w:line="276" w:lineRule="auto"/>
              <w:jc w:val="center"/>
              <w:rPr>
                <w:rFonts w:ascii="Calibri" w:eastAsia="Times New Roman" w:hAnsi="Calibri" w:cs="Calibri"/>
                <w:b/>
                <w:bCs/>
                <w:sz w:val="20"/>
                <w:szCs w:val="20"/>
                <w:lang w:eastAsia="en-AU"/>
              </w:rPr>
            </w:pPr>
            <w:r w:rsidRPr="00366AA1">
              <w:rPr>
                <w:rFonts w:ascii="Calibri" w:eastAsia="Times New Roman" w:hAnsi="Calibri" w:cs="Calibri"/>
                <w:b/>
                <w:bCs/>
                <w:sz w:val="20"/>
                <w:szCs w:val="20"/>
                <w:lang w:eastAsia="en-AU"/>
              </w:rPr>
              <w:t>37%</w:t>
            </w:r>
          </w:p>
        </w:tc>
        <w:tc>
          <w:tcPr>
            <w:tcW w:w="661" w:type="dxa"/>
            <w:tcBorders>
              <w:top w:val="nil"/>
              <w:left w:val="nil"/>
              <w:bottom w:val="nil"/>
              <w:right w:val="nil"/>
            </w:tcBorders>
            <w:shd w:val="clear" w:color="000000" w:fill="AD334C"/>
            <w:noWrap/>
            <w:vAlign w:val="center"/>
            <w:hideMark/>
          </w:tcPr>
          <w:p w14:paraId="79B4D638"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29%</w:t>
            </w:r>
          </w:p>
        </w:tc>
        <w:tc>
          <w:tcPr>
            <w:tcW w:w="661" w:type="dxa"/>
            <w:tcBorders>
              <w:top w:val="nil"/>
              <w:left w:val="nil"/>
              <w:bottom w:val="nil"/>
              <w:right w:val="nil"/>
            </w:tcBorders>
            <w:shd w:val="clear" w:color="000000" w:fill="8B385C"/>
            <w:noWrap/>
            <w:vAlign w:val="center"/>
            <w:hideMark/>
          </w:tcPr>
          <w:p w14:paraId="298B197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25%</w:t>
            </w:r>
          </w:p>
        </w:tc>
        <w:tc>
          <w:tcPr>
            <w:tcW w:w="661" w:type="dxa"/>
            <w:tcBorders>
              <w:top w:val="nil"/>
              <w:left w:val="nil"/>
              <w:bottom w:val="nil"/>
              <w:right w:val="nil"/>
            </w:tcBorders>
            <w:shd w:val="clear" w:color="000000" w:fill="803A61"/>
            <w:noWrap/>
            <w:vAlign w:val="center"/>
            <w:hideMark/>
          </w:tcPr>
          <w:p w14:paraId="585D565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24%</w:t>
            </w:r>
          </w:p>
        </w:tc>
        <w:tc>
          <w:tcPr>
            <w:tcW w:w="661" w:type="dxa"/>
            <w:tcBorders>
              <w:top w:val="nil"/>
              <w:left w:val="nil"/>
              <w:bottom w:val="nil"/>
              <w:right w:val="nil"/>
            </w:tcBorders>
            <w:shd w:val="clear" w:color="000000" w:fill="7E3B62"/>
            <w:noWrap/>
            <w:vAlign w:val="center"/>
            <w:hideMark/>
          </w:tcPr>
          <w:p w14:paraId="0FC5BBC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24%</w:t>
            </w:r>
          </w:p>
        </w:tc>
        <w:tc>
          <w:tcPr>
            <w:tcW w:w="660" w:type="dxa"/>
            <w:tcBorders>
              <w:top w:val="nil"/>
              <w:left w:val="nil"/>
              <w:bottom w:val="nil"/>
              <w:right w:val="nil"/>
            </w:tcBorders>
            <w:shd w:val="clear" w:color="000000" w:fill="5E4071"/>
            <w:noWrap/>
            <w:vAlign w:val="center"/>
            <w:hideMark/>
          </w:tcPr>
          <w:p w14:paraId="2FC1339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c>
          <w:tcPr>
            <w:tcW w:w="661" w:type="dxa"/>
            <w:tcBorders>
              <w:top w:val="nil"/>
              <w:left w:val="nil"/>
              <w:bottom w:val="nil"/>
              <w:right w:val="nil"/>
            </w:tcBorders>
            <w:shd w:val="clear" w:color="000000" w:fill="564175"/>
            <w:noWrap/>
            <w:vAlign w:val="center"/>
            <w:hideMark/>
          </w:tcPr>
          <w:p w14:paraId="21E4ABC1"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19%</w:t>
            </w:r>
          </w:p>
        </w:tc>
        <w:tc>
          <w:tcPr>
            <w:tcW w:w="661" w:type="dxa"/>
            <w:tcBorders>
              <w:top w:val="nil"/>
              <w:left w:val="nil"/>
              <w:bottom w:val="nil"/>
              <w:right w:val="nil"/>
            </w:tcBorders>
            <w:shd w:val="clear" w:color="000000" w:fill="5E4071"/>
            <w:noWrap/>
            <w:vAlign w:val="center"/>
            <w:hideMark/>
          </w:tcPr>
          <w:p w14:paraId="5C9DCFA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c>
          <w:tcPr>
            <w:tcW w:w="661" w:type="dxa"/>
            <w:tcBorders>
              <w:top w:val="nil"/>
              <w:left w:val="nil"/>
              <w:bottom w:val="nil"/>
              <w:right w:val="nil"/>
            </w:tcBorders>
            <w:shd w:val="clear" w:color="000000" w:fill="41457F"/>
            <w:noWrap/>
            <w:vAlign w:val="center"/>
            <w:hideMark/>
          </w:tcPr>
          <w:p w14:paraId="2D34DB0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17%</w:t>
            </w:r>
          </w:p>
        </w:tc>
        <w:tc>
          <w:tcPr>
            <w:tcW w:w="661" w:type="dxa"/>
            <w:tcBorders>
              <w:top w:val="nil"/>
              <w:left w:val="nil"/>
              <w:bottom w:val="nil"/>
              <w:right w:val="nil"/>
            </w:tcBorders>
            <w:shd w:val="clear" w:color="000000" w:fill="354784"/>
            <w:noWrap/>
            <w:vAlign w:val="center"/>
            <w:hideMark/>
          </w:tcPr>
          <w:p w14:paraId="5FC3FB81"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284" w:type="dxa"/>
            <w:tcBorders>
              <w:top w:val="nil"/>
              <w:left w:val="nil"/>
              <w:bottom w:val="nil"/>
              <w:right w:val="nil"/>
            </w:tcBorders>
            <w:shd w:val="clear" w:color="000000" w:fill="FFFFFF"/>
            <w:noWrap/>
            <w:vAlign w:val="bottom"/>
            <w:hideMark/>
          </w:tcPr>
          <w:p w14:paraId="7C945AC7"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A33551"/>
            <w:noWrap/>
            <w:vAlign w:val="bottom"/>
            <w:hideMark/>
          </w:tcPr>
          <w:p w14:paraId="626B791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28%</w:t>
            </w:r>
          </w:p>
        </w:tc>
      </w:tr>
      <w:tr w:rsidR="0023750E" w:rsidRPr="00003CEF" w14:paraId="29353BF1" w14:textId="77777777">
        <w:trPr>
          <w:trHeight w:val="263"/>
        </w:trPr>
        <w:tc>
          <w:tcPr>
            <w:tcW w:w="472" w:type="dxa"/>
            <w:vMerge/>
            <w:tcBorders>
              <w:top w:val="nil"/>
              <w:left w:val="nil"/>
              <w:bottom w:val="nil"/>
              <w:right w:val="nil"/>
            </w:tcBorders>
            <w:vAlign w:val="center"/>
            <w:hideMark/>
          </w:tcPr>
          <w:p w14:paraId="59065814"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636DD526"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3</w:t>
            </w:r>
          </w:p>
        </w:tc>
        <w:tc>
          <w:tcPr>
            <w:tcW w:w="660" w:type="dxa"/>
            <w:tcBorders>
              <w:top w:val="nil"/>
              <w:left w:val="nil"/>
              <w:bottom w:val="nil"/>
              <w:right w:val="nil"/>
            </w:tcBorders>
            <w:shd w:val="clear" w:color="000000" w:fill="FF2525"/>
            <w:noWrap/>
            <w:vAlign w:val="center"/>
            <w:hideMark/>
          </w:tcPr>
          <w:p w14:paraId="07970380" w14:textId="77777777" w:rsidR="0023750E" w:rsidRPr="00366AA1" w:rsidRDefault="0023750E" w:rsidP="00ED511F">
            <w:pPr>
              <w:keepNext/>
              <w:spacing w:after="0" w:line="276" w:lineRule="auto"/>
              <w:jc w:val="center"/>
              <w:rPr>
                <w:rFonts w:ascii="Calibri" w:eastAsia="Times New Roman" w:hAnsi="Calibri" w:cs="Calibri"/>
                <w:b/>
                <w:bCs/>
                <w:sz w:val="20"/>
                <w:szCs w:val="20"/>
                <w:lang w:eastAsia="en-AU"/>
              </w:rPr>
            </w:pPr>
            <w:r w:rsidRPr="00366AA1">
              <w:rPr>
                <w:rFonts w:ascii="Calibri" w:eastAsia="Times New Roman" w:hAnsi="Calibri" w:cs="Calibri"/>
                <w:b/>
                <w:bCs/>
                <w:sz w:val="20"/>
                <w:szCs w:val="20"/>
                <w:lang w:eastAsia="en-AU"/>
              </w:rPr>
              <w:t>38%</w:t>
            </w:r>
          </w:p>
        </w:tc>
        <w:tc>
          <w:tcPr>
            <w:tcW w:w="661" w:type="dxa"/>
            <w:tcBorders>
              <w:top w:val="nil"/>
              <w:left w:val="nil"/>
              <w:bottom w:val="nil"/>
              <w:right w:val="nil"/>
            </w:tcBorders>
            <w:shd w:val="clear" w:color="000000" w:fill="AB334D"/>
            <w:noWrap/>
            <w:vAlign w:val="center"/>
            <w:hideMark/>
          </w:tcPr>
          <w:p w14:paraId="476E002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29%</w:t>
            </w:r>
          </w:p>
        </w:tc>
        <w:tc>
          <w:tcPr>
            <w:tcW w:w="661" w:type="dxa"/>
            <w:tcBorders>
              <w:top w:val="nil"/>
              <w:left w:val="nil"/>
              <w:bottom w:val="nil"/>
              <w:right w:val="nil"/>
            </w:tcBorders>
            <w:shd w:val="clear" w:color="000000" w:fill="923758"/>
            <w:noWrap/>
            <w:vAlign w:val="center"/>
            <w:hideMark/>
          </w:tcPr>
          <w:p w14:paraId="6209541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26%</w:t>
            </w:r>
          </w:p>
        </w:tc>
        <w:tc>
          <w:tcPr>
            <w:tcW w:w="661" w:type="dxa"/>
            <w:tcBorders>
              <w:top w:val="nil"/>
              <w:left w:val="nil"/>
              <w:bottom w:val="nil"/>
              <w:right w:val="nil"/>
            </w:tcBorders>
            <w:shd w:val="clear" w:color="000000" w:fill="86395E"/>
            <w:noWrap/>
            <w:vAlign w:val="center"/>
            <w:hideMark/>
          </w:tcPr>
          <w:p w14:paraId="1AEB50A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25%</w:t>
            </w:r>
          </w:p>
        </w:tc>
        <w:tc>
          <w:tcPr>
            <w:tcW w:w="661" w:type="dxa"/>
            <w:tcBorders>
              <w:top w:val="nil"/>
              <w:left w:val="nil"/>
              <w:bottom w:val="nil"/>
              <w:right w:val="nil"/>
            </w:tcBorders>
            <w:shd w:val="clear" w:color="000000" w:fill="7B3B63"/>
            <w:noWrap/>
            <w:vAlign w:val="center"/>
            <w:hideMark/>
          </w:tcPr>
          <w:p w14:paraId="50827BF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24%</w:t>
            </w:r>
          </w:p>
        </w:tc>
        <w:tc>
          <w:tcPr>
            <w:tcW w:w="660" w:type="dxa"/>
            <w:tcBorders>
              <w:top w:val="nil"/>
              <w:left w:val="nil"/>
              <w:bottom w:val="nil"/>
              <w:right w:val="nil"/>
            </w:tcBorders>
            <w:shd w:val="clear" w:color="000000" w:fill="6A3E6B"/>
            <w:noWrap/>
            <w:vAlign w:val="center"/>
            <w:hideMark/>
          </w:tcPr>
          <w:p w14:paraId="38D9EC3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22%</w:t>
            </w:r>
          </w:p>
        </w:tc>
        <w:tc>
          <w:tcPr>
            <w:tcW w:w="661" w:type="dxa"/>
            <w:tcBorders>
              <w:top w:val="nil"/>
              <w:left w:val="nil"/>
              <w:bottom w:val="nil"/>
              <w:right w:val="nil"/>
            </w:tcBorders>
            <w:shd w:val="clear" w:color="000000" w:fill="623F6F"/>
            <w:noWrap/>
            <w:vAlign w:val="center"/>
            <w:hideMark/>
          </w:tcPr>
          <w:p w14:paraId="1B48237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21%</w:t>
            </w:r>
          </w:p>
        </w:tc>
        <w:tc>
          <w:tcPr>
            <w:tcW w:w="661" w:type="dxa"/>
            <w:tcBorders>
              <w:top w:val="nil"/>
              <w:left w:val="nil"/>
              <w:bottom w:val="nil"/>
              <w:right w:val="nil"/>
            </w:tcBorders>
            <w:shd w:val="clear" w:color="000000" w:fill="5A4173"/>
            <w:noWrap/>
            <w:vAlign w:val="center"/>
            <w:hideMark/>
          </w:tcPr>
          <w:p w14:paraId="3985877D"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c>
          <w:tcPr>
            <w:tcW w:w="661" w:type="dxa"/>
            <w:tcBorders>
              <w:top w:val="nil"/>
              <w:left w:val="nil"/>
              <w:bottom w:val="nil"/>
              <w:right w:val="nil"/>
            </w:tcBorders>
            <w:shd w:val="clear" w:color="000000" w:fill="3A4682"/>
            <w:noWrap/>
            <w:vAlign w:val="center"/>
            <w:hideMark/>
          </w:tcPr>
          <w:p w14:paraId="52AB9888"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661" w:type="dxa"/>
            <w:tcBorders>
              <w:top w:val="nil"/>
              <w:left w:val="nil"/>
              <w:bottom w:val="nil"/>
              <w:right w:val="nil"/>
            </w:tcBorders>
            <w:shd w:val="clear" w:color="000000" w:fill="48437B"/>
            <w:noWrap/>
            <w:vAlign w:val="center"/>
            <w:hideMark/>
          </w:tcPr>
          <w:p w14:paraId="1C07763F"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284" w:type="dxa"/>
            <w:tcBorders>
              <w:top w:val="nil"/>
              <w:left w:val="nil"/>
              <w:bottom w:val="nil"/>
              <w:right w:val="nil"/>
            </w:tcBorders>
            <w:shd w:val="clear" w:color="000000" w:fill="FFFFFF"/>
            <w:noWrap/>
            <w:vAlign w:val="bottom"/>
            <w:hideMark/>
          </w:tcPr>
          <w:p w14:paraId="65500462"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AE334B"/>
            <w:noWrap/>
            <w:vAlign w:val="bottom"/>
            <w:hideMark/>
          </w:tcPr>
          <w:p w14:paraId="49C517F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29%</w:t>
            </w:r>
          </w:p>
        </w:tc>
      </w:tr>
      <w:tr w:rsidR="0023750E" w:rsidRPr="00003CEF" w14:paraId="352CD5C4" w14:textId="77777777">
        <w:trPr>
          <w:trHeight w:val="263"/>
        </w:trPr>
        <w:tc>
          <w:tcPr>
            <w:tcW w:w="472" w:type="dxa"/>
            <w:vMerge/>
            <w:tcBorders>
              <w:top w:val="nil"/>
              <w:left w:val="nil"/>
              <w:bottom w:val="nil"/>
              <w:right w:val="nil"/>
            </w:tcBorders>
            <w:vAlign w:val="center"/>
            <w:hideMark/>
          </w:tcPr>
          <w:p w14:paraId="7A4964E3"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6CB05E96"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4</w:t>
            </w:r>
          </w:p>
        </w:tc>
        <w:tc>
          <w:tcPr>
            <w:tcW w:w="660" w:type="dxa"/>
            <w:tcBorders>
              <w:top w:val="nil"/>
              <w:left w:val="nil"/>
              <w:bottom w:val="nil"/>
              <w:right w:val="nil"/>
            </w:tcBorders>
            <w:shd w:val="clear" w:color="000000" w:fill="F4272A"/>
            <w:noWrap/>
            <w:vAlign w:val="center"/>
            <w:hideMark/>
          </w:tcPr>
          <w:p w14:paraId="45297FBA" w14:textId="77777777" w:rsidR="0023750E" w:rsidRPr="00366AA1" w:rsidRDefault="0023750E" w:rsidP="00ED511F">
            <w:pPr>
              <w:keepNext/>
              <w:spacing w:after="0" w:line="276" w:lineRule="auto"/>
              <w:jc w:val="center"/>
              <w:rPr>
                <w:rFonts w:ascii="Calibri" w:eastAsia="Times New Roman" w:hAnsi="Calibri" w:cs="Calibri"/>
                <w:b/>
                <w:bCs/>
                <w:sz w:val="20"/>
                <w:szCs w:val="20"/>
                <w:lang w:eastAsia="en-AU"/>
              </w:rPr>
            </w:pPr>
            <w:r w:rsidRPr="00366AA1">
              <w:rPr>
                <w:rFonts w:ascii="Calibri" w:eastAsia="Times New Roman" w:hAnsi="Calibri" w:cs="Calibri"/>
                <w:b/>
                <w:bCs/>
                <w:sz w:val="20"/>
                <w:szCs w:val="20"/>
                <w:lang w:eastAsia="en-AU"/>
              </w:rPr>
              <w:t>37%</w:t>
            </w:r>
          </w:p>
        </w:tc>
        <w:tc>
          <w:tcPr>
            <w:tcW w:w="661" w:type="dxa"/>
            <w:tcBorders>
              <w:top w:val="nil"/>
              <w:left w:val="nil"/>
              <w:bottom w:val="nil"/>
              <w:right w:val="nil"/>
            </w:tcBorders>
            <w:shd w:val="clear" w:color="000000" w:fill="A53450"/>
            <w:noWrap/>
            <w:vAlign w:val="center"/>
            <w:hideMark/>
          </w:tcPr>
          <w:p w14:paraId="6415D750"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28%</w:t>
            </w:r>
          </w:p>
        </w:tc>
        <w:tc>
          <w:tcPr>
            <w:tcW w:w="661" w:type="dxa"/>
            <w:tcBorders>
              <w:top w:val="nil"/>
              <w:left w:val="nil"/>
              <w:bottom w:val="nil"/>
              <w:right w:val="nil"/>
            </w:tcBorders>
            <w:shd w:val="clear" w:color="000000" w:fill="7B3B63"/>
            <w:noWrap/>
            <w:vAlign w:val="center"/>
            <w:hideMark/>
          </w:tcPr>
          <w:p w14:paraId="34F2029D"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24%</w:t>
            </w:r>
          </w:p>
        </w:tc>
        <w:tc>
          <w:tcPr>
            <w:tcW w:w="661" w:type="dxa"/>
            <w:tcBorders>
              <w:top w:val="nil"/>
              <w:left w:val="nil"/>
              <w:bottom w:val="nil"/>
              <w:right w:val="nil"/>
            </w:tcBorders>
            <w:shd w:val="clear" w:color="000000" w:fill="693E6C"/>
            <w:noWrap/>
            <w:vAlign w:val="center"/>
            <w:hideMark/>
          </w:tcPr>
          <w:p w14:paraId="435AFFC0"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22%</w:t>
            </w:r>
          </w:p>
        </w:tc>
        <w:tc>
          <w:tcPr>
            <w:tcW w:w="661" w:type="dxa"/>
            <w:tcBorders>
              <w:top w:val="nil"/>
              <w:left w:val="nil"/>
              <w:bottom w:val="nil"/>
              <w:right w:val="nil"/>
            </w:tcBorders>
            <w:shd w:val="clear" w:color="000000" w:fill="574174"/>
            <w:noWrap/>
            <w:vAlign w:val="center"/>
            <w:hideMark/>
          </w:tcPr>
          <w:p w14:paraId="151243DE"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c>
          <w:tcPr>
            <w:tcW w:w="660" w:type="dxa"/>
            <w:tcBorders>
              <w:top w:val="nil"/>
              <w:left w:val="nil"/>
              <w:bottom w:val="nil"/>
              <w:right w:val="nil"/>
            </w:tcBorders>
            <w:shd w:val="clear" w:color="000000" w:fill="46447C"/>
            <w:noWrap/>
            <w:vAlign w:val="center"/>
            <w:hideMark/>
          </w:tcPr>
          <w:p w14:paraId="78C24A5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1" w:type="dxa"/>
            <w:tcBorders>
              <w:top w:val="nil"/>
              <w:left w:val="nil"/>
              <w:bottom w:val="nil"/>
              <w:right w:val="nil"/>
            </w:tcBorders>
            <w:shd w:val="clear" w:color="000000" w:fill="45447D"/>
            <w:noWrap/>
            <w:vAlign w:val="center"/>
            <w:hideMark/>
          </w:tcPr>
          <w:p w14:paraId="50AA589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1" w:type="dxa"/>
            <w:tcBorders>
              <w:top w:val="nil"/>
              <w:left w:val="nil"/>
              <w:bottom w:val="nil"/>
              <w:right w:val="nil"/>
            </w:tcBorders>
            <w:shd w:val="clear" w:color="000000" w:fill="3B4681"/>
            <w:noWrap/>
            <w:vAlign w:val="center"/>
            <w:hideMark/>
          </w:tcPr>
          <w:p w14:paraId="3214D42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17%</w:t>
            </w:r>
          </w:p>
        </w:tc>
        <w:tc>
          <w:tcPr>
            <w:tcW w:w="661" w:type="dxa"/>
            <w:tcBorders>
              <w:top w:val="nil"/>
              <w:left w:val="nil"/>
              <w:bottom w:val="nil"/>
              <w:right w:val="nil"/>
            </w:tcBorders>
            <w:shd w:val="clear" w:color="000000" w:fill="3B4682"/>
            <w:noWrap/>
            <w:vAlign w:val="center"/>
            <w:hideMark/>
          </w:tcPr>
          <w:p w14:paraId="641B79FD"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661" w:type="dxa"/>
            <w:tcBorders>
              <w:top w:val="nil"/>
              <w:left w:val="nil"/>
              <w:bottom w:val="nil"/>
              <w:right w:val="nil"/>
            </w:tcBorders>
            <w:shd w:val="clear" w:color="000000" w:fill="324786"/>
            <w:noWrap/>
            <w:vAlign w:val="center"/>
            <w:hideMark/>
          </w:tcPr>
          <w:p w14:paraId="0D23C3FE"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284" w:type="dxa"/>
            <w:tcBorders>
              <w:top w:val="nil"/>
              <w:left w:val="nil"/>
              <w:bottom w:val="nil"/>
              <w:right w:val="nil"/>
            </w:tcBorders>
            <w:shd w:val="clear" w:color="000000" w:fill="FFFFFF"/>
            <w:noWrap/>
            <w:vAlign w:val="bottom"/>
            <w:hideMark/>
          </w:tcPr>
          <w:p w14:paraId="30229C06"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923758"/>
            <w:noWrap/>
            <w:vAlign w:val="bottom"/>
            <w:hideMark/>
          </w:tcPr>
          <w:p w14:paraId="3AC8673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26%</w:t>
            </w:r>
          </w:p>
        </w:tc>
      </w:tr>
      <w:tr w:rsidR="0023750E" w:rsidRPr="00003CEF" w14:paraId="348F7E15" w14:textId="77777777">
        <w:trPr>
          <w:trHeight w:val="263"/>
        </w:trPr>
        <w:tc>
          <w:tcPr>
            <w:tcW w:w="472" w:type="dxa"/>
            <w:vMerge/>
            <w:tcBorders>
              <w:top w:val="nil"/>
              <w:left w:val="nil"/>
              <w:bottom w:val="nil"/>
              <w:right w:val="nil"/>
            </w:tcBorders>
            <w:vAlign w:val="center"/>
            <w:hideMark/>
          </w:tcPr>
          <w:p w14:paraId="141194CD"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018632BA"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5</w:t>
            </w:r>
          </w:p>
        </w:tc>
        <w:tc>
          <w:tcPr>
            <w:tcW w:w="660" w:type="dxa"/>
            <w:tcBorders>
              <w:top w:val="nil"/>
              <w:left w:val="nil"/>
              <w:bottom w:val="nil"/>
              <w:right w:val="nil"/>
            </w:tcBorders>
            <w:shd w:val="clear" w:color="000000" w:fill="DA2C37"/>
            <w:noWrap/>
            <w:vAlign w:val="center"/>
            <w:hideMark/>
          </w:tcPr>
          <w:p w14:paraId="1454AA2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34%</w:t>
            </w:r>
          </w:p>
        </w:tc>
        <w:tc>
          <w:tcPr>
            <w:tcW w:w="661" w:type="dxa"/>
            <w:tcBorders>
              <w:top w:val="nil"/>
              <w:left w:val="nil"/>
              <w:bottom w:val="nil"/>
              <w:right w:val="nil"/>
            </w:tcBorders>
            <w:shd w:val="clear" w:color="000000" w:fill="823A60"/>
            <w:noWrap/>
            <w:vAlign w:val="center"/>
            <w:hideMark/>
          </w:tcPr>
          <w:p w14:paraId="0F10E7A0"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24%</w:t>
            </w:r>
          </w:p>
        </w:tc>
        <w:tc>
          <w:tcPr>
            <w:tcW w:w="661" w:type="dxa"/>
            <w:tcBorders>
              <w:top w:val="nil"/>
              <w:left w:val="nil"/>
              <w:bottom w:val="nil"/>
              <w:right w:val="nil"/>
            </w:tcBorders>
            <w:shd w:val="clear" w:color="000000" w:fill="6F3D69"/>
            <w:noWrap/>
            <w:vAlign w:val="center"/>
            <w:hideMark/>
          </w:tcPr>
          <w:p w14:paraId="1692A65A"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22%</w:t>
            </w:r>
          </w:p>
        </w:tc>
        <w:tc>
          <w:tcPr>
            <w:tcW w:w="661" w:type="dxa"/>
            <w:tcBorders>
              <w:top w:val="nil"/>
              <w:left w:val="nil"/>
              <w:bottom w:val="nil"/>
              <w:right w:val="nil"/>
            </w:tcBorders>
            <w:shd w:val="clear" w:color="000000" w:fill="504278"/>
            <w:noWrap/>
            <w:vAlign w:val="center"/>
            <w:hideMark/>
          </w:tcPr>
          <w:p w14:paraId="130495E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19%</w:t>
            </w:r>
          </w:p>
        </w:tc>
        <w:tc>
          <w:tcPr>
            <w:tcW w:w="661" w:type="dxa"/>
            <w:tcBorders>
              <w:top w:val="nil"/>
              <w:left w:val="nil"/>
              <w:bottom w:val="nil"/>
              <w:right w:val="nil"/>
            </w:tcBorders>
            <w:shd w:val="clear" w:color="000000" w:fill="4B437A"/>
            <w:noWrap/>
            <w:vAlign w:val="center"/>
            <w:hideMark/>
          </w:tcPr>
          <w:p w14:paraId="31F6F6BA"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0" w:type="dxa"/>
            <w:tcBorders>
              <w:top w:val="nil"/>
              <w:left w:val="nil"/>
              <w:bottom w:val="nil"/>
              <w:right w:val="nil"/>
            </w:tcBorders>
            <w:shd w:val="clear" w:color="000000" w:fill="40457F"/>
            <w:noWrap/>
            <w:vAlign w:val="center"/>
            <w:hideMark/>
          </w:tcPr>
          <w:p w14:paraId="6A6403D0"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17%</w:t>
            </w:r>
          </w:p>
        </w:tc>
        <w:tc>
          <w:tcPr>
            <w:tcW w:w="661" w:type="dxa"/>
            <w:tcBorders>
              <w:top w:val="nil"/>
              <w:left w:val="nil"/>
              <w:bottom w:val="nil"/>
              <w:right w:val="nil"/>
            </w:tcBorders>
            <w:shd w:val="clear" w:color="000000" w:fill="2F4887"/>
            <w:noWrap/>
            <w:vAlign w:val="center"/>
            <w:hideMark/>
          </w:tcPr>
          <w:p w14:paraId="19F33AA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A4889"/>
            <w:noWrap/>
            <w:vAlign w:val="center"/>
            <w:hideMark/>
          </w:tcPr>
          <w:p w14:paraId="231D48F2"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9498A"/>
            <w:noWrap/>
            <w:vAlign w:val="center"/>
            <w:hideMark/>
          </w:tcPr>
          <w:p w14:paraId="35843B90"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04A8E"/>
            <w:noWrap/>
            <w:vAlign w:val="center"/>
            <w:hideMark/>
          </w:tcPr>
          <w:p w14:paraId="2CEDE060"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284" w:type="dxa"/>
            <w:tcBorders>
              <w:top w:val="nil"/>
              <w:left w:val="nil"/>
              <w:bottom w:val="nil"/>
              <w:right w:val="nil"/>
            </w:tcBorders>
            <w:shd w:val="clear" w:color="000000" w:fill="FFFFFF"/>
            <w:noWrap/>
            <w:vAlign w:val="bottom"/>
            <w:hideMark/>
          </w:tcPr>
          <w:p w14:paraId="3CC58D48"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703D68"/>
            <w:noWrap/>
            <w:vAlign w:val="bottom"/>
            <w:hideMark/>
          </w:tcPr>
          <w:p w14:paraId="01C9C4C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22%</w:t>
            </w:r>
          </w:p>
        </w:tc>
      </w:tr>
      <w:tr w:rsidR="0023750E" w:rsidRPr="00003CEF" w14:paraId="5D5F348D" w14:textId="77777777">
        <w:trPr>
          <w:trHeight w:val="263"/>
        </w:trPr>
        <w:tc>
          <w:tcPr>
            <w:tcW w:w="472" w:type="dxa"/>
            <w:vMerge/>
            <w:tcBorders>
              <w:top w:val="nil"/>
              <w:left w:val="nil"/>
              <w:bottom w:val="nil"/>
              <w:right w:val="nil"/>
            </w:tcBorders>
            <w:vAlign w:val="center"/>
            <w:hideMark/>
          </w:tcPr>
          <w:p w14:paraId="7FE4B967"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04A9AA18"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6</w:t>
            </w:r>
          </w:p>
        </w:tc>
        <w:tc>
          <w:tcPr>
            <w:tcW w:w="660" w:type="dxa"/>
            <w:tcBorders>
              <w:top w:val="nil"/>
              <w:left w:val="nil"/>
              <w:bottom w:val="nil"/>
              <w:right w:val="nil"/>
            </w:tcBorders>
            <w:shd w:val="clear" w:color="000000" w:fill="C52F40"/>
            <w:noWrap/>
            <w:vAlign w:val="center"/>
            <w:hideMark/>
          </w:tcPr>
          <w:p w14:paraId="7BEF0FFD"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32%</w:t>
            </w:r>
          </w:p>
        </w:tc>
        <w:tc>
          <w:tcPr>
            <w:tcW w:w="661" w:type="dxa"/>
            <w:tcBorders>
              <w:top w:val="nil"/>
              <w:left w:val="nil"/>
              <w:bottom w:val="nil"/>
              <w:right w:val="nil"/>
            </w:tcBorders>
            <w:shd w:val="clear" w:color="000000" w:fill="743C67"/>
            <w:noWrap/>
            <w:vAlign w:val="center"/>
            <w:hideMark/>
          </w:tcPr>
          <w:p w14:paraId="1D4562B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23%</w:t>
            </w:r>
          </w:p>
        </w:tc>
        <w:tc>
          <w:tcPr>
            <w:tcW w:w="661" w:type="dxa"/>
            <w:tcBorders>
              <w:top w:val="nil"/>
              <w:left w:val="nil"/>
              <w:bottom w:val="nil"/>
              <w:right w:val="nil"/>
            </w:tcBorders>
            <w:shd w:val="clear" w:color="000000" w:fill="613F6F"/>
            <w:noWrap/>
            <w:vAlign w:val="center"/>
            <w:hideMark/>
          </w:tcPr>
          <w:p w14:paraId="09E989A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21%</w:t>
            </w:r>
          </w:p>
        </w:tc>
        <w:tc>
          <w:tcPr>
            <w:tcW w:w="661" w:type="dxa"/>
            <w:tcBorders>
              <w:top w:val="nil"/>
              <w:left w:val="nil"/>
              <w:bottom w:val="nil"/>
              <w:right w:val="nil"/>
            </w:tcBorders>
            <w:shd w:val="clear" w:color="000000" w:fill="554175"/>
            <w:noWrap/>
            <w:vAlign w:val="center"/>
            <w:hideMark/>
          </w:tcPr>
          <w:p w14:paraId="5F52D72F"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19%</w:t>
            </w:r>
          </w:p>
        </w:tc>
        <w:tc>
          <w:tcPr>
            <w:tcW w:w="661" w:type="dxa"/>
            <w:tcBorders>
              <w:top w:val="nil"/>
              <w:left w:val="nil"/>
              <w:bottom w:val="nil"/>
              <w:right w:val="nil"/>
            </w:tcBorders>
            <w:shd w:val="clear" w:color="000000" w:fill="384683"/>
            <w:noWrap/>
            <w:vAlign w:val="center"/>
            <w:hideMark/>
          </w:tcPr>
          <w:p w14:paraId="0816082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660" w:type="dxa"/>
            <w:tcBorders>
              <w:top w:val="nil"/>
              <w:left w:val="nil"/>
              <w:bottom w:val="nil"/>
              <w:right w:val="nil"/>
            </w:tcBorders>
            <w:shd w:val="clear" w:color="000000" w:fill="304787"/>
            <w:noWrap/>
            <w:vAlign w:val="center"/>
            <w:hideMark/>
          </w:tcPr>
          <w:p w14:paraId="5043B77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F4887"/>
            <w:noWrap/>
            <w:vAlign w:val="center"/>
            <w:hideMark/>
          </w:tcPr>
          <w:p w14:paraId="50E1BD9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6498B"/>
            <w:noWrap/>
            <w:vAlign w:val="center"/>
            <w:hideMark/>
          </w:tcPr>
          <w:p w14:paraId="7F32817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224A8D"/>
            <w:noWrap/>
            <w:vAlign w:val="center"/>
            <w:hideMark/>
          </w:tcPr>
          <w:p w14:paraId="4F9DED5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194B91"/>
            <w:noWrap/>
            <w:vAlign w:val="center"/>
            <w:hideMark/>
          </w:tcPr>
          <w:p w14:paraId="78A6786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284" w:type="dxa"/>
            <w:tcBorders>
              <w:top w:val="nil"/>
              <w:left w:val="nil"/>
              <w:bottom w:val="nil"/>
              <w:right w:val="nil"/>
            </w:tcBorders>
            <w:shd w:val="clear" w:color="000000" w:fill="FFFFFF"/>
            <w:noWrap/>
            <w:vAlign w:val="bottom"/>
            <w:hideMark/>
          </w:tcPr>
          <w:p w14:paraId="256696F6"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5C4072"/>
            <w:noWrap/>
            <w:vAlign w:val="bottom"/>
            <w:hideMark/>
          </w:tcPr>
          <w:p w14:paraId="6BBA1908"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r>
      <w:tr w:rsidR="0023750E" w:rsidRPr="00003CEF" w14:paraId="6BC4062B" w14:textId="77777777">
        <w:trPr>
          <w:trHeight w:val="263"/>
        </w:trPr>
        <w:tc>
          <w:tcPr>
            <w:tcW w:w="472" w:type="dxa"/>
            <w:vMerge/>
            <w:tcBorders>
              <w:top w:val="nil"/>
              <w:left w:val="nil"/>
              <w:bottom w:val="nil"/>
              <w:right w:val="nil"/>
            </w:tcBorders>
            <w:vAlign w:val="center"/>
            <w:hideMark/>
          </w:tcPr>
          <w:p w14:paraId="286FEDC0"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6900A122"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7</w:t>
            </w:r>
          </w:p>
        </w:tc>
        <w:tc>
          <w:tcPr>
            <w:tcW w:w="660" w:type="dxa"/>
            <w:tcBorders>
              <w:top w:val="nil"/>
              <w:left w:val="nil"/>
              <w:bottom w:val="nil"/>
              <w:right w:val="nil"/>
            </w:tcBorders>
            <w:shd w:val="clear" w:color="000000" w:fill="A43450"/>
            <w:noWrap/>
            <w:vAlign w:val="center"/>
            <w:hideMark/>
          </w:tcPr>
          <w:p w14:paraId="58329301"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28%</w:t>
            </w:r>
          </w:p>
        </w:tc>
        <w:tc>
          <w:tcPr>
            <w:tcW w:w="661" w:type="dxa"/>
            <w:tcBorders>
              <w:top w:val="nil"/>
              <w:left w:val="nil"/>
              <w:bottom w:val="nil"/>
              <w:right w:val="nil"/>
            </w:tcBorders>
            <w:shd w:val="clear" w:color="000000" w:fill="5F4071"/>
            <w:noWrap/>
            <w:vAlign w:val="center"/>
            <w:hideMark/>
          </w:tcPr>
          <w:p w14:paraId="273E7EA8"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c>
          <w:tcPr>
            <w:tcW w:w="661" w:type="dxa"/>
            <w:tcBorders>
              <w:top w:val="nil"/>
              <w:left w:val="nil"/>
              <w:bottom w:val="nil"/>
              <w:right w:val="nil"/>
            </w:tcBorders>
            <w:shd w:val="clear" w:color="000000" w:fill="45447D"/>
            <w:noWrap/>
            <w:vAlign w:val="center"/>
            <w:hideMark/>
          </w:tcPr>
          <w:p w14:paraId="238DBF1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1" w:type="dxa"/>
            <w:tcBorders>
              <w:top w:val="nil"/>
              <w:left w:val="nil"/>
              <w:bottom w:val="nil"/>
              <w:right w:val="nil"/>
            </w:tcBorders>
            <w:shd w:val="clear" w:color="000000" w:fill="3B4681"/>
            <w:noWrap/>
            <w:vAlign w:val="center"/>
            <w:hideMark/>
          </w:tcPr>
          <w:p w14:paraId="0FE8707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17%</w:t>
            </w:r>
          </w:p>
        </w:tc>
        <w:tc>
          <w:tcPr>
            <w:tcW w:w="661" w:type="dxa"/>
            <w:tcBorders>
              <w:top w:val="nil"/>
              <w:left w:val="nil"/>
              <w:bottom w:val="nil"/>
              <w:right w:val="nil"/>
            </w:tcBorders>
            <w:shd w:val="clear" w:color="000000" w:fill="324786"/>
            <w:noWrap/>
            <w:vAlign w:val="center"/>
            <w:hideMark/>
          </w:tcPr>
          <w:p w14:paraId="632FEF1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0" w:type="dxa"/>
            <w:tcBorders>
              <w:top w:val="nil"/>
              <w:left w:val="nil"/>
              <w:bottom w:val="nil"/>
              <w:right w:val="nil"/>
            </w:tcBorders>
            <w:shd w:val="clear" w:color="000000" w:fill="2F4887"/>
            <w:noWrap/>
            <w:vAlign w:val="center"/>
            <w:hideMark/>
          </w:tcPr>
          <w:p w14:paraId="40F3CEA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F4887"/>
            <w:noWrap/>
            <w:vAlign w:val="center"/>
            <w:hideMark/>
          </w:tcPr>
          <w:p w14:paraId="644B7DD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04A8E"/>
            <w:noWrap/>
            <w:vAlign w:val="center"/>
            <w:hideMark/>
          </w:tcPr>
          <w:p w14:paraId="3F284CA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661" w:type="dxa"/>
            <w:tcBorders>
              <w:top w:val="nil"/>
              <w:left w:val="nil"/>
              <w:bottom w:val="nil"/>
              <w:right w:val="nil"/>
            </w:tcBorders>
            <w:shd w:val="clear" w:color="000000" w:fill="1F4A8F"/>
            <w:noWrap/>
            <w:vAlign w:val="center"/>
            <w:hideMark/>
          </w:tcPr>
          <w:p w14:paraId="08121D9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661" w:type="dxa"/>
            <w:tcBorders>
              <w:top w:val="nil"/>
              <w:left w:val="nil"/>
              <w:bottom w:val="nil"/>
              <w:right w:val="nil"/>
            </w:tcBorders>
            <w:shd w:val="clear" w:color="000000" w:fill="1A4B91"/>
            <w:noWrap/>
            <w:vAlign w:val="center"/>
            <w:hideMark/>
          </w:tcPr>
          <w:p w14:paraId="3A0682D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284" w:type="dxa"/>
            <w:tcBorders>
              <w:top w:val="nil"/>
              <w:left w:val="nil"/>
              <w:bottom w:val="nil"/>
              <w:right w:val="nil"/>
            </w:tcBorders>
            <w:shd w:val="clear" w:color="000000" w:fill="FFFFFF"/>
            <w:noWrap/>
            <w:vAlign w:val="bottom"/>
            <w:hideMark/>
          </w:tcPr>
          <w:p w14:paraId="26D699DF"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44447D"/>
            <w:noWrap/>
            <w:vAlign w:val="bottom"/>
            <w:hideMark/>
          </w:tcPr>
          <w:p w14:paraId="11D9CE1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r>
      <w:tr w:rsidR="0023750E" w:rsidRPr="00003CEF" w14:paraId="24015304" w14:textId="77777777">
        <w:trPr>
          <w:trHeight w:val="263"/>
        </w:trPr>
        <w:tc>
          <w:tcPr>
            <w:tcW w:w="472" w:type="dxa"/>
            <w:vMerge/>
            <w:tcBorders>
              <w:top w:val="nil"/>
              <w:left w:val="nil"/>
              <w:bottom w:val="nil"/>
              <w:right w:val="nil"/>
            </w:tcBorders>
            <w:vAlign w:val="center"/>
            <w:hideMark/>
          </w:tcPr>
          <w:p w14:paraId="5A2D9A34"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22819D07"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8</w:t>
            </w:r>
          </w:p>
        </w:tc>
        <w:tc>
          <w:tcPr>
            <w:tcW w:w="660" w:type="dxa"/>
            <w:tcBorders>
              <w:top w:val="nil"/>
              <w:left w:val="nil"/>
              <w:bottom w:val="nil"/>
              <w:right w:val="nil"/>
            </w:tcBorders>
            <w:shd w:val="clear" w:color="000000" w:fill="8E385A"/>
            <w:noWrap/>
            <w:vAlign w:val="center"/>
            <w:hideMark/>
          </w:tcPr>
          <w:p w14:paraId="6171CABE"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26%</w:t>
            </w:r>
          </w:p>
        </w:tc>
        <w:tc>
          <w:tcPr>
            <w:tcW w:w="661" w:type="dxa"/>
            <w:tcBorders>
              <w:top w:val="nil"/>
              <w:left w:val="nil"/>
              <w:bottom w:val="nil"/>
              <w:right w:val="nil"/>
            </w:tcBorders>
            <w:shd w:val="clear" w:color="000000" w:fill="514277"/>
            <w:noWrap/>
            <w:vAlign w:val="center"/>
            <w:hideMark/>
          </w:tcPr>
          <w:p w14:paraId="657BB38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19%</w:t>
            </w:r>
          </w:p>
        </w:tc>
        <w:tc>
          <w:tcPr>
            <w:tcW w:w="661" w:type="dxa"/>
            <w:tcBorders>
              <w:top w:val="nil"/>
              <w:left w:val="nil"/>
              <w:bottom w:val="nil"/>
              <w:right w:val="nil"/>
            </w:tcBorders>
            <w:shd w:val="clear" w:color="000000" w:fill="49437B"/>
            <w:noWrap/>
            <w:vAlign w:val="center"/>
            <w:hideMark/>
          </w:tcPr>
          <w:p w14:paraId="55A2964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1" w:type="dxa"/>
            <w:tcBorders>
              <w:top w:val="nil"/>
              <w:left w:val="nil"/>
              <w:bottom w:val="nil"/>
              <w:right w:val="nil"/>
            </w:tcBorders>
            <w:shd w:val="clear" w:color="000000" w:fill="3B4681"/>
            <w:noWrap/>
            <w:vAlign w:val="center"/>
            <w:hideMark/>
          </w:tcPr>
          <w:p w14:paraId="596C455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661" w:type="dxa"/>
            <w:tcBorders>
              <w:top w:val="nil"/>
              <w:left w:val="nil"/>
              <w:bottom w:val="nil"/>
              <w:right w:val="nil"/>
            </w:tcBorders>
            <w:shd w:val="clear" w:color="000000" w:fill="364784"/>
            <w:noWrap/>
            <w:vAlign w:val="center"/>
            <w:hideMark/>
          </w:tcPr>
          <w:p w14:paraId="29ADC84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660" w:type="dxa"/>
            <w:tcBorders>
              <w:top w:val="nil"/>
              <w:left w:val="nil"/>
              <w:bottom w:val="nil"/>
              <w:right w:val="nil"/>
            </w:tcBorders>
            <w:shd w:val="clear" w:color="000000" w:fill="28498A"/>
            <w:noWrap/>
            <w:vAlign w:val="center"/>
            <w:hideMark/>
          </w:tcPr>
          <w:p w14:paraId="0AE8BD7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2A498A"/>
            <w:noWrap/>
            <w:vAlign w:val="center"/>
            <w:hideMark/>
          </w:tcPr>
          <w:p w14:paraId="1DB9FD4A"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164C93"/>
            <w:noWrap/>
            <w:vAlign w:val="center"/>
            <w:hideMark/>
          </w:tcPr>
          <w:p w14:paraId="0336BF0D"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c>
          <w:tcPr>
            <w:tcW w:w="661" w:type="dxa"/>
            <w:tcBorders>
              <w:top w:val="nil"/>
              <w:left w:val="nil"/>
              <w:bottom w:val="nil"/>
              <w:right w:val="nil"/>
            </w:tcBorders>
            <w:shd w:val="clear" w:color="000000" w:fill="204A8E"/>
            <w:noWrap/>
            <w:vAlign w:val="center"/>
            <w:hideMark/>
          </w:tcPr>
          <w:p w14:paraId="664C0DE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1B4B90"/>
            <w:noWrap/>
            <w:vAlign w:val="center"/>
            <w:hideMark/>
          </w:tcPr>
          <w:p w14:paraId="0EBED30F"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284" w:type="dxa"/>
            <w:tcBorders>
              <w:top w:val="nil"/>
              <w:left w:val="nil"/>
              <w:bottom w:val="nil"/>
              <w:right w:val="nil"/>
            </w:tcBorders>
            <w:shd w:val="clear" w:color="000000" w:fill="FFFFFF"/>
            <w:noWrap/>
            <w:vAlign w:val="bottom"/>
            <w:hideMark/>
          </w:tcPr>
          <w:p w14:paraId="49B39308"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394683"/>
            <w:noWrap/>
            <w:vAlign w:val="bottom"/>
            <w:hideMark/>
          </w:tcPr>
          <w:p w14:paraId="091C76A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r>
      <w:tr w:rsidR="0023750E" w:rsidRPr="00003CEF" w14:paraId="3F097E56" w14:textId="77777777">
        <w:trPr>
          <w:trHeight w:val="263"/>
        </w:trPr>
        <w:tc>
          <w:tcPr>
            <w:tcW w:w="472" w:type="dxa"/>
            <w:vMerge/>
            <w:tcBorders>
              <w:top w:val="nil"/>
              <w:left w:val="nil"/>
              <w:bottom w:val="nil"/>
              <w:right w:val="nil"/>
            </w:tcBorders>
            <w:vAlign w:val="center"/>
            <w:hideMark/>
          </w:tcPr>
          <w:p w14:paraId="61DA9293"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1935EE3E"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9</w:t>
            </w:r>
          </w:p>
        </w:tc>
        <w:tc>
          <w:tcPr>
            <w:tcW w:w="660" w:type="dxa"/>
            <w:tcBorders>
              <w:top w:val="nil"/>
              <w:left w:val="nil"/>
              <w:bottom w:val="nil"/>
              <w:right w:val="nil"/>
            </w:tcBorders>
            <w:shd w:val="clear" w:color="000000" w:fill="743C67"/>
            <w:noWrap/>
            <w:vAlign w:val="center"/>
            <w:hideMark/>
          </w:tcPr>
          <w:p w14:paraId="4501760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23%</w:t>
            </w:r>
          </w:p>
        </w:tc>
        <w:tc>
          <w:tcPr>
            <w:tcW w:w="661" w:type="dxa"/>
            <w:tcBorders>
              <w:top w:val="nil"/>
              <w:left w:val="nil"/>
              <w:bottom w:val="nil"/>
              <w:right w:val="nil"/>
            </w:tcBorders>
            <w:shd w:val="clear" w:color="000000" w:fill="3F457F"/>
            <w:noWrap/>
            <w:vAlign w:val="center"/>
            <w:hideMark/>
          </w:tcPr>
          <w:p w14:paraId="6419922E"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17%</w:t>
            </w:r>
          </w:p>
        </w:tc>
        <w:tc>
          <w:tcPr>
            <w:tcW w:w="661" w:type="dxa"/>
            <w:tcBorders>
              <w:top w:val="nil"/>
              <w:left w:val="nil"/>
              <w:bottom w:val="nil"/>
              <w:right w:val="nil"/>
            </w:tcBorders>
            <w:shd w:val="clear" w:color="000000" w:fill="394682"/>
            <w:noWrap/>
            <w:vAlign w:val="center"/>
            <w:hideMark/>
          </w:tcPr>
          <w:p w14:paraId="4409CBE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661" w:type="dxa"/>
            <w:tcBorders>
              <w:top w:val="nil"/>
              <w:left w:val="nil"/>
              <w:bottom w:val="nil"/>
              <w:right w:val="nil"/>
            </w:tcBorders>
            <w:shd w:val="clear" w:color="000000" w:fill="304787"/>
            <w:noWrap/>
            <w:vAlign w:val="center"/>
            <w:hideMark/>
          </w:tcPr>
          <w:p w14:paraId="46E0F51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14A8E"/>
            <w:noWrap/>
            <w:vAlign w:val="center"/>
            <w:hideMark/>
          </w:tcPr>
          <w:p w14:paraId="3F26B9A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0" w:type="dxa"/>
            <w:tcBorders>
              <w:top w:val="nil"/>
              <w:left w:val="nil"/>
              <w:bottom w:val="nil"/>
              <w:right w:val="nil"/>
            </w:tcBorders>
            <w:shd w:val="clear" w:color="000000" w:fill="25498C"/>
            <w:noWrap/>
            <w:vAlign w:val="center"/>
            <w:hideMark/>
          </w:tcPr>
          <w:p w14:paraId="4BAD677A"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1F4A8F"/>
            <w:noWrap/>
            <w:vAlign w:val="center"/>
            <w:hideMark/>
          </w:tcPr>
          <w:p w14:paraId="5667A06A"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661" w:type="dxa"/>
            <w:tcBorders>
              <w:top w:val="nil"/>
              <w:left w:val="nil"/>
              <w:bottom w:val="nil"/>
              <w:right w:val="nil"/>
            </w:tcBorders>
            <w:shd w:val="clear" w:color="000000" w:fill="1A4B91"/>
            <w:noWrap/>
            <w:vAlign w:val="center"/>
            <w:hideMark/>
          </w:tcPr>
          <w:p w14:paraId="6081EE5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661" w:type="dxa"/>
            <w:tcBorders>
              <w:top w:val="nil"/>
              <w:left w:val="nil"/>
              <w:bottom w:val="nil"/>
              <w:right w:val="nil"/>
            </w:tcBorders>
            <w:shd w:val="clear" w:color="000000" w:fill="0F4D96"/>
            <w:noWrap/>
            <w:vAlign w:val="center"/>
            <w:hideMark/>
          </w:tcPr>
          <w:p w14:paraId="73A0F4F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c>
          <w:tcPr>
            <w:tcW w:w="661" w:type="dxa"/>
            <w:tcBorders>
              <w:top w:val="nil"/>
              <w:left w:val="nil"/>
              <w:bottom w:val="nil"/>
              <w:right w:val="nil"/>
            </w:tcBorders>
            <w:shd w:val="clear" w:color="000000" w:fill="0B4E98"/>
            <w:noWrap/>
            <w:vAlign w:val="center"/>
            <w:hideMark/>
          </w:tcPr>
          <w:p w14:paraId="00E2898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11%</w:t>
            </w:r>
          </w:p>
        </w:tc>
        <w:tc>
          <w:tcPr>
            <w:tcW w:w="284" w:type="dxa"/>
            <w:tcBorders>
              <w:top w:val="nil"/>
              <w:left w:val="nil"/>
              <w:bottom w:val="nil"/>
              <w:right w:val="nil"/>
            </w:tcBorders>
            <w:shd w:val="clear" w:color="000000" w:fill="FFFFFF"/>
            <w:noWrap/>
            <w:vAlign w:val="bottom"/>
            <w:hideMark/>
          </w:tcPr>
          <w:p w14:paraId="0DC24215"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26498B"/>
            <w:noWrap/>
            <w:vAlign w:val="bottom"/>
            <w:hideMark/>
          </w:tcPr>
          <w:p w14:paraId="706DCAC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r>
      <w:tr w:rsidR="0023750E" w:rsidRPr="00003CEF" w14:paraId="6C94C9B4" w14:textId="77777777">
        <w:trPr>
          <w:trHeight w:val="263"/>
        </w:trPr>
        <w:tc>
          <w:tcPr>
            <w:tcW w:w="472" w:type="dxa"/>
            <w:vMerge/>
            <w:tcBorders>
              <w:top w:val="nil"/>
              <w:left w:val="nil"/>
              <w:bottom w:val="nil"/>
              <w:right w:val="nil"/>
            </w:tcBorders>
            <w:vAlign w:val="center"/>
            <w:hideMark/>
          </w:tcPr>
          <w:p w14:paraId="6A408E78" w14:textId="77777777" w:rsidR="0023750E" w:rsidRPr="00003CEF" w:rsidRDefault="0023750E" w:rsidP="00ED511F">
            <w:pPr>
              <w:keepNext/>
              <w:spacing w:after="0" w:line="276" w:lineRule="auto"/>
              <w:rPr>
                <w:rFonts w:ascii="Calibri" w:eastAsia="Times New Roman" w:hAnsi="Calibri" w:cs="Calibri"/>
                <w:b/>
                <w:bCs/>
                <w:lang w:eastAsia="en-AU"/>
              </w:rPr>
            </w:pPr>
          </w:p>
        </w:tc>
        <w:tc>
          <w:tcPr>
            <w:tcW w:w="1000" w:type="dxa"/>
            <w:tcBorders>
              <w:top w:val="nil"/>
              <w:left w:val="nil"/>
              <w:bottom w:val="nil"/>
              <w:right w:val="nil"/>
            </w:tcBorders>
            <w:shd w:val="clear" w:color="000000" w:fill="FFFFFF"/>
            <w:noWrap/>
            <w:vAlign w:val="center"/>
            <w:hideMark/>
          </w:tcPr>
          <w:p w14:paraId="49A67AA5" w14:textId="77777777" w:rsidR="0023750E" w:rsidRPr="00C21530" w:rsidRDefault="0023750E" w:rsidP="00ED511F">
            <w:pPr>
              <w:keepNext/>
              <w:spacing w:after="0" w:line="276" w:lineRule="auto"/>
              <w:jc w:val="right"/>
              <w:rPr>
                <w:rFonts w:ascii="Calibri" w:eastAsia="Times New Roman" w:hAnsi="Calibri" w:cs="Calibri"/>
                <w:b/>
                <w:bCs/>
                <w:sz w:val="20"/>
                <w:szCs w:val="20"/>
                <w:lang w:eastAsia="en-AU"/>
              </w:rPr>
            </w:pPr>
            <w:r w:rsidRPr="00C21530">
              <w:rPr>
                <w:rFonts w:ascii="Calibri" w:eastAsia="Times New Roman" w:hAnsi="Calibri" w:cs="Calibri"/>
                <w:b/>
                <w:bCs/>
                <w:sz w:val="20"/>
                <w:szCs w:val="20"/>
                <w:lang w:eastAsia="en-AU"/>
              </w:rPr>
              <w:t>10</w:t>
            </w:r>
          </w:p>
        </w:tc>
        <w:tc>
          <w:tcPr>
            <w:tcW w:w="660" w:type="dxa"/>
            <w:tcBorders>
              <w:top w:val="nil"/>
              <w:left w:val="nil"/>
              <w:bottom w:val="nil"/>
              <w:right w:val="nil"/>
            </w:tcBorders>
            <w:shd w:val="clear" w:color="000000" w:fill="48447B"/>
            <w:noWrap/>
            <w:vAlign w:val="center"/>
            <w:hideMark/>
          </w:tcPr>
          <w:p w14:paraId="12BBD8BF"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1" w:type="dxa"/>
            <w:tcBorders>
              <w:top w:val="nil"/>
              <w:left w:val="nil"/>
              <w:bottom w:val="nil"/>
              <w:right w:val="nil"/>
            </w:tcBorders>
            <w:shd w:val="clear" w:color="000000" w:fill="324786"/>
            <w:noWrap/>
            <w:vAlign w:val="center"/>
            <w:hideMark/>
          </w:tcPr>
          <w:p w14:paraId="4B76D1D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5498C"/>
            <w:noWrap/>
            <w:vAlign w:val="center"/>
            <w:hideMark/>
          </w:tcPr>
          <w:p w14:paraId="285CA5EE"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27498B"/>
            <w:noWrap/>
            <w:vAlign w:val="center"/>
            <w:hideMark/>
          </w:tcPr>
          <w:p w14:paraId="0556753B"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224A8D"/>
            <w:noWrap/>
            <w:vAlign w:val="center"/>
            <w:hideMark/>
          </w:tcPr>
          <w:p w14:paraId="60DBFCC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0" w:type="dxa"/>
            <w:tcBorders>
              <w:top w:val="nil"/>
              <w:left w:val="nil"/>
              <w:bottom w:val="nil"/>
              <w:right w:val="nil"/>
            </w:tcBorders>
            <w:shd w:val="clear" w:color="000000" w:fill="144C94"/>
            <w:noWrap/>
            <w:vAlign w:val="center"/>
            <w:hideMark/>
          </w:tcPr>
          <w:p w14:paraId="727D1570"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c>
          <w:tcPr>
            <w:tcW w:w="661" w:type="dxa"/>
            <w:tcBorders>
              <w:top w:val="nil"/>
              <w:left w:val="nil"/>
              <w:bottom w:val="nil"/>
              <w:right w:val="nil"/>
            </w:tcBorders>
            <w:shd w:val="clear" w:color="000000" w:fill="164C93"/>
            <w:noWrap/>
            <w:vAlign w:val="center"/>
            <w:hideMark/>
          </w:tcPr>
          <w:p w14:paraId="43AC5DE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c>
          <w:tcPr>
            <w:tcW w:w="661" w:type="dxa"/>
            <w:tcBorders>
              <w:top w:val="nil"/>
              <w:left w:val="nil"/>
              <w:bottom w:val="nil"/>
              <w:right w:val="nil"/>
            </w:tcBorders>
            <w:shd w:val="clear" w:color="000000" w:fill="174C93"/>
            <w:noWrap/>
            <w:vAlign w:val="center"/>
            <w:hideMark/>
          </w:tcPr>
          <w:p w14:paraId="469B364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c>
          <w:tcPr>
            <w:tcW w:w="661" w:type="dxa"/>
            <w:tcBorders>
              <w:top w:val="nil"/>
              <w:left w:val="nil"/>
              <w:bottom w:val="nil"/>
              <w:right w:val="nil"/>
            </w:tcBorders>
            <w:shd w:val="clear" w:color="000000" w:fill="134C94"/>
            <w:noWrap/>
            <w:vAlign w:val="center"/>
            <w:hideMark/>
          </w:tcPr>
          <w:p w14:paraId="4B7DB641"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c>
          <w:tcPr>
            <w:tcW w:w="661" w:type="dxa"/>
            <w:tcBorders>
              <w:top w:val="nil"/>
              <w:left w:val="nil"/>
              <w:bottom w:val="nil"/>
              <w:right w:val="nil"/>
            </w:tcBorders>
            <w:shd w:val="clear" w:color="000000" w:fill="004F9D"/>
            <w:noWrap/>
            <w:vAlign w:val="center"/>
            <w:hideMark/>
          </w:tcPr>
          <w:p w14:paraId="30C5B681"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10%</w:t>
            </w:r>
          </w:p>
        </w:tc>
        <w:tc>
          <w:tcPr>
            <w:tcW w:w="284" w:type="dxa"/>
            <w:tcBorders>
              <w:top w:val="nil"/>
              <w:left w:val="nil"/>
              <w:bottom w:val="nil"/>
              <w:right w:val="nil"/>
            </w:tcBorders>
            <w:shd w:val="clear" w:color="000000" w:fill="FFFFFF"/>
            <w:noWrap/>
            <w:vAlign w:val="bottom"/>
            <w:hideMark/>
          </w:tcPr>
          <w:p w14:paraId="2BF73301"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154C93"/>
            <w:noWrap/>
            <w:vAlign w:val="bottom"/>
            <w:hideMark/>
          </w:tcPr>
          <w:p w14:paraId="456C736C"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r>
      <w:tr w:rsidR="0023750E" w:rsidRPr="00003CEF" w14:paraId="14700419" w14:textId="77777777">
        <w:trPr>
          <w:trHeight w:val="159"/>
        </w:trPr>
        <w:tc>
          <w:tcPr>
            <w:tcW w:w="472" w:type="dxa"/>
            <w:tcBorders>
              <w:top w:val="nil"/>
              <w:left w:val="nil"/>
              <w:bottom w:val="nil"/>
              <w:right w:val="nil"/>
            </w:tcBorders>
            <w:shd w:val="clear" w:color="000000" w:fill="FFFFFF"/>
            <w:noWrap/>
            <w:vAlign w:val="bottom"/>
            <w:hideMark/>
          </w:tcPr>
          <w:p w14:paraId="230AE592" w14:textId="77777777" w:rsidR="0023750E" w:rsidRPr="00003CEF" w:rsidRDefault="0023750E" w:rsidP="00ED511F">
            <w:pPr>
              <w:keepNext/>
              <w:spacing w:after="0" w:line="276" w:lineRule="auto"/>
              <w:rPr>
                <w:rFonts w:ascii="Calibri" w:eastAsia="Times New Roman" w:hAnsi="Calibri" w:cs="Calibri"/>
                <w:color w:val="000000"/>
                <w:lang w:eastAsia="en-AU"/>
              </w:rPr>
            </w:pPr>
            <w:r w:rsidRPr="00003CEF">
              <w:rPr>
                <w:rFonts w:ascii="Calibri" w:eastAsia="Times New Roman" w:hAnsi="Calibri" w:cs="Calibri"/>
                <w:color w:val="000000"/>
                <w:lang w:eastAsia="en-AU"/>
              </w:rPr>
              <w:t> </w:t>
            </w:r>
          </w:p>
        </w:tc>
        <w:tc>
          <w:tcPr>
            <w:tcW w:w="1000" w:type="dxa"/>
            <w:tcBorders>
              <w:top w:val="nil"/>
              <w:left w:val="nil"/>
              <w:bottom w:val="nil"/>
              <w:right w:val="nil"/>
            </w:tcBorders>
            <w:shd w:val="clear" w:color="000000" w:fill="FFFFFF"/>
            <w:noWrap/>
            <w:vAlign w:val="bottom"/>
            <w:hideMark/>
          </w:tcPr>
          <w:p w14:paraId="7415CA28" w14:textId="77777777" w:rsidR="0023750E" w:rsidRPr="00003CEF" w:rsidRDefault="0023750E" w:rsidP="00ED511F">
            <w:pPr>
              <w:keepNext/>
              <w:spacing w:after="0" w:line="276" w:lineRule="auto"/>
              <w:rPr>
                <w:rFonts w:ascii="Calibri" w:eastAsia="Times New Roman" w:hAnsi="Calibri" w:cs="Calibri"/>
                <w:color w:val="000000"/>
                <w:lang w:eastAsia="en-AU"/>
              </w:rPr>
            </w:pPr>
            <w:r w:rsidRPr="00003CEF">
              <w:rPr>
                <w:rFonts w:ascii="Calibri" w:eastAsia="Times New Roman" w:hAnsi="Calibri" w:cs="Calibri"/>
                <w:color w:val="000000"/>
                <w:lang w:eastAsia="en-AU"/>
              </w:rPr>
              <w:t> </w:t>
            </w:r>
          </w:p>
        </w:tc>
        <w:tc>
          <w:tcPr>
            <w:tcW w:w="660" w:type="dxa"/>
            <w:tcBorders>
              <w:top w:val="nil"/>
              <w:left w:val="nil"/>
              <w:bottom w:val="nil"/>
              <w:right w:val="nil"/>
            </w:tcBorders>
            <w:shd w:val="clear" w:color="000000" w:fill="FFFFFF"/>
            <w:noWrap/>
            <w:vAlign w:val="bottom"/>
            <w:hideMark/>
          </w:tcPr>
          <w:p w14:paraId="02F9629C"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3448BABD"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6530A3C0"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1606EB59"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227F6CB5"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0" w:type="dxa"/>
            <w:tcBorders>
              <w:top w:val="nil"/>
              <w:left w:val="nil"/>
              <w:bottom w:val="nil"/>
              <w:right w:val="nil"/>
            </w:tcBorders>
            <w:shd w:val="clear" w:color="000000" w:fill="FFFFFF"/>
            <w:noWrap/>
            <w:vAlign w:val="bottom"/>
            <w:hideMark/>
          </w:tcPr>
          <w:p w14:paraId="0D7A1826"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1FFD2CB8"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4EA94A30"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4F8FE7E2"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1" w:type="dxa"/>
            <w:tcBorders>
              <w:top w:val="nil"/>
              <w:left w:val="nil"/>
              <w:bottom w:val="nil"/>
              <w:right w:val="nil"/>
            </w:tcBorders>
            <w:shd w:val="clear" w:color="000000" w:fill="FFFFFF"/>
            <w:noWrap/>
            <w:vAlign w:val="bottom"/>
            <w:hideMark/>
          </w:tcPr>
          <w:p w14:paraId="5EBF97C6"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284" w:type="dxa"/>
            <w:tcBorders>
              <w:top w:val="nil"/>
              <w:left w:val="nil"/>
              <w:bottom w:val="nil"/>
              <w:right w:val="nil"/>
            </w:tcBorders>
            <w:shd w:val="clear" w:color="000000" w:fill="FFFFFF"/>
            <w:noWrap/>
            <w:vAlign w:val="bottom"/>
            <w:hideMark/>
          </w:tcPr>
          <w:p w14:paraId="772E7C7D"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c>
          <w:tcPr>
            <w:tcW w:w="662" w:type="dxa"/>
            <w:tcBorders>
              <w:top w:val="nil"/>
              <w:left w:val="nil"/>
              <w:bottom w:val="nil"/>
              <w:right w:val="nil"/>
            </w:tcBorders>
            <w:shd w:val="clear" w:color="000000" w:fill="FFFFFF"/>
            <w:noWrap/>
            <w:vAlign w:val="bottom"/>
            <w:hideMark/>
          </w:tcPr>
          <w:p w14:paraId="4D6AC763"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r>
      <w:tr w:rsidR="0023750E" w:rsidRPr="00003CEF" w14:paraId="1158258E" w14:textId="77777777">
        <w:trPr>
          <w:trHeight w:val="263"/>
        </w:trPr>
        <w:tc>
          <w:tcPr>
            <w:tcW w:w="472" w:type="dxa"/>
            <w:tcBorders>
              <w:top w:val="nil"/>
              <w:left w:val="nil"/>
              <w:bottom w:val="nil"/>
              <w:right w:val="nil"/>
            </w:tcBorders>
            <w:noWrap/>
            <w:vAlign w:val="bottom"/>
            <w:hideMark/>
          </w:tcPr>
          <w:p w14:paraId="2859F279" w14:textId="77777777" w:rsidR="0023750E" w:rsidRPr="00003CEF" w:rsidRDefault="0023750E" w:rsidP="00ED511F">
            <w:pPr>
              <w:keepNext/>
              <w:spacing w:after="0" w:line="276" w:lineRule="auto"/>
              <w:rPr>
                <w:rFonts w:ascii="Calibri" w:eastAsia="Times New Roman" w:hAnsi="Calibri" w:cs="Calibri"/>
                <w:color w:val="000000"/>
                <w:lang w:eastAsia="en-AU"/>
              </w:rPr>
            </w:pPr>
          </w:p>
        </w:tc>
        <w:tc>
          <w:tcPr>
            <w:tcW w:w="1000" w:type="dxa"/>
            <w:tcBorders>
              <w:top w:val="nil"/>
              <w:left w:val="nil"/>
              <w:bottom w:val="nil"/>
              <w:right w:val="nil"/>
            </w:tcBorders>
            <w:shd w:val="clear" w:color="000000" w:fill="FFFFFF"/>
            <w:noWrap/>
            <w:vAlign w:val="center"/>
            <w:hideMark/>
          </w:tcPr>
          <w:p w14:paraId="1DB7D910" w14:textId="77777777" w:rsidR="0023750E" w:rsidRPr="00003CEF" w:rsidRDefault="0023750E" w:rsidP="00ED511F">
            <w:pPr>
              <w:keepNext/>
              <w:spacing w:after="0" w:line="276" w:lineRule="auto"/>
              <w:jc w:val="right"/>
              <w:rPr>
                <w:rFonts w:ascii="Calibri" w:eastAsia="Times New Roman" w:hAnsi="Calibri" w:cs="Calibri"/>
                <w:b/>
                <w:bCs/>
                <w:color w:val="000000"/>
                <w:lang w:eastAsia="en-AU"/>
              </w:rPr>
            </w:pPr>
            <w:r w:rsidRPr="00C21530">
              <w:rPr>
                <w:rFonts w:ascii="Calibri" w:eastAsia="Times New Roman" w:hAnsi="Calibri" w:cs="Calibri"/>
                <w:b/>
                <w:bCs/>
                <w:color w:val="000000"/>
                <w:sz w:val="16"/>
                <w:szCs w:val="16"/>
                <w:lang w:eastAsia="en-AU"/>
              </w:rPr>
              <w:t>All</w:t>
            </w:r>
            <w:r w:rsidRPr="00C21530">
              <w:rPr>
                <w:rFonts w:ascii="Calibri" w:eastAsia="Times New Roman" w:hAnsi="Calibri" w:cs="Calibri"/>
                <w:b/>
                <w:bCs/>
                <w:color w:val="000000"/>
                <w:sz w:val="20"/>
                <w:szCs w:val="20"/>
                <w:lang w:eastAsia="en-AU"/>
              </w:rPr>
              <w:t xml:space="preserve"> </w:t>
            </w:r>
            <w:r w:rsidRPr="00C21530">
              <w:rPr>
                <w:rFonts w:ascii="Calibri" w:eastAsia="Times New Roman" w:hAnsi="Calibri" w:cs="Calibri"/>
                <w:b/>
                <w:bCs/>
                <w:color w:val="000000"/>
                <w:sz w:val="16"/>
                <w:szCs w:val="16"/>
                <w:lang w:eastAsia="en-AU"/>
              </w:rPr>
              <w:t>incomes</w:t>
            </w:r>
          </w:p>
        </w:tc>
        <w:tc>
          <w:tcPr>
            <w:tcW w:w="660" w:type="dxa"/>
            <w:tcBorders>
              <w:top w:val="nil"/>
              <w:left w:val="nil"/>
              <w:bottom w:val="nil"/>
              <w:right w:val="nil"/>
            </w:tcBorders>
            <w:shd w:val="clear" w:color="000000" w:fill="DC2B36"/>
            <w:noWrap/>
            <w:vAlign w:val="bottom"/>
            <w:hideMark/>
          </w:tcPr>
          <w:p w14:paraId="310EEAC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34%</w:t>
            </w:r>
          </w:p>
        </w:tc>
        <w:tc>
          <w:tcPr>
            <w:tcW w:w="661" w:type="dxa"/>
            <w:tcBorders>
              <w:top w:val="nil"/>
              <w:left w:val="nil"/>
              <w:bottom w:val="nil"/>
              <w:right w:val="nil"/>
            </w:tcBorders>
            <w:shd w:val="clear" w:color="000000" w:fill="87395E"/>
            <w:noWrap/>
            <w:vAlign w:val="bottom"/>
            <w:hideMark/>
          </w:tcPr>
          <w:p w14:paraId="245144A3"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25%</w:t>
            </w:r>
          </w:p>
        </w:tc>
        <w:tc>
          <w:tcPr>
            <w:tcW w:w="661" w:type="dxa"/>
            <w:tcBorders>
              <w:top w:val="nil"/>
              <w:left w:val="nil"/>
              <w:bottom w:val="nil"/>
              <w:right w:val="nil"/>
            </w:tcBorders>
            <w:shd w:val="clear" w:color="000000" w:fill="673E6D"/>
            <w:noWrap/>
            <w:vAlign w:val="bottom"/>
            <w:hideMark/>
          </w:tcPr>
          <w:p w14:paraId="5CC2D61D"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21%</w:t>
            </w:r>
          </w:p>
        </w:tc>
        <w:tc>
          <w:tcPr>
            <w:tcW w:w="661" w:type="dxa"/>
            <w:tcBorders>
              <w:top w:val="nil"/>
              <w:left w:val="nil"/>
              <w:bottom w:val="nil"/>
              <w:right w:val="nil"/>
            </w:tcBorders>
            <w:shd w:val="clear" w:color="000000" w:fill="574174"/>
            <w:noWrap/>
            <w:vAlign w:val="bottom"/>
            <w:hideMark/>
          </w:tcPr>
          <w:p w14:paraId="399CF984"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20%</w:t>
            </w:r>
          </w:p>
        </w:tc>
        <w:tc>
          <w:tcPr>
            <w:tcW w:w="661" w:type="dxa"/>
            <w:tcBorders>
              <w:top w:val="nil"/>
              <w:left w:val="nil"/>
              <w:bottom w:val="nil"/>
              <w:right w:val="nil"/>
            </w:tcBorders>
            <w:shd w:val="clear" w:color="000000" w:fill="45447D"/>
            <w:noWrap/>
            <w:vAlign w:val="bottom"/>
            <w:hideMark/>
          </w:tcPr>
          <w:p w14:paraId="561D14C5"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18%</w:t>
            </w:r>
          </w:p>
        </w:tc>
        <w:tc>
          <w:tcPr>
            <w:tcW w:w="660" w:type="dxa"/>
            <w:tcBorders>
              <w:top w:val="nil"/>
              <w:left w:val="nil"/>
              <w:bottom w:val="nil"/>
              <w:right w:val="nil"/>
            </w:tcBorders>
            <w:shd w:val="clear" w:color="000000" w:fill="384683"/>
            <w:noWrap/>
            <w:vAlign w:val="bottom"/>
            <w:hideMark/>
          </w:tcPr>
          <w:p w14:paraId="34B29EE9"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16%</w:t>
            </w:r>
          </w:p>
        </w:tc>
        <w:tc>
          <w:tcPr>
            <w:tcW w:w="661" w:type="dxa"/>
            <w:tcBorders>
              <w:top w:val="nil"/>
              <w:left w:val="nil"/>
              <w:bottom w:val="nil"/>
              <w:right w:val="nil"/>
            </w:tcBorders>
            <w:shd w:val="clear" w:color="000000" w:fill="324786"/>
            <w:noWrap/>
            <w:vAlign w:val="bottom"/>
            <w:hideMark/>
          </w:tcPr>
          <w:p w14:paraId="43872636"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15%</w:t>
            </w:r>
          </w:p>
        </w:tc>
        <w:tc>
          <w:tcPr>
            <w:tcW w:w="661" w:type="dxa"/>
            <w:tcBorders>
              <w:top w:val="nil"/>
              <w:left w:val="nil"/>
              <w:bottom w:val="nil"/>
              <w:right w:val="nil"/>
            </w:tcBorders>
            <w:shd w:val="clear" w:color="000000" w:fill="28498B"/>
            <w:noWrap/>
            <w:vAlign w:val="bottom"/>
            <w:hideMark/>
          </w:tcPr>
          <w:p w14:paraId="32D1D01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14%</w:t>
            </w:r>
          </w:p>
        </w:tc>
        <w:tc>
          <w:tcPr>
            <w:tcW w:w="661" w:type="dxa"/>
            <w:tcBorders>
              <w:top w:val="nil"/>
              <w:left w:val="nil"/>
              <w:bottom w:val="nil"/>
              <w:right w:val="nil"/>
            </w:tcBorders>
            <w:shd w:val="clear" w:color="000000" w:fill="204A8E"/>
            <w:noWrap/>
            <w:vAlign w:val="bottom"/>
            <w:hideMark/>
          </w:tcPr>
          <w:p w14:paraId="3628E07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13%</w:t>
            </w:r>
          </w:p>
        </w:tc>
        <w:tc>
          <w:tcPr>
            <w:tcW w:w="661" w:type="dxa"/>
            <w:tcBorders>
              <w:top w:val="nil"/>
              <w:left w:val="nil"/>
              <w:bottom w:val="nil"/>
              <w:right w:val="nil"/>
            </w:tcBorders>
            <w:shd w:val="clear" w:color="000000" w:fill="114D95"/>
            <w:noWrap/>
            <w:vAlign w:val="bottom"/>
            <w:hideMark/>
          </w:tcPr>
          <w:p w14:paraId="59381477" w14:textId="77777777" w:rsidR="0023750E" w:rsidRPr="00C21530" w:rsidRDefault="0023750E" w:rsidP="00ED511F">
            <w:pPr>
              <w:keepNext/>
              <w:spacing w:after="0" w:line="276" w:lineRule="auto"/>
              <w:jc w:val="center"/>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12%</w:t>
            </w:r>
          </w:p>
        </w:tc>
        <w:tc>
          <w:tcPr>
            <w:tcW w:w="284" w:type="dxa"/>
            <w:tcBorders>
              <w:top w:val="nil"/>
              <w:left w:val="nil"/>
              <w:bottom w:val="nil"/>
              <w:right w:val="nil"/>
            </w:tcBorders>
            <w:shd w:val="clear" w:color="000000" w:fill="FFFFFF"/>
            <w:noWrap/>
            <w:vAlign w:val="bottom"/>
            <w:hideMark/>
          </w:tcPr>
          <w:p w14:paraId="5775EDE6" w14:textId="77777777" w:rsidR="0023750E" w:rsidRPr="00C21530" w:rsidRDefault="0023750E" w:rsidP="00ED511F">
            <w:pPr>
              <w:keepNext/>
              <w:spacing w:after="0" w:line="276" w:lineRule="auto"/>
              <w:rPr>
                <w:rFonts w:ascii="Calibri" w:eastAsia="Times New Roman" w:hAnsi="Calibri" w:cs="Calibri"/>
                <w:b/>
                <w:bCs/>
                <w:color w:val="FFFFFF"/>
                <w:sz w:val="20"/>
                <w:szCs w:val="20"/>
                <w:lang w:eastAsia="en-AU"/>
              </w:rPr>
            </w:pPr>
            <w:r w:rsidRPr="00C21530">
              <w:rPr>
                <w:rFonts w:ascii="Calibri" w:eastAsia="Times New Roman" w:hAnsi="Calibri" w:cs="Calibri"/>
                <w:b/>
                <w:bCs/>
                <w:color w:val="FFFFFF"/>
                <w:sz w:val="20"/>
                <w:szCs w:val="20"/>
                <w:lang w:eastAsia="en-AU"/>
              </w:rPr>
              <w:t> </w:t>
            </w:r>
          </w:p>
        </w:tc>
        <w:tc>
          <w:tcPr>
            <w:tcW w:w="662" w:type="dxa"/>
            <w:tcBorders>
              <w:top w:val="nil"/>
              <w:left w:val="nil"/>
              <w:bottom w:val="nil"/>
              <w:right w:val="nil"/>
            </w:tcBorders>
            <w:shd w:val="clear" w:color="000000" w:fill="FFFFFF"/>
            <w:noWrap/>
            <w:vAlign w:val="bottom"/>
            <w:hideMark/>
          </w:tcPr>
          <w:p w14:paraId="62347422" w14:textId="77777777" w:rsidR="0023750E" w:rsidRPr="00C21530" w:rsidRDefault="0023750E" w:rsidP="00ED511F">
            <w:pPr>
              <w:keepNext/>
              <w:spacing w:after="0" w:line="276" w:lineRule="auto"/>
              <w:rPr>
                <w:rFonts w:ascii="Calibri" w:eastAsia="Times New Roman" w:hAnsi="Calibri" w:cs="Calibri"/>
                <w:color w:val="000000"/>
                <w:sz w:val="20"/>
                <w:szCs w:val="20"/>
                <w:lang w:eastAsia="en-AU"/>
              </w:rPr>
            </w:pPr>
            <w:r w:rsidRPr="00C21530">
              <w:rPr>
                <w:rFonts w:ascii="Calibri" w:eastAsia="Times New Roman" w:hAnsi="Calibri" w:cs="Calibri"/>
                <w:color w:val="000000"/>
                <w:sz w:val="20"/>
                <w:szCs w:val="20"/>
                <w:lang w:eastAsia="en-AU"/>
              </w:rPr>
              <w:t> </w:t>
            </w:r>
          </w:p>
        </w:tc>
      </w:tr>
    </w:tbl>
    <w:p w14:paraId="7DA56CF5" w14:textId="587E2D89" w:rsidR="0023750E" w:rsidRDefault="0023750E" w:rsidP="00ED511F">
      <w:pPr>
        <w:keepNext/>
        <w:spacing w:line="276" w:lineRule="auto"/>
        <w:rPr>
          <w:b/>
          <w:bCs/>
          <w:sz w:val="18"/>
          <w:szCs w:val="18"/>
        </w:rPr>
      </w:pPr>
    </w:p>
    <w:p w14:paraId="4E51F1EF" w14:textId="24A4630E" w:rsidR="0023750E" w:rsidRPr="006D461E" w:rsidRDefault="0023750E" w:rsidP="00ED511F">
      <w:pPr>
        <w:pStyle w:val="Source"/>
        <w:keepNext/>
      </w:pPr>
      <w:r w:rsidRPr="00ED511F">
        <w:rPr>
          <w:b/>
        </w:rPr>
        <w:t>Source:</w:t>
      </w:r>
      <w:r w:rsidRPr="006D461E">
        <w:t xml:space="preserve"> Customised ‘First Five Years’ extract from the Multi-Agency Data Integration Project.</w:t>
      </w:r>
    </w:p>
    <w:p w14:paraId="7F9E5A15" w14:textId="4F71705C" w:rsidR="0023750E" w:rsidRDefault="0023750E" w:rsidP="00B1132D">
      <w:pPr>
        <w:pStyle w:val="Source"/>
        <w:keepNext/>
        <w:rPr>
          <w:szCs w:val="18"/>
        </w:rPr>
      </w:pPr>
      <w:r w:rsidRPr="00ED511F">
        <w:rPr>
          <w:b/>
        </w:rPr>
        <w:t>Notes:</w:t>
      </w:r>
      <w:r w:rsidRPr="006D461E">
        <w:t xml:space="preserve"> </w:t>
      </w:r>
      <w:r w:rsidRPr="006D461E">
        <w:rPr>
          <w:rStyle w:val="normaltextrun"/>
        </w:rPr>
        <w:t>This figure compares children from the 2018 cohort of the Australian Early Development Census.</w:t>
      </w:r>
      <w:r w:rsidRPr="006D461E">
        <w:t xml:space="preserve"> N = 266,299. Neighbourhood SES (1 - lowest SES to 10 - highest SES) based on Socio-Economic Indexes for Areas Index of Relative Socio-Economic Advantage and Disadvantage (SEIFA IRSAD). Household income deciles are based on parental income as per tax data (see Methodology section).</w:t>
      </w:r>
    </w:p>
    <w:p w14:paraId="78F2E3F7" w14:textId="1DC536A5" w:rsidR="0023750E" w:rsidRDefault="0023750E" w:rsidP="0023750E">
      <w:pPr>
        <w:spacing w:after="160" w:line="276" w:lineRule="auto"/>
      </w:pPr>
      <w:r w:rsidRPr="00B570A4">
        <w:t xml:space="preserve">To better understand the differences </w:t>
      </w:r>
      <w:r w:rsidR="005E3CB9">
        <w:t>between</w:t>
      </w:r>
      <w:r w:rsidRPr="00B570A4">
        <w:t xml:space="preserve"> neighbourhood SES and household incomes we explored </w:t>
      </w:r>
      <w:r>
        <w:t xml:space="preserve">co-occurring </w:t>
      </w:r>
      <w:r w:rsidRPr="00B570A4">
        <w:t xml:space="preserve">developmental risk factors. The third-lowest household income decile </w:t>
      </w:r>
      <w:r>
        <w:t>contained</w:t>
      </w:r>
      <w:r w:rsidRPr="00B570A4">
        <w:t xml:space="preserve"> the highest percentage of children whose most educated parent or carer had Year 10 or below as their highest educational attainment, almost double that of the first household income decile. The welfare profiles also differed in the third household income decile</w:t>
      </w:r>
      <w:r>
        <w:t>;</w:t>
      </w:r>
      <w:r w:rsidRPr="00B570A4">
        <w:t xml:space="preserve"> there was a higher percentage of children with parents receiving rent assistance compared to the first household income decile. Additionally, children in the third household income decile had higher proportions of parents receiving carer payments, disability support pension, and unemployment payments. Both rent assistance and unemployment payments require asset tests to be eligible, potentially indicating the third decile has less wealth than all other income deciles including the first household income decile.</w:t>
      </w:r>
    </w:p>
    <w:p w14:paraId="1920832D" w14:textId="77777777" w:rsidR="0023750E" w:rsidRDefault="0023750E" w:rsidP="0023750E">
      <w:pPr>
        <w:spacing w:after="160" w:line="276" w:lineRule="auto"/>
      </w:pPr>
      <w:r>
        <w:t>Our results show that f</w:t>
      </w:r>
      <w:r w:rsidRPr="00547E3A">
        <w:t xml:space="preserve">amily and neighbourhood </w:t>
      </w:r>
      <w:r>
        <w:t xml:space="preserve">socio-economic </w:t>
      </w:r>
      <w:r w:rsidRPr="00450BFB">
        <w:t>characteristics</w:t>
      </w:r>
      <w:r>
        <w:t xml:space="preserve"> have an important association with childhood development, consistent with earlier literature on the topic – lower neighbourhood SES and lower household income are generally associated with higher rates of developmental vulnerability. Future research in this area could benefit from further unpacking these trends, including the interactions between individual risk factors and neighbourhood socio-economic attributes.</w:t>
      </w:r>
    </w:p>
    <w:p w14:paraId="0F552659" w14:textId="77777777" w:rsidR="0023750E" w:rsidRDefault="0023750E" w:rsidP="0023750E">
      <w:pPr>
        <w:pStyle w:val="Heading2"/>
        <w:spacing w:line="276" w:lineRule="auto"/>
      </w:pPr>
      <w:r>
        <w:t>Language background and country of parent’s birth</w:t>
      </w:r>
    </w:p>
    <w:p w14:paraId="13E83A77" w14:textId="5818D56B" w:rsidR="0023750E" w:rsidRPr="002915DF" w:rsidRDefault="0023750E" w:rsidP="00B1132D">
      <w:pPr>
        <w:spacing w:line="276" w:lineRule="auto"/>
      </w:pPr>
      <w:r w:rsidRPr="008F11C9">
        <w:t xml:space="preserve">A greater proportion of children from language backgrounds other than English (LBOTE) were developmentally vulnerable on </w:t>
      </w:r>
      <w:r>
        <w:t xml:space="preserve">one or more domains </w:t>
      </w:r>
      <w:r w:rsidRPr="008F11C9">
        <w:t xml:space="preserve">than children from predominantly English-speaking homes in the 2018 </w:t>
      </w:r>
      <w:r>
        <w:t>AEDC</w:t>
      </w:r>
      <w:r w:rsidRPr="008F11C9">
        <w:t xml:space="preserve"> cohort (Figure </w:t>
      </w:r>
      <w:r>
        <w:t>5</w:t>
      </w:r>
      <w:r w:rsidRPr="008F11C9">
        <w:t>A) (AEDC 2019). This difference was driven by the greater proportion of children from LBOTE who were developmentally vulnerable on the communication skills and general knowledge domain.</w:t>
      </w:r>
      <w:r w:rsidRPr="00AA0BC1">
        <w:t xml:space="preserve"> </w:t>
      </w:r>
      <w:r>
        <w:t>These children generally had similar rates of developmental vulnerabilities in other domains to children from English-speaking backgrounds.</w:t>
      </w:r>
    </w:p>
    <w:p w14:paraId="704AE477" w14:textId="02915F6F" w:rsidR="006B297C" w:rsidRPr="006B297C" w:rsidRDefault="0023750E" w:rsidP="006B297C">
      <w:pPr>
        <w:pStyle w:val="Caption"/>
      </w:pPr>
      <w:bookmarkStart w:id="2" w:name="_Toc30065222"/>
      <w:r w:rsidRPr="008F11C9">
        <w:t xml:space="preserve">Figure </w:t>
      </w:r>
      <w:r>
        <w:t>5</w:t>
      </w:r>
      <w:r w:rsidRPr="008F11C9">
        <w:t xml:space="preserve">. Proportion (%) of children </w:t>
      </w:r>
      <w:r>
        <w:t>who</w:t>
      </w:r>
      <w:r w:rsidRPr="008F11C9">
        <w:t xml:space="preserve"> are developmentally vulnerable, by domain, 2018 AEDC cohort.</w:t>
      </w:r>
    </w:p>
    <w:p w14:paraId="015D0D7C" w14:textId="77777777" w:rsidR="0023750E" w:rsidRPr="008F11C9" w:rsidRDefault="0023750E" w:rsidP="0023750E">
      <w:pPr>
        <w:keepNext/>
        <w:keepLines/>
        <w:spacing w:after="0"/>
        <w:rPr>
          <w:b/>
          <w:bCs/>
        </w:rPr>
      </w:pPr>
      <w:r>
        <w:rPr>
          <w:noProof/>
        </w:rPr>
        <w:drawing>
          <wp:anchor distT="0" distB="0" distL="114300" distR="114300" simplePos="0" relativeHeight="251658241" behindDoc="1" locked="0" layoutInCell="1" allowOverlap="1" wp14:anchorId="1C4147B6" wp14:editId="527F4190">
            <wp:simplePos x="0" y="0"/>
            <wp:positionH relativeFrom="column">
              <wp:posOffset>2035534</wp:posOffset>
            </wp:positionH>
            <wp:positionV relativeFrom="paragraph">
              <wp:posOffset>5024</wp:posOffset>
            </wp:positionV>
            <wp:extent cx="3387256" cy="4285753"/>
            <wp:effectExtent l="0" t="0" r="0" b="0"/>
            <wp:wrapNone/>
            <wp:docPr id="196222857" name="Chart 2">
              <a:extLst xmlns:a="http://schemas.openxmlformats.org/drawingml/2006/main">
                <a:ext uri="{FF2B5EF4-FFF2-40B4-BE49-F238E27FC236}">
                  <a16:creationId xmlns:a16="http://schemas.microsoft.com/office/drawing/2014/main" id="{47D0D629-25E0-4371-A443-F00ACD83686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42D1BB4D" wp14:editId="6591AE7E">
            <wp:extent cx="3299791" cy="4174435"/>
            <wp:effectExtent l="0" t="0" r="0" b="0"/>
            <wp:docPr id="439337746" name="Chart 1" descr="Figure 5 displays on the left the proportion of children who were developmentally vulnerable by language background.">
              <a:extLst xmlns:a="http://schemas.openxmlformats.org/drawingml/2006/main">
                <a:ext uri="{FF2B5EF4-FFF2-40B4-BE49-F238E27FC236}">
                  <a16:creationId xmlns:a16="http://schemas.microsoft.com/office/drawing/2014/main" id="{827F6F99-D44E-4964-8231-2E9624AF6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tab/>
      </w:r>
    </w:p>
    <w:p w14:paraId="1443276C" w14:textId="5178DBFD" w:rsidR="0023750E" w:rsidRPr="008F11C9" w:rsidRDefault="0023750E" w:rsidP="00B1132D">
      <w:pPr>
        <w:pStyle w:val="Source"/>
        <w:keepNext/>
      </w:pPr>
      <w:r w:rsidRPr="00B1132D">
        <w:rPr>
          <w:b/>
        </w:rPr>
        <w:t>Source:</w:t>
      </w:r>
      <w:r w:rsidRPr="008F11C9">
        <w:t xml:space="preserve"> </w:t>
      </w:r>
      <w:r>
        <w:t>Customised ‘First Five Years’ extract from the Multi-Agency Data Integration Project</w:t>
      </w:r>
      <w:r w:rsidRPr="008F11C9">
        <w:t>.</w:t>
      </w:r>
    </w:p>
    <w:p w14:paraId="6F4C10EE" w14:textId="2303C730" w:rsidR="0023750E" w:rsidRPr="008F11C9" w:rsidRDefault="0023750E" w:rsidP="00B1132D">
      <w:pPr>
        <w:pStyle w:val="Source"/>
        <w:keepNext/>
        <w:rPr>
          <w:sz w:val="20"/>
          <w:szCs w:val="20"/>
        </w:rPr>
      </w:pPr>
      <w:r w:rsidRPr="00B1132D">
        <w:rPr>
          <w:b/>
        </w:rPr>
        <w:t>Notes</w:t>
      </w:r>
      <w:r w:rsidR="00B1132D" w:rsidRPr="00B1132D">
        <w:rPr>
          <w:b/>
          <w:bCs/>
        </w:rPr>
        <w:t>:</w:t>
      </w:r>
      <w:r w:rsidRPr="008F11C9">
        <w:t xml:space="preserve"> This figure compares children from the 2018 cohort of the Australian Early Development Census. </w:t>
      </w:r>
      <w:r w:rsidRPr="008F11C9">
        <w:rPr>
          <w:rFonts w:cstheme="minorHAnsi"/>
        </w:rPr>
        <w:t xml:space="preserve">N = 272,626. </w:t>
      </w:r>
      <w:bookmarkStart w:id="3" w:name="_Hlk89954620"/>
      <w:r w:rsidRPr="008F11C9">
        <w:rPr>
          <w:rFonts w:cstheme="minorHAnsi"/>
        </w:rPr>
        <w:t xml:space="preserve">LBOTE: Language Background Other Than English based on AEDC data; </w:t>
      </w:r>
      <w:r w:rsidRPr="008F11C9">
        <w:t>OECD: Organisation for Economic Cooperation and Development based on combined demographic data.</w:t>
      </w:r>
      <w:bookmarkEnd w:id="3"/>
    </w:p>
    <w:p w14:paraId="54326B3A" w14:textId="08AB4D92" w:rsidR="0023750E" w:rsidRPr="008F11C9" w:rsidRDefault="0023750E" w:rsidP="0023750E">
      <w:pPr>
        <w:spacing w:line="276" w:lineRule="auto"/>
      </w:pPr>
      <w:r w:rsidRPr="008F11C9">
        <w:t xml:space="preserve">By controlling for a wide range of events and circumstances surrounding the child, </w:t>
      </w:r>
      <w:r w:rsidR="00A83672">
        <w:t xml:space="preserve">including </w:t>
      </w:r>
      <w:r w:rsidR="00634490">
        <w:t xml:space="preserve">ECEC attendance, </w:t>
      </w:r>
      <w:r w:rsidR="00EF3F36">
        <w:t xml:space="preserve">single parent status, </w:t>
      </w:r>
      <w:r w:rsidR="00634490">
        <w:t xml:space="preserve">health and </w:t>
      </w:r>
      <w:r w:rsidR="00807B1D">
        <w:t>welfare</w:t>
      </w:r>
      <w:r w:rsidR="005F169B">
        <w:t xml:space="preserve"> receipt, </w:t>
      </w:r>
      <w:r w:rsidRPr="008F11C9">
        <w:t xml:space="preserve">we found that being from LBOTE was associated with a statistically significant increase in the likelihood of being developmentally vulnerable on at least one domain for both boys and girls (see </w:t>
      </w:r>
      <w:r w:rsidRPr="00B10503">
        <w:rPr>
          <w:i/>
          <w:iCs/>
        </w:rPr>
        <w:t>Predictive modelling section</w:t>
      </w:r>
      <w:r>
        <w:t>, Figure 2a and 3a</w:t>
      </w:r>
      <w:r w:rsidRPr="008F11C9">
        <w:t>).</w:t>
      </w:r>
    </w:p>
    <w:p w14:paraId="2D487826" w14:textId="2669A35A" w:rsidR="0023750E" w:rsidRDefault="0023750E" w:rsidP="0023750E">
      <w:pPr>
        <w:spacing w:line="276" w:lineRule="auto"/>
      </w:pPr>
      <w:r w:rsidRPr="008F11C9">
        <w:t xml:space="preserve">We also compared developmental vulnerability rates for children with parents born in Australia, in other OECD countries, and in non-OECD countries. OECD and non-OECD countries were selected for comparison </w:t>
      </w:r>
      <w:r>
        <w:t>because</w:t>
      </w:r>
      <w:r w:rsidRPr="008F11C9">
        <w:t xml:space="preserve"> OECD countries, including Australia, have much higher Gross Domestic Product per capita on average than non-OECD countries</w:t>
      </w:r>
      <w:r w:rsidRPr="00F72FEC">
        <w:rPr>
          <w:vertAlign w:val="superscript"/>
        </w:rPr>
        <w:footnoteReference w:id="4"/>
      </w:r>
      <w:r w:rsidRPr="008F11C9">
        <w:t>. Children w</w:t>
      </w:r>
      <w:r>
        <w:t>ith</w:t>
      </w:r>
      <w:r w:rsidRPr="008F11C9">
        <w:t xml:space="preserve"> at least one parent born overseas in an OECD country had lower rates of developmental vulnerability on </w:t>
      </w:r>
      <w:r>
        <w:t xml:space="preserve">one or more domains </w:t>
      </w:r>
      <w:r w:rsidRPr="008F11C9">
        <w:t xml:space="preserve">(18 per cent) than either children with two Australian-born parents or children with a parent born in a non-OECD country (both 21 per cent; Figure </w:t>
      </w:r>
      <w:r>
        <w:t>5</w:t>
      </w:r>
      <w:r w:rsidRPr="008F11C9">
        <w:t xml:space="preserve">B). This was driven by lower average developmental vulnerability rates in the communication skills and general knowledge, social competence, and language and cognitive skills (school-based) domains (Figure </w:t>
      </w:r>
      <w:r>
        <w:t>5</w:t>
      </w:r>
      <w:r w:rsidRPr="008F11C9">
        <w:t xml:space="preserve">B). </w:t>
      </w:r>
      <w:bookmarkStart w:id="4" w:name="_Hlk163739094"/>
      <w:r w:rsidRPr="008F11C9">
        <w:t xml:space="preserve">Our country of parents’ birth </w:t>
      </w:r>
      <w:r w:rsidRPr="00395854">
        <w:t xml:space="preserve">data is sourced primarily from the 2016 Census of Population and Housing, therefore recent migrants’ country of birth may be underrepresented </w:t>
      </w:r>
      <w:bookmarkEnd w:id="4"/>
      <w:r w:rsidRPr="00395854">
        <w:t>(</w:t>
      </w:r>
      <w:r w:rsidRPr="008F11C9">
        <w:t xml:space="preserve">see </w:t>
      </w:r>
      <w:r w:rsidRPr="0016110E">
        <w:rPr>
          <w:i/>
          <w:iCs/>
        </w:rPr>
        <w:t>Methodology</w:t>
      </w:r>
      <w:r w:rsidRPr="008F11C9">
        <w:t xml:space="preserve"> </w:t>
      </w:r>
      <w:r>
        <w:t>section</w:t>
      </w:r>
      <w:r w:rsidRPr="008F11C9">
        <w:t>).</w:t>
      </w:r>
    </w:p>
    <w:p w14:paraId="503608BE" w14:textId="77777777" w:rsidR="0023750E" w:rsidRPr="008F11C9" w:rsidRDefault="0023750E" w:rsidP="0023750E">
      <w:pPr>
        <w:spacing w:line="276" w:lineRule="auto"/>
      </w:pPr>
      <w:r w:rsidRPr="008F11C9">
        <w:t>Previous research (</w:t>
      </w:r>
      <w:proofErr w:type="spellStart"/>
      <w:r w:rsidRPr="008F11C9">
        <w:t>Washbrook</w:t>
      </w:r>
      <w:proofErr w:type="spellEnd"/>
      <w:r w:rsidRPr="008F11C9">
        <w:t xml:space="preserve"> et al. 2012; Queensland Health 2019) suggests there is substantial variation in development</w:t>
      </w:r>
      <w:r>
        <w:t>al</w:t>
      </w:r>
      <w:r w:rsidRPr="008F11C9">
        <w:t xml:space="preserve"> outcomes of children of migrants relative to children of </w:t>
      </w:r>
      <w:r>
        <w:t>Australian</w:t>
      </w:r>
      <w:r w:rsidRPr="00DA4851">
        <w:t>-born parents</w:t>
      </w:r>
      <w:r w:rsidRPr="008F11C9">
        <w:t xml:space="preserve">, depending on their cultural and ethnic background as well as the developmental domain in question. </w:t>
      </w:r>
      <w:r>
        <w:t>Children</w:t>
      </w:r>
      <w:r w:rsidRPr="008F11C9">
        <w:t xml:space="preserve"> from LBOTE with at least one parent from a non-OECD country </w:t>
      </w:r>
      <w:r>
        <w:t>have a great deal of overlap in our cohort</w:t>
      </w:r>
      <w:r w:rsidRPr="008F11C9">
        <w:t>. Future analysis could consider the combined effects of country of birth and language background on developmental vulnerability.</w:t>
      </w:r>
    </w:p>
    <w:bookmarkEnd w:id="2"/>
    <w:p w14:paraId="43FA510B" w14:textId="77777777" w:rsidR="0023750E" w:rsidRDefault="0023750E" w:rsidP="0023750E">
      <w:pPr>
        <w:pStyle w:val="Heading2"/>
      </w:pPr>
      <w:r>
        <w:t>Maternal age at birth</w:t>
      </w:r>
      <w:r w:rsidRPr="00FD0919">
        <w:t xml:space="preserve"> </w:t>
      </w:r>
    </w:p>
    <w:p w14:paraId="7503DBAC" w14:textId="77777777" w:rsidR="0023750E" w:rsidRDefault="0023750E" w:rsidP="0023750E">
      <w:pPr>
        <w:spacing w:line="276" w:lineRule="auto"/>
      </w:pPr>
      <w:r>
        <w:t>The association between m</w:t>
      </w:r>
      <w:r w:rsidRPr="00FD0919">
        <w:t xml:space="preserve">aternal age at birth </w:t>
      </w:r>
      <w:r>
        <w:t>and</w:t>
      </w:r>
      <w:r w:rsidRPr="00FD0919">
        <w:t xml:space="preserve"> developmental vulnerability on one or more domains in the 2018 AEDC </w:t>
      </w:r>
      <w:r>
        <w:t xml:space="preserve">is shown in </w:t>
      </w:r>
      <w:r w:rsidRPr="00FD0919">
        <w:t xml:space="preserve">Figure </w:t>
      </w:r>
      <w:r>
        <w:t>6</w:t>
      </w:r>
      <w:r w:rsidRPr="00FD0919">
        <w:t xml:space="preserve">. </w:t>
      </w:r>
      <w:r>
        <w:t>Rates of d</w:t>
      </w:r>
      <w:r w:rsidRPr="00FD0919">
        <w:t xml:space="preserve">evelopmental vulnerability </w:t>
      </w:r>
      <w:r>
        <w:t>were</w:t>
      </w:r>
      <w:r w:rsidRPr="00FD0919">
        <w:t xml:space="preserve"> highest among children of mothers under 20 years old, with 51 per cent of children of mothers aged 15 years or younger being developmentally vulnerable in </w:t>
      </w:r>
      <w:r>
        <w:t>one or more domains.</w:t>
      </w:r>
      <w:r w:rsidRPr="00FD0919">
        <w:t xml:space="preserve"> The rate of developmental vulnerability </w:t>
      </w:r>
      <w:r>
        <w:t>was at its</w:t>
      </w:r>
      <w:r w:rsidRPr="00FD0919">
        <w:t xml:space="preserve"> lowest point, between 16.7 and 19.8 per cent, among children </w:t>
      </w:r>
      <w:r>
        <w:t>born when their</w:t>
      </w:r>
      <w:r w:rsidRPr="00FD0919">
        <w:t xml:space="preserve"> mothers were aged between 28 and 39 years. </w:t>
      </w:r>
      <w:r>
        <w:t>Rates of d</w:t>
      </w:r>
      <w:r w:rsidRPr="00FD0919">
        <w:t xml:space="preserve">evelopmental vulnerability increased slightly among children of older mothers (Figure </w:t>
      </w:r>
      <w:r>
        <w:t>6</w:t>
      </w:r>
      <w:r w:rsidRPr="00FD0919">
        <w:t>).</w:t>
      </w:r>
    </w:p>
    <w:p w14:paraId="4764B72C" w14:textId="7839FC16" w:rsidR="00560095" w:rsidRPr="00FD0919" w:rsidRDefault="00560095" w:rsidP="0023750E">
      <w:pPr>
        <w:spacing w:line="276" w:lineRule="auto"/>
      </w:pPr>
      <w:r w:rsidRPr="00FD0919">
        <w:t xml:space="preserve">These findings are </w:t>
      </w:r>
      <w:proofErr w:type="gramStart"/>
      <w:r w:rsidRPr="00FD0919">
        <w:t>similar to</w:t>
      </w:r>
      <w:proofErr w:type="gramEnd"/>
      <w:r w:rsidRPr="00FD0919">
        <w:t xml:space="preserve"> results of previous research into maternal age at birth on child development (Falster et al. 2018; Hanly et al. 2020). However, once we adjusted the data for a range of other child and family circumstances, we found that maternal age at birth was less important in explaining developmental vulnerability than </w:t>
      </w:r>
      <w:r>
        <w:t>most other</w:t>
      </w:r>
      <w:r w:rsidRPr="00FD0919">
        <w:t xml:space="preserve"> factors</w:t>
      </w:r>
      <w:r>
        <w:t xml:space="preserve"> investigated, including</w:t>
      </w:r>
      <w:r w:rsidRPr="00FD0919">
        <w:t xml:space="preserve"> parental employment, neighbourhood SES and child and parental mental health issues (see </w:t>
      </w:r>
      <w:r w:rsidRPr="0016110E">
        <w:rPr>
          <w:i/>
          <w:iCs/>
        </w:rPr>
        <w:t>Predictive modelling</w:t>
      </w:r>
      <w:r w:rsidRPr="00FD0919">
        <w:t xml:space="preserve"> </w:t>
      </w:r>
      <w:r>
        <w:t>section</w:t>
      </w:r>
      <w:r w:rsidRPr="00FD0919">
        <w:t>). This is consistent with other research that suggests maternal age at birth performs poorly as a sole predictor of child developmental vulnerability (</w:t>
      </w:r>
      <w:proofErr w:type="spellStart"/>
      <w:r w:rsidRPr="00FD0919">
        <w:t>Chittleborough</w:t>
      </w:r>
      <w:proofErr w:type="spellEnd"/>
      <w:r w:rsidRPr="00FD0919">
        <w:t xml:space="preserve"> et al. 2011).</w:t>
      </w:r>
    </w:p>
    <w:p w14:paraId="300F5D08" w14:textId="77777777" w:rsidR="0023750E" w:rsidRPr="00FD0919" w:rsidRDefault="0023750E" w:rsidP="005E52A4">
      <w:pPr>
        <w:pStyle w:val="Caption"/>
      </w:pPr>
      <w:r w:rsidRPr="00FD0919">
        <w:t xml:space="preserve">Figure </w:t>
      </w:r>
      <w:r>
        <w:t>6</w:t>
      </w:r>
      <w:r w:rsidRPr="00FD0919">
        <w:t xml:space="preserve">. Proportion (%) of children </w:t>
      </w:r>
      <w:r>
        <w:t>who</w:t>
      </w:r>
      <w:r w:rsidRPr="00FD0919">
        <w:t xml:space="preserve"> are developmentally vulnerable on </w:t>
      </w:r>
      <w:r>
        <w:t>one or more domains (DV1),</w:t>
      </w:r>
      <w:r w:rsidRPr="00FD0919">
        <w:t xml:space="preserve"> by maternal age at birth, 2018 AEDC cohort.</w:t>
      </w:r>
    </w:p>
    <w:p w14:paraId="5870C602" w14:textId="77777777" w:rsidR="0023750E" w:rsidRPr="00FD0919" w:rsidRDefault="0023750E" w:rsidP="00B1132D">
      <w:pPr>
        <w:keepNext/>
        <w:spacing w:after="0"/>
        <w:rPr>
          <w:b/>
          <w:bCs/>
        </w:rPr>
      </w:pPr>
    </w:p>
    <w:p w14:paraId="79692D37" w14:textId="77777777" w:rsidR="0023750E" w:rsidRPr="00FD0919" w:rsidRDefault="0023750E" w:rsidP="00B1132D">
      <w:pPr>
        <w:keepNext/>
        <w:spacing w:after="0"/>
        <w:rPr>
          <w:b/>
          <w:bCs/>
        </w:rPr>
      </w:pPr>
      <w:r>
        <w:rPr>
          <w:noProof/>
        </w:rPr>
        <w:drawing>
          <wp:inline distT="0" distB="0" distL="0" distR="0" wp14:anchorId="66A26E25" wp14:editId="36EA4B69">
            <wp:extent cx="4953635" cy="2108579"/>
            <wp:effectExtent l="0" t="0" r="0" b="6350"/>
            <wp:docPr id="8" name="Chart 8" descr="Figure 6 displays the proportion of children who were developmentally vulnerable by maternal age at birth.">
              <a:extLst xmlns:a="http://schemas.openxmlformats.org/drawingml/2006/main">
                <a:ext uri="{FF2B5EF4-FFF2-40B4-BE49-F238E27FC236}">
                  <a16:creationId xmlns:a16="http://schemas.microsoft.com/office/drawing/2014/main" id="{E9161438-FB51-CAE0-262D-DC37A3510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453C70" w14:textId="5DC52B18" w:rsidR="00B1132D" w:rsidRPr="00B1132D" w:rsidRDefault="0023750E" w:rsidP="00B1132D">
      <w:pPr>
        <w:pStyle w:val="Source"/>
        <w:keepNext/>
      </w:pPr>
      <w:r w:rsidRPr="00B1132D">
        <w:rPr>
          <w:b/>
          <w:bCs/>
        </w:rPr>
        <w:t>Source:</w:t>
      </w:r>
      <w:r w:rsidRPr="00B1132D">
        <w:t xml:space="preserve"> Customised ‘First Five Years’ extract from the Multi-Agency Data Integration Project.</w:t>
      </w:r>
    </w:p>
    <w:p w14:paraId="2331D5D4" w14:textId="3E2F2254" w:rsidR="0023750E" w:rsidRPr="00FD0919" w:rsidRDefault="0023750E" w:rsidP="00B1132D">
      <w:pPr>
        <w:pStyle w:val="Source"/>
        <w:rPr>
          <w:szCs w:val="18"/>
        </w:rPr>
      </w:pPr>
      <w:r w:rsidRPr="00B1132D">
        <w:rPr>
          <w:b/>
          <w:bCs/>
        </w:rPr>
        <w:t>Notes:</w:t>
      </w:r>
      <w:r w:rsidRPr="00B1132D">
        <w:t xml:space="preserve"> This figure compares children from the 2018 cohort of the Australian Early Development Census. N = 268,995.</w:t>
      </w:r>
    </w:p>
    <w:p w14:paraId="6BFFA25D" w14:textId="43ACD609" w:rsidR="0023750E" w:rsidRPr="00F51C18" w:rsidRDefault="0023750E" w:rsidP="0023750E">
      <w:pPr>
        <w:pStyle w:val="Heading2"/>
      </w:pPr>
      <w:r>
        <w:t>Parental mental</w:t>
      </w:r>
      <w:r w:rsidR="00B762CA">
        <w:t xml:space="preserve"> and physical</w:t>
      </w:r>
      <w:r>
        <w:t xml:space="preserve"> health</w:t>
      </w:r>
    </w:p>
    <w:p w14:paraId="576CA497" w14:textId="77777777" w:rsidR="0023750E" w:rsidRDefault="0023750E" w:rsidP="0023750E">
      <w:r>
        <w:t xml:space="preserve">Chronic physical and mental ill-health in children and their parents have been associated with poorer development outcomes in children (Bell </w:t>
      </w:r>
      <w:r w:rsidRPr="006F2EC1">
        <w:rPr>
          <w:iCs/>
        </w:rPr>
        <w:t xml:space="preserve">et al. 2016; </w:t>
      </w:r>
      <w:proofErr w:type="spellStart"/>
      <w:r w:rsidRPr="006F2EC1">
        <w:rPr>
          <w:iCs/>
        </w:rPr>
        <w:t>Razaz</w:t>
      </w:r>
      <w:proofErr w:type="spellEnd"/>
      <w:r w:rsidRPr="006F2EC1">
        <w:rPr>
          <w:iCs/>
        </w:rPr>
        <w:t xml:space="preserve"> et al. 201</w:t>
      </w:r>
      <w:r>
        <w:t xml:space="preserve">6; </w:t>
      </w:r>
      <w:proofErr w:type="spellStart"/>
      <w:r w:rsidRPr="006F2EC1">
        <w:rPr>
          <w:iCs/>
        </w:rPr>
        <w:t>Comaskey</w:t>
      </w:r>
      <w:proofErr w:type="spellEnd"/>
      <w:r w:rsidRPr="006F2EC1">
        <w:rPr>
          <w:iCs/>
        </w:rPr>
        <w:t xml:space="preserve"> et al. 2017; Bell et al. 2019</w:t>
      </w:r>
      <w:r w:rsidRPr="006F2EC1" w:rsidDel="00F96FAA">
        <w:rPr>
          <w:iCs/>
        </w:rPr>
        <w:t xml:space="preserve">; </w:t>
      </w:r>
      <w:r w:rsidRPr="006F2EC1">
        <w:rPr>
          <w:iCs/>
        </w:rPr>
        <w:t>Laurens et al. 2019</w:t>
      </w:r>
      <w:r>
        <w:t>).</w:t>
      </w:r>
    </w:p>
    <w:p w14:paraId="7DF31AE8" w14:textId="25764793" w:rsidR="0023750E" w:rsidRDefault="0023750E" w:rsidP="0023750E">
      <w:r>
        <w:t xml:space="preserve">To study the effect of physical and mental health on developmental vulnerability in our cohort, we developed two health measures using government-supported health service access as a proxy for experiencing mental ill-health and chronic physical ill-health. Accessing Medicare Benefits Schedule (MBS) items, for example psychologist visits, or Pharmaceutical Benefits Scheme (PBS) prescriptions, for example anti-depressants, were used to indicate mental ill-health. Accessing MBS items related to chronic physical ill-health, for example Chronic Disease Management, were used to indicate chronic physical ill-health (see </w:t>
      </w:r>
      <w:r w:rsidRPr="178B6240">
        <w:rPr>
          <w:i/>
          <w:iCs/>
        </w:rPr>
        <w:t>Methodology</w:t>
      </w:r>
      <w:r>
        <w:t xml:space="preserve"> section).</w:t>
      </w:r>
    </w:p>
    <w:p w14:paraId="725C1F41" w14:textId="2A752001" w:rsidR="0023750E" w:rsidRPr="00880F24" w:rsidRDefault="0023750E" w:rsidP="0023750E">
      <w:pPr>
        <w:pStyle w:val="Default"/>
        <w:spacing w:after="200"/>
        <w:jc w:val="both"/>
        <w:rPr>
          <w:rFonts w:asciiTheme="minorHAnsi" w:hAnsiTheme="minorHAnsi" w:cstheme="minorHAnsi"/>
          <w:sz w:val="22"/>
          <w:szCs w:val="22"/>
        </w:rPr>
      </w:pPr>
      <w:r w:rsidRPr="009520BA">
        <w:rPr>
          <w:rFonts w:asciiTheme="minorHAnsi" w:hAnsiTheme="minorHAnsi" w:cstheme="minorHAnsi"/>
          <w:sz w:val="22"/>
          <w:szCs w:val="22"/>
        </w:rPr>
        <w:t xml:space="preserve">The analysis focussed on children with developmental data in the AEDC. The AEDC excludes domain and developmental vulnerability scores for children with special needs because of the already identified substantial developmental needs of this group (Social Research Centre 2019). Children with special needs (without developmental scores) have a higher prevalence of mental and chronic </w:t>
      </w:r>
      <w:r>
        <w:rPr>
          <w:rFonts w:asciiTheme="minorHAnsi" w:hAnsiTheme="minorHAnsi" w:cstheme="minorHAnsi"/>
          <w:sz w:val="22"/>
          <w:szCs w:val="22"/>
        </w:rPr>
        <w:t>ill-</w:t>
      </w:r>
      <w:r w:rsidRPr="00880F24">
        <w:rPr>
          <w:rFonts w:asciiTheme="minorHAnsi" w:hAnsiTheme="minorHAnsi" w:cstheme="minorHAnsi"/>
          <w:sz w:val="22"/>
          <w:szCs w:val="22"/>
        </w:rPr>
        <w:t>health compared to children without special needs</w:t>
      </w:r>
      <w:r w:rsidRPr="00880F24">
        <w:rPr>
          <w:rStyle w:val="FootnoteReference"/>
          <w:rFonts w:asciiTheme="minorHAnsi" w:hAnsiTheme="minorHAnsi" w:cstheme="minorHAnsi"/>
          <w:sz w:val="22"/>
          <w:szCs w:val="22"/>
        </w:rPr>
        <w:footnoteReference w:id="5"/>
      </w:r>
      <w:r w:rsidRPr="00880F24">
        <w:rPr>
          <w:rFonts w:asciiTheme="minorHAnsi" w:hAnsiTheme="minorHAnsi" w:cstheme="minorHAnsi"/>
          <w:sz w:val="22"/>
          <w:szCs w:val="22"/>
        </w:rPr>
        <w:t xml:space="preserve">. As a result, the developmental risks associated with </w:t>
      </w:r>
      <w:r>
        <w:rPr>
          <w:rFonts w:asciiTheme="minorHAnsi" w:hAnsiTheme="minorHAnsi" w:cstheme="minorHAnsi"/>
          <w:sz w:val="22"/>
          <w:szCs w:val="22"/>
        </w:rPr>
        <w:t>ill-</w:t>
      </w:r>
      <w:r w:rsidRPr="00880F24">
        <w:rPr>
          <w:rFonts w:asciiTheme="minorHAnsi" w:hAnsiTheme="minorHAnsi" w:cstheme="minorHAnsi"/>
          <w:sz w:val="22"/>
          <w:szCs w:val="22"/>
        </w:rPr>
        <w:t>health</w:t>
      </w:r>
      <w:r>
        <w:rPr>
          <w:rFonts w:asciiTheme="minorHAnsi" w:hAnsiTheme="minorHAnsi" w:cstheme="minorHAnsi"/>
          <w:sz w:val="22"/>
          <w:szCs w:val="22"/>
        </w:rPr>
        <w:t xml:space="preserve"> </w:t>
      </w:r>
      <w:r w:rsidRPr="00880F24">
        <w:rPr>
          <w:rFonts w:asciiTheme="minorHAnsi" w:hAnsiTheme="minorHAnsi" w:cstheme="minorHAnsi"/>
          <w:sz w:val="22"/>
          <w:szCs w:val="22"/>
        </w:rPr>
        <w:t>are likely to be understated.</w:t>
      </w:r>
    </w:p>
    <w:p w14:paraId="5327ECE2" w14:textId="6468AFE0" w:rsidR="0023750E" w:rsidRPr="009520BA" w:rsidRDefault="0023750E" w:rsidP="2B0DDAFE">
      <w:pPr>
        <w:pStyle w:val="Default"/>
        <w:spacing w:after="200"/>
        <w:jc w:val="both"/>
        <w:rPr>
          <w:rFonts w:asciiTheme="minorHAnsi" w:hAnsiTheme="minorHAnsi" w:cstheme="minorBidi"/>
          <w:sz w:val="22"/>
          <w:szCs w:val="22"/>
        </w:rPr>
      </w:pPr>
      <w:r w:rsidRPr="2B0DDAFE">
        <w:rPr>
          <w:rFonts w:asciiTheme="minorHAnsi" w:hAnsiTheme="minorHAnsi" w:cstheme="minorBidi"/>
          <w:sz w:val="22"/>
          <w:szCs w:val="22"/>
        </w:rPr>
        <w:t xml:space="preserve">Most of the analysis on ill-health is performed for girls and boys separately for two reasons. First, boys were more likely </w:t>
      </w:r>
      <w:r w:rsidR="4C7DFC98" w:rsidRPr="2B0DDAFE">
        <w:rPr>
          <w:rFonts w:asciiTheme="minorHAnsi" w:hAnsiTheme="minorHAnsi" w:cstheme="minorBidi"/>
          <w:sz w:val="22"/>
          <w:szCs w:val="22"/>
        </w:rPr>
        <w:t xml:space="preserve">to be </w:t>
      </w:r>
      <w:r w:rsidRPr="2B0DDAFE">
        <w:rPr>
          <w:rFonts w:asciiTheme="minorHAnsi" w:hAnsiTheme="minorHAnsi" w:cstheme="minorBidi"/>
          <w:sz w:val="22"/>
          <w:szCs w:val="22"/>
        </w:rPr>
        <w:t>developmentally vulnerable than girls on one or more domains (DV1 rates for boys and girls are 27.0% and 14.6% respectively), and on each individual AEDC domain (AIHW 2020). The difference in development is thought to reflect principally biological dispositions, although different parenting practices and expectations for boys and girls also might have some influence (AIHW 2015). Furthermore, our results show the prevalence of ill-health and the impact of parental ill-health are quite different for boys and girls.</w:t>
      </w:r>
    </w:p>
    <w:p w14:paraId="3DB78613" w14:textId="587F230F" w:rsidR="0023750E" w:rsidRDefault="0023750E" w:rsidP="0023750E">
      <w:r>
        <w:t xml:space="preserve">Parents’ mental ill-health </w:t>
      </w:r>
      <w:proofErr w:type="gramStart"/>
      <w:r>
        <w:t>have</w:t>
      </w:r>
      <w:proofErr w:type="gramEnd"/>
      <w:r>
        <w:t xml:space="preserve"> also been associated with poor developmental outcomes in children (</w:t>
      </w:r>
      <w:proofErr w:type="spellStart"/>
      <w:r w:rsidRPr="00B16824">
        <w:t>Comaskey</w:t>
      </w:r>
      <w:proofErr w:type="spellEnd"/>
      <w:r w:rsidRPr="00B16824">
        <w:t xml:space="preserve"> et al. 2017</w:t>
      </w:r>
      <w:r>
        <w:t xml:space="preserve">; </w:t>
      </w:r>
      <w:r w:rsidRPr="00B16824">
        <w:t>Bell et al. 2019</w:t>
      </w:r>
      <w:r>
        <w:t>). For the 2018 cohort, we found that over half of Australian children had at least one parent experiencing mental ill-health between the year prior to their birth and 2018</w:t>
      </w:r>
      <w:r w:rsidR="005E3CB9">
        <w:t>. P</w:t>
      </w:r>
      <w:r>
        <w:t xml:space="preserve">ast research has been </w:t>
      </w:r>
      <w:r w:rsidR="005E3CB9">
        <w:t xml:space="preserve">focused </w:t>
      </w:r>
      <w:r>
        <w:t>on maternal and perinatal issues (</w:t>
      </w:r>
      <w:r w:rsidRPr="00B16824">
        <w:rPr>
          <w:rFonts w:ascii="Calibri" w:eastAsia="Calibri" w:hAnsi="Calibri" w:cs="Calibri"/>
        </w:rPr>
        <w:t>Field 2011; Raposa et al. 2014</w:t>
      </w:r>
      <w:r>
        <w:rPr>
          <w:rFonts w:ascii="Calibri" w:eastAsia="Calibri" w:hAnsi="Calibri" w:cs="Calibri"/>
        </w:rPr>
        <w:t xml:space="preserve">; </w:t>
      </w:r>
      <w:proofErr w:type="spellStart"/>
      <w:r w:rsidRPr="00B16824">
        <w:t>Comaskey</w:t>
      </w:r>
      <w:proofErr w:type="spellEnd"/>
      <w:r w:rsidRPr="00B16824">
        <w:t xml:space="preserve"> et al. 2017</w:t>
      </w:r>
      <w:r>
        <w:rPr>
          <w:rFonts w:ascii="Calibri" w:eastAsia="Calibri" w:hAnsi="Calibri" w:cs="Calibri"/>
        </w:rPr>
        <w:t>)</w:t>
      </w:r>
      <w:r>
        <w:t>.</w:t>
      </w:r>
    </w:p>
    <w:p w14:paraId="449F56ED" w14:textId="058BF4F5" w:rsidR="0023750E" w:rsidRDefault="0023750E" w:rsidP="0023750E">
      <w:bookmarkStart w:id="5" w:name="_Hlk59629527"/>
      <w:r>
        <w:t xml:space="preserve">We found children who had a parent experiencing mental ill-health had higher rates of developmental vulnerability </w:t>
      </w:r>
      <w:r w:rsidR="44D21F27">
        <w:t>on</w:t>
      </w:r>
      <w:r>
        <w:t xml:space="preserve"> one or more domains (Figure 7).</w:t>
      </w:r>
    </w:p>
    <w:p w14:paraId="2FD69BA3" w14:textId="77777777" w:rsidR="0023750E" w:rsidRDefault="0023750E" w:rsidP="0023750E">
      <w:r>
        <w:t>T</w:t>
      </w:r>
      <w:r w:rsidRPr="009A684A">
        <w:t xml:space="preserve">his trend was stronger for </w:t>
      </w:r>
      <w:r>
        <w:t>children</w:t>
      </w:r>
      <w:r w:rsidRPr="009A684A">
        <w:t xml:space="preserve"> whose mother had mental </w:t>
      </w:r>
      <w:r>
        <w:t>ill-health</w:t>
      </w:r>
      <w:r w:rsidRPr="009A684A">
        <w:t xml:space="preserve"> (</w:t>
      </w:r>
      <w:r>
        <w:t xml:space="preserve">boys </w:t>
      </w:r>
      <w:r w:rsidRPr="009A684A">
        <w:t>30 per cent</w:t>
      </w:r>
      <w:r>
        <w:t xml:space="preserve">; girls </w:t>
      </w:r>
      <w:r w:rsidRPr="009A684A">
        <w:t>17 per cent) over the father (</w:t>
      </w:r>
      <w:r>
        <w:t xml:space="preserve">boys </w:t>
      </w:r>
      <w:r w:rsidRPr="009A684A">
        <w:t xml:space="preserve">27 per cent; </w:t>
      </w:r>
      <w:r>
        <w:t xml:space="preserve">girls </w:t>
      </w:r>
      <w:r w:rsidRPr="009A684A">
        <w:t>15 per cent).</w:t>
      </w:r>
      <w:r>
        <w:t xml:space="preserve"> This finding is consistent with several studies that indicate maternal health conditions have a higher impact on child development (</w:t>
      </w:r>
      <w:r>
        <w:rPr>
          <w:rFonts w:ascii="Calibri" w:eastAsia="Calibri" w:hAnsi="Calibri" w:cs="Calibri"/>
        </w:rPr>
        <w:t xml:space="preserve">Field 2011; </w:t>
      </w:r>
      <w:proofErr w:type="spellStart"/>
      <w:r>
        <w:t>Coma</w:t>
      </w:r>
      <w:r w:rsidRPr="00AA61E7">
        <w:t>skey</w:t>
      </w:r>
      <w:proofErr w:type="spellEnd"/>
      <w:r w:rsidRPr="00AA61E7">
        <w:t xml:space="preserve"> et al. </w:t>
      </w:r>
      <w:bookmarkEnd w:id="5"/>
      <w:r w:rsidRPr="00AA61E7">
        <w:t>2017</w:t>
      </w:r>
      <w:r>
        <w:t>).</w:t>
      </w:r>
    </w:p>
    <w:p w14:paraId="571D9860" w14:textId="77777777" w:rsidR="0023750E" w:rsidRDefault="0023750E" w:rsidP="005E52A4">
      <w:pPr>
        <w:pStyle w:val="Caption"/>
      </w:pPr>
      <w:r w:rsidRPr="00177B07">
        <w:t xml:space="preserve">Figure </w:t>
      </w:r>
      <w:r>
        <w:t>7</w:t>
      </w:r>
      <w:r w:rsidRPr="00177B07">
        <w:t>.</w:t>
      </w:r>
      <w:r>
        <w:t xml:space="preserve"> Proportion (%) of children who are d</w:t>
      </w:r>
      <w:r w:rsidRPr="1D1D130D">
        <w:t>evelopmental</w:t>
      </w:r>
      <w:r>
        <w:t>ly</w:t>
      </w:r>
      <w:r w:rsidRPr="1D1D130D">
        <w:t xml:space="preserve"> vulnerab</w:t>
      </w:r>
      <w:r>
        <w:t xml:space="preserve">le on one or more domains, </w:t>
      </w:r>
      <w:r w:rsidRPr="1D1D130D">
        <w:t xml:space="preserve">by </w:t>
      </w:r>
      <w:r>
        <w:t xml:space="preserve">parental </w:t>
      </w:r>
      <w:r w:rsidRPr="1D1D130D">
        <w:t xml:space="preserve">mental </w:t>
      </w:r>
      <w:r>
        <w:t xml:space="preserve">ill-health </w:t>
      </w:r>
      <w:r w:rsidRPr="1D1D130D">
        <w:t>status</w:t>
      </w:r>
      <w:r>
        <w:t xml:space="preserve">, </w:t>
      </w:r>
      <w:r w:rsidRPr="1D1D130D">
        <w:t>by gender</w:t>
      </w:r>
      <w:r>
        <w:t>, 2018 AEDC cohort.</w:t>
      </w:r>
    </w:p>
    <w:p w14:paraId="28D0867A" w14:textId="77777777" w:rsidR="0023750E" w:rsidRDefault="0023750E" w:rsidP="00B1132D">
      <w:pPr>
        <w:keepNext/>
        <w:rPr>
          <w:b/>
          <w:bCs/>
        </w:rPr>
      </w:pPr>
      <w:r>
        <w:rPr>
          <w:noProof/>
        </w:rPr>
        <w:drawing>
          <wp:inline distT="0" distB="0" distL="0" distR="0" wp14:anchorId="3F5D3801" wp14:editId="5B0F41C2">
            <wp:extent cx="5731510" cy="1562669"/>
            <wp:effectExtent l="0" t="0" r="2540" b="0"/>
            <wp:docPr id="323050302" name="Chart 1" descr="Figure 7 displays the proportion of children who were developmentally vulnerable by parental ill health status and gender.">
              <a:extLst xmlns:a="http://schemas.openxmlformats.org/drawingml/2006/main">
                <a:ext uri="{FF2B5EF4-FFF2-40B4-BE49-F238E27FC236}">
                  <a16:creationId xmlns:a16="http://schemas.microsoft.com/office/drawing/2014/main" id="{6B162FE7-3B77-4DC9-9277-8D2A25C4F4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C3D028" w14:textId="6A599D81" w:rsidR="0023750E" w:rsidRPr="003B57A0" w:rsidRDefault="0023750E" w:rsidP="00B1132D">
      <w:pPr>
        <w:pStyle w:val="Source"/>
        <w:keepNext/>
        <w:rPr>
          <w:szCs w:val="18"/>
        </w:rPr>
      </w:pPr>
      <w:r w:rsidRPr="003B57A0">
        <w:rPr>
          <w:b/>
        </w:rPr>
        <w:t>Source</w:t>
      </w:r>
      <w:r w:rsidRPr="003B57A0">
        <w:rPr>
          <w:szCs w:val="18"/>
        </w:rPr>
        <w:t>:</w:t>
      </w:r>
      <w:r w:rsidRPr="003B57A0">
        <w:rPr>
          <w:rStyle w:val="normaltextrun"/>
          <w:rFonts w:ascii="Calibri" w:hAnsi="Calibri" w:cs="Calibri"/>
          <w:color w:val="000000"/>
          <w:szCs w:val="18"/>
          <w:shd w:val="clear" w:color="auto" w:fill="FFFFFF"/>
        </w:rPr>
        <w:t xml:space="preserve"> </w:t>
      </w:r>
      <w:r>
        <w:rPr>
          <w:rStyle w:val="normaltextrun"/>
          <w:rFonts w:ascii="Calibri" w:hAnsi="Calibri" w:cs="Calibri"/>
          <w:color w:val="000000"/>
          <w:szCs w:val="18"/>
          <w:shd w:val="clear" w:color="auto" w:fill="FFFFFF"/>
        </w:rPr>
        <w:t>Customised ‘First Five Years’ extract from the Multi-Agency Data Integration Project</w:t>
      </w:r>
      <w:r>
        <w:rPr>
          <w:rStyle w:val="eop"/>
          <w:rFonts w:cs="Calibri"/>
          <w:color w:val="000000"/>
          <w:szCs w:val="18"/>
          <w:shd w:val="clear" w:color="auto" w:fill="FFFFFF"/>
        </w:rPr>
        <w:t>.</w:t>
      </w:r>
    </w:p>
    <w:p w14:paraId="0D158692" w14:textId="77777777" w:rsidR="0023750E" w:rsidRPr="003B57A0" w:rsidRDefault="0023750E" w:rsidP="00B1132D">
      <w:pPr>
        <w:pStyle w:val="Source"/>
        <w:keepNext/>
        <w:rPr>
          <w:szCs w:val="18"/>
        </w:rPr>
      </w:pPr>
      <w:r w:rsidRPr="003B57A0">
        <w:rPr>
          <w:b/>
        </w:rPr>
        <w:t>Notes</w:t>
      </w:r>
      <w:r w:rsidRPr="003B57A0">
        <w:rPr>
          <w:szCs w:val="18"/>
        </w:rPr>
        <w:t>:</w:t>
      </w:r>
      <w:r>
        <w:rPr>
          <w:szCs w:val="18"/>
        </w:rPr>
        <w:t xml:space="preserve"> </w:t>
      </w:r>
      <w:r w:rsidRPr="003B57A0">
        <w:rPr>
          <w:rStyle w:val="normaltextrun"/>
          <w:rFonts w:ascii="Calibri" w:hAnsi="Calibri" w:cs="Calibri"/>
          <w:color w:val="000000"/>
          <w:szCs w:val="18"/>
          <w:shd w:val="clear" w:color="auto" w:fill="FFFFFF"/>
        </w:rPr>
        <w:t>This figure compares children from the 201</w:t>
      </w:r>
      <w:r>
        <w:rPr>
          <w:rStyle w:val="normaltextrun"/>
          <w:rFonts w:ascii="Calibri" w:hAnsi="Calibri" w:cs="Calibri"/>
          <w:color w:val="000000"/>
          <w:szCs w:val="18"/>
          <w:shd w:val="clear" w:color="auto" w:fill="FFFFFF"/>
        </w:rPr>
        <w:t>8</w:t>
      </w:r>
      <w:r w:rsidRPr="003B57A0">
        <w:rPr>
          <w:rStyle w:val="normaltextrun"/>
          <w:rFonts w:ascii="Calibri" w:hAnsi="Calibri" w:cs="Calibri"/>
          <w:color w:val="000000"/>
          <w:szCs w:val="18"/>
          <w:shd w:val="clear" w:color="auto" w:fill="FFFFFF"/>
        </w:rPr>
        <w:t> cohort of the Australian Early Development Census</w:t>
      </w:r>
      <w:r>
        <w:rPr>
          <w:rStyle w:val="normaltextrun"/>
          <w:rFonts w:ascii="Calibri" w:hAnsi="Calibri" w:cs="Calibri"/>
          <w:color w:val="000000"/>
          <w:szCs w:val="18"/>
          <w:shd w:val="clear" w:color="auto" w:fill="FFFFFF"/>
        </w:rPr>
        <w:t>.</w:t>
      </w:r>
      <w:r w:rsidRPr="00B62E21">
        <w:rPr>
          <w:rStyle w:val="normaltextrun"/>
          <w:color w:val="000000"/>
          <w:szCs w:val="18"/>
          <w:shd w:val="clear" w:color="auto" w:fill="FFFFFF"/>
        </w:rPr>
        <w:t xml:space="preserve"> </w:t>
      </w:r>
      <w:r>
        <w:rPr>
          <w:szCs w:val="18"/>
        </w:rPr>
        <w:t xml:space="preserve">Boys (N = 137,273); Girls (N = 134,861). </w:t>
      </w:r>
      <w:r w:rsidRPr="004B173B">
        <w:rPr>
          <w:szCs w:val="18"/>
        </w:rPr>
        <w:t xml:space="preserve">Parental </w:t>
      </w:r>
      <w:r>
        <w:rPr>
          <w:szCs w:val="18"/>
        </w:rPr>
        <w:t xml:space="preserve">ill-health </w:t>
      </w:r>
      <w:r w:rsidRPr="004B173B">
        <w:rPr>
          <w:szCs w:val="18"/>
        </w:rPr>
        <w:t>ha</w:t>
      </w:r>
      <w:r>
        <w:rPr>
          <w:szCs w:val="18"/>
        </w:rPr>
        <w:t>s</w:t>
      </w:r>
      <w:r w:rsidRPr="004B173B">
        <w:rPr>
          <w:szCs w:val="18"/>
        </w:rPr>
        <w:t xml:space="preserve"> been </w:t>
      </w:r>
      <w:r w:rsidRPr="00675471">
        <w:rPr>
          <w:rStyle w:val="normaltextrun"/>
          <w:rFonts w:ascii="Calibri" w:hAnsi="Calibri" w:cs="Calibri"/>
          <w:color w:val="000000"/>
          <w:szCs w:val="18"/>
          <w:shd w:val="clear" w:color="auto" w:fill="FFFFFF"/>
        </w:rPr>
        <w:t xml:space="preserve">identified using </w:t>
      </w:r>
      <w:r>
        <w:rPr>
          <w:rStyle w:val="normaltextrun"/>
          <w:rFonts w:ascii="Calibri" w:hAnsi="Calibri" w:cs="Calibri"/>
          <w:color w:val="000000"/>
          <w:szCs w:val="18"/>
          <w:shd w:val="clear" w:color="auto" w:fill="FFFFFF"/>
        </w:rPr>
        <w:t>MBS</w:t>
      </w:r>
      <w:r w:rsidRPr="00675471">
        <w:rPr>
          <w:rStyle w:val="normaltextrun"/>
          <w:rFonts w:ascii="Calibri" w:hAnsi="Calibri" w:cs="Calibri"/>
          <w:color w:val="000000"/>
          <w:szCs w:val="18"/>
          <w:shd w:val="clear" w:color="auto" w:fill="FFFFFF"/>
        </w:rPr>
        <w:t xml:space="preserve"> and </w:t>
      </w:r>
      <w:r>
        <w:rPr>
          <w:rStyle w:val="normaltextrun"/>
          <w:rFonts w:ascii="Calibri" w:hAnsi="Calibri" w:cs="Calibri"/>
          <w:color w:val="000000"/>
          <w:szCs w:val="18"/>
          <w:shd w:val="clear" w:color="auto" w:fill="FFFFFF"/>
        </w:rPr>
        <w:t>PBS</w:t>
      </w:r>
      <w:r w:rsidRPr="00675471">
        <w:rPr>
          <w:rStyle w:val="normaltextrun"/>
          <w:rFonts w:ascii="Calibri" w:hAnsi="Calibri" w:cs="Calibri"/>
          <w:color w:val="000000"/>
          <w:szCs w:val="18"/>
          <w:shd w:val="clear" w:color="auto" w:fill="FFFFFF"/>
        </w:rPr>
        <w:t xml:space="preserve"> </w:t>
      </w:r>
      <w:r>
        <w:rPr>
          <w:rStyle w:val="normaltextrun"/>
          <w:rFonts w:ascii="Calibri" w:hAnsi="Calibri" w:cs="Calibri"/>
          <w:color w:val="000000"/>
          <w:szCs w:val="18"/>
          <w:shd w:val="clear" w:color="auto" w:fill="FFFFFF"/>
        </w:rPr>
        <w:t xml:space="preserve">data </w:t>
      </w:r>
      <w:r w:rsidRPr="00675471">
        <w:rPr>
          <w:rStyle w:val="normaltextrun"/>
          <w:rFonts w:ascii="Calibri" w:hAnsi="Calibri" w:cs="Calibri"/>
          <w:color w:val="000000"/>
          <w:szCs w:val="18"/>
          <w:shd w:val="clear" w:color="auto" w:fill="FFFFFF"/>
        </w:rPr>
        <w:t>from birth to 2018</w:t>
      </w:r>
      <w:r>
        <w:rPr>
          <w:rStyle w:val="normaltextrun"/>
          <w:rFonts w:ascii="Calibri" w:hAnsi="Calibri" w:cs="Calibri"/>
          <w:color w:val="000000"/>
          <w:szCs w:val="18"/>
          <w:shd w:val="clear" w:color="auto" w:fill="FFFFFF"/>
        </w:rPr>
        <w:t xml:space="preserve"> </w:t>
      </w:r>
      <w:r w:rsidRPr="00675471">
        <w:rPr>
          <w:rStyle w:val="normaltextrun"/>
          <w:rFonts w:ascii="Calibri" w:hAnsi="Calibri" w:cs="Calibri"/>
          <w:color w:val="000000"/>
          <w:szCs w:val="18"/>
          <w:shd w:val="clear" w:color="auto" w:fill="FFFFFF"/>
        </w:rPr>
        <w:t xml:space="preserve">(see Methodology </w:t>
      </w:r>
      <w:r>
        <w:rPr>
          <w:rStyle w:val="normaltextrun"/>
          <w:rFonts w:ascii="Calibri" w:hAnsi="Calibri" w:cs="Calibri"/>
          <w:color w:val="000000"/>
          <w:szCs w:val="18"/>
          <w:shd w:val="clear" w:color="auto" w:fill="FFFFFF"/>
        </w:rPr>
        <w:t>section</w:t>
      </w:r>
      <w:r w:rsidRPr="00675471">
        <w:rPr>
          <w:rStyle w:val="normaltextrun"/>
          <w:rFonts w:ascii="Calibri" w:hAnsi="Calibri" w:cs="Calibri"/>
          <w:color w:val="000000"/>
          <w:szCs w:val="18"/>
          <w:shd w:val="clear" w:color="auto" w:fill="FFFFFF"/>
        </w:rPr>
        <w:t>).</w:t>
      </w:r>
    </w:p>
    <w:p w14:paraId="0DD84212" w14:textId="10BBAF1B" w:rsidR="0023750E" w:rsidRDefault="0023750E" w:rsidP="0023750E">
      <w:r>
        <w:t>Children were much more likely to access services for mental ill-health if either of their parents accessed mental health services compared to children that had no parents with mental ill-health (10.7 compared to 3.4 per cent). Intergenerational mental ill-health is likely caused by both genetic and environmental factors (</w:t>
      </w:r>
      <w:proofErr w:type="spellStart"/>
      <w:r>
        <w:t>Comaskey</w:t>
      </w:r>
      <w:proofErr w:type="spellEnd"/>
      <w:r>
        <w:t xml:space="preserve"> et al. 2017). Increased parental awareness of mental ill-health may contribute to higher rates of children accessing mental health services. In 87 per cent of cases where both the child and parent accessed mental health services, the parents’ mental health service access preceded the child’s access.</w:t>
      </w:r>
    </w:p>
    <w:p w14:paraId="3C6B5467" w14:textId="77777777" w:rsidR="0023750E" w:rsidRDefault="0023750E" w:rsidP="0023750E">
      <w:pPr>
        <w:pStyle w:val="Heading2"/>
      </w:pPr>
      <w:r>
        <w:t>Longitudinal mental ill-health</w:t>
      </w:r>
    </w:p>
    <w:p w14:paraId="7C91BF2B" w14:textId="0B3965C5" w:rsidR="0023750E" w:rsidRDefault="0023750E" w:rsidP="0023750E">
      <w:r>
        <w:t xml:space="preserve">Past research has explored the impact of severity, timing and chronicity of parental mental ill-health on childhood </w:t>
      </w:r>
      <w:proofErr w:type="gramStart"/>
      <w:r>
        <w:t>development, and</w:t>
      </w:r>
      <w:proofErr w:type="gramEnd"/>
      <w:r>
        <w:t xml:space="preserve"> has shown that chronic or recurring mental ill-health are particularly detrimental (</w:t>
      </w:r>
      <w:r w:rsidRPr="00B764F7">
        <w:rPr>
          <w:rFonts w:ascii="Calibri" w:eastAsia="Calibri" w:hAnsi="Calibri" w:cs="Calibri"/>
        </w:rPr>
        <w:t>Brennan et al. 2</w:t>
      </w:r>
      <w:r>
        <w:rPr>
          <w:rFonts w:ascii="Calibri" w:eastAsia="Calibri" w:hAnsi="Calibri" w:cs="Calibri"/>
        </w:rPr>
        <w:t xml:space="preserve">000; </w:t>
      </w:r>
      <w:proofErr w:type="spellStart"/>
      <w:r>
        <w:t>Comaskey</w:t>
      </w:r>
      <w:proofErr w:type="spellEnd"/>
      <w:r>
        <w:t xml:space="preserve"> et al. 2017).</w:t>
      </w:r>
    </w:p>
    <w:p w14:paraId="7E5FC6F5" w14:textId="77777777" w:rsidR="0023750E" w:rsidRDefault="0023750E" w:rsidP="0023750E">
      <w:r w:rsidRPr="00F05B8A">
        <w:t xml:space="preserve">We studied </w:t>
      </w:r>
      <w:r>
        <w:t xml:space="preserve">the history of </w:t>
      </w:r>
      <w:r w:rsidRPr="00F05B8A">
        <w:t xml:space="preserve">parental mental health </w:t>
      </w:r>
      <w:r>
        <w:t>service access</w:t>
      </w:r>
      <w:r w:rsidRPr="00F05B8A">
        <w:t xml:space="preserve"> </w:t>
      </w:r>
      <w:r>
        <w:t>from one year prior to childbirth to 2018</w:t>
      </w:r>
      <w:r w:rsidRPr="00F05B8A">
        <w:t xml:space="preserve"> </w:t>
      </w:r>
      <w:r>
        <w:t>(Figure 8). A</w:t>
      </w:r>
      <w:r w:rsidRPr="00953CE5">
        <w:t xml:space="preserve">s the number of </w:t>
      </w:r>
      <w:proofErr w:type="gramStart"/>
      <w:r w:rsidRPr="00953CE5">
        <w:t>years</w:t>
      </w:r>
      <w:proofErr w:type="gramEnd"/>
      <w:r w:rsidRPr="00953CE5">
        <w:t xml:space="preserve"> a parent experienced mental </w:t>
      </w:r>
      <w:r>
        <w:t>ill-health</w:t>
      </w:r>
      <w:r w:rsidRPr="00953CE5">
        <w:t xml:space="preserve"> increased, the risk of developmental vulnerability trended upwards</w:t>
      </w:r>
      <w:r>
        <w:t>.</w:t>
      </w:r>
    </w:p>
    <w:p w14:paraId="635357CC" w14:textId="77777777" w:rsidR="005E52A4" w:rsidRDefault="0023750E" w:rsidP="005E52A4">
      <w:pPr>
        <w:pStyle w:val="Caption"/>
      </w:pPr>
      <w:r>
        <w:t xml:space="preserve">Figure 8. </w:t>
      </w:r>
      <w:r w:rsidRPr="690A1A5E">
        <w:t xml:space="preserve">Proportion </w:t>
      </w:r>
      <w:r>
        <w:t xml:space="preserve">(%) </w:t>
      </w:r>
      <w:r w:rsidRPr="690A1A5E">
        <w:t xml:space="preserve">of children </w:t>
      </w:r>
      <w:r>
        <w:t>who</w:t>
      </w:r>
      <w:r w:rsidRPr="690A1A5E">
        <w:t xml:space="preserve"> are developmentally vulnerable on one or more domain</w:t>
      </w:r>
      <w:r>
        <w:t>s</w:t>
      </w:r>
      <w:r w:rsidRPr="690A1A5E">
        <w:t xml:space="preserve">, by </w:t>
      </w:r>
      <w:r>
        <w:t>number of years</w:t>
      </w:r>
      <w:r w:rsidRPr="690A1A5E">
        <w:t xml:space="preserve"> of parental mental </w:t>
      </w:r>
      <w:r>
        <w:t>ill-health and</w:t>
      </w:r>
      <w:r w:rsidRPr="690A1A5E">
        <w:t xml:space="preserve"> gender, </w:t>
      </w:r>
      <w:r>
        <w:t xml:space="preserve">2018 </w:t>
      </w:r>
      <w:r w:rsidRPr="005E52A4">
        <w:t>AEDC</w:t>
      </w:r>
      <w:r>
        <w:t xml:space="preserve"> cohort.</w:t>
      </w:r>
    </w:p>
    <w:p w14:paraId="3B60AC66" w14:textId="0A5ED5A4" w:rsidR="0023750E" w:rsidRPr="0095795B" w:rsidRDefault="0023750E" w:rsidP="0095795B">
      <w:pPr>
        <w:pStyle w:val="Source"/>
        <w:keepNext/>
        <w:rPr>
          <w:rStyle w:val="eop"/>
        </w:rPr>
      </w:pPr>
      <w:r>
        <w:rPr>
          <w:noProof/>
        </w:rPr>
        <w:drawing>
          <wp:inline distT="0" distB="0" distL="0" distR="0" wp14:anchorId="34F81E3D" wp14:editId="51E75633">
            <wp:extent cx="5731510" cy="2726055"/>
            <wp:effectExtent l="0" t="0" r="2540" b="0"/>
            <wp:docPr id="235287214" name="Chart 1" descr="Figure 8 displays the proportion of children who were developmentally vulnerable by number of years of parental mental ill health and gender.">
              <a:extLst xmlns:a="http://schemas.openxmlformats.org/drawingml/2006/main">
                <a:ext uri="{FF2B5EF4-FFF2-40B4-BE49-F238E27FC236}">
                  <a16:creationId xmlns:a16="http://schemas.microsoft.com/office/drawing/2014/main" id="{B52ABAFD-B88C-48AA-A6CC-32F49A75F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5795B">
        <w:rPr>
          <w:b/>
        </w:rPr>
        <w:t>Source:</w:t>
      </w:r>
      <w:r w:rsidRPr="003B57A0">
        <w:t xml:space="preserve"> </w:t>
      </w:r>
      <w:r w:rsidRPr="0095795B">
        <w:rPr>
          <w:rStyle w:val="normaltextrun"/>
        </w:rPr>
        <w:t>Customised ‘First Five Years’ extract from the Multi-Agency Data Integration Project</w:t>
      </w:r>
      <w:r w:rsidRPr="0095795B">
        <w:rPr>
          <w:rStyle w:val="eop"/>
        </w:rPr>
        <w:t>.</w:t>
      </w:r>
    </w:p>
    <w:p w14:paraId="06C2A797" w14:textId="64EF7FF7" w:rsidR="0023750E" w:rsidRPr="0095795B" w:rsidRDefault="0023750E" w:rsidP="0095795B">
      <w:pPr>
        <w:pStyle w:val="Source"/>
        <w:keepNext/>
      </w:pPr>
      <w:r w:rsidRPr="0095795B">
        <w:rPr>
          <w:b/>
        </w:rPr>
        <w:t>Notes:</w:t>
      </w:r>
      <w:r w:rsidRPr="0095795B">
        <w:t xml:space="preserve"> </w:t>
      </w:r>
      <w:r w:rsidRPr="0095795B">
        <w:rPr>
          <w:rStyle w:val="normaltextrun"/>
        </w:rPr>
        <w:t xml:space="preserve">This figure compares children from the 2018 cohort of the Australian Early Development Census. </w:t>
      </w:r>
      <w:r w:rsidRPr="0095795B">
        <w:t>Boys (N = 137,273); Girls (N=134,861). Parental ill-health</w:t>
      </w:r>
      <w:r w:rsidR="005E3CB9" w:rsidRPr="0095795B">
        <w:t xml:space="preserve"> was</w:t>
      </w:r>
      <w:r w:rsidRPr="0095795B">
        <w:t xml:space="preserve"> identified using MBS and PBS data from one year prior to birth to 2018 (see Methodology section).</w:t>
      </w:r>
    </w:p>
    <w:p w14:paraId="74A3F9DC" w14:textId="7B747429" w:rsidR="0023750E" w:rsidRDefault="0023750E" w:rsidP="0023750E">
      <w:r>
        <w:t>The timing of mental ill-health and relationship with development is also an area of interest. Past work indicates that early exposure to parental mental ill-health, particularly during perinatal periods, is a risk factor for childhood development outcomes (</w:t>
      </w:r>
      <w:proofErr w:type="spellStart"/>
      <w:r w:rsidRPr="00D6012C">
        <w:rPr>
          <w:rFonts w:ascii="Calibri" w:eastAsia="Calibri" w:hAnsi="Calibri" w:cs="Calibri"/>
        </w:rPr>
        <w:t>Sohr</w:t>
      </w:r>
      <w:proofErr w:type="spellEnd"/>
      <w:r w:rsidRPr="00D6012C">
        <w:rPr>
          <w:rFonts w:ascii="Calibri" w:eastAsia="Calibri" w:hAnsi="Calibri" w:cs="Calibri"/>
        </w:rPr>
        <w:t xml:space="preserve">-Preston </w:t>
      </w:r>
      <w:r>
        <w:rPr>
          <w:rFonts w:ascii="Calibri" w:eastAsia="Calibri" w:hAnsi="Calibri" w:cs="Calibri"/>
        </w:rPr>
        <w:t xml:space="preserve">and </w:t>
      </w:r>
      <w:r w:rsidRPr="00D2788C">
        <w:rPr>
          <w:rFonts w:ascii="Calibri" w:eastAsia="Calibri" w:hAnsi="Calibri" w:cs="Calibri"/>
        </w:rPr>
        <w:t xml:space="preserve">Scaramella </w:t>
      </w:r>
      <w:r w:rsidRPr="00D6012C">
        <w:rPr>
          <w:rFonts w:ascii="Calibri" w:eastAsia="Calibri" w:hAnsi="Calibri" w:cs="Calibri"/>
        </w:rPr>
        <w:t>2006</w:t>
      </w:r>
      <w:r>
        <w:rPr>
          <w:rFonts w:ascii="Calibri" w:eastAsia="Calibri" w:hAnsi="Calibri" w:cs="Calibri"/>
        </w:rPr>
        <w:t xml:space="preserve">; Field 2011; </w:t>
      </w:r>
      <w:r w:rsidRPr="00D6012C">
        <w:rPr>
          <w:rFonts w:ascii="Calibri" w:eastAsia="Calibri" w:hAnsi="Calibri" w:cs="Calibri"/>
        </w:rPr>
        <w:t>Raposa et al. 2014</w:t>
      </w:r>
      <w:r>
        <w:rPr>
          <w:rFonts w:ascii="Calibri" w:eastAsia="Calibri" w:hAnsi="Calibri" w:cs="Calibri"/>
        </w:rPr>
        <w:t>)</w:t>
      </w:r>
      <w:r>
        <w:t>. We analysed developmental vulnerability in relation to a child’s age when the parents first accessed services during the child’s lifetime and child mental ill-health. Note that mental ill-health is often chronic or episodic, so people may dip in and out of service use over a long period of time. Barriers to accessing mental health services also make it unlikely that access to a service is instantaneous with the onset of symptoms.</w:t>
      </w:r>
    </w:p>
    <w:p w14:paraId="357095AB" w14:textId="22562779" w:rsidR="0023750E" w:rsidRDefault="0023750E" w:rsidP="0095795B">
      <w:pPr>
        <w:rPr>
          <w:b/>
          <w:bCs/>
        </w:rPr>
      </w:pPr>
      <w:r>
        <w:t>Parental early access of mental health services was related to higher rates of developmental vulnerability (Figure 9). This could reflect a child’s long-term exposure to an unwell parent, or exposure during a critical stage of child development (</w:t>
      </w:r>
      <w:r w:rsidRPr="007910F7">
        <w:rPr>
          <w:rFonts w:ascii="Calibri" w:eastAsia="Calibri" w:hAnsi="Calibri" w:cs="Calibri"/>
        </w:rPr>
        <w:t>Raposa et al. 2014</w:t>
      </w:r>
      <w:r>
        <w:rPr>
          <w:rFonts w:ascii="Calibri" w:eastAsia="Calibri" w:hAnsi="Calibri" w:cs="Calibri"/>
        </w:rPr>
        <w:t xml:space="preserve">; </w:t>
      </w:r>
      <w:proofErr w:type="spellStart"/>
      <w:r>
        <w:t>Comaskey</w:t>
      </w:r>
      <w:proofErr w:type="spellEnd"/>
      <w:r>
        <w:t xml:space="preserve"> </w:t>
      </w:r>
      <w:r w:rsidRPr="00D2788C">
        <w:rPr>
          <w:iCs/>
        </w:rPr>
        <w:t>et al. 2017</w:t>
      </w:r>
      <w:r>
        <w:t xml:space="preserve">). Conversely, for children, later access of mental health services was related to higher rates of developmental vulnerability (Figure 9). Early diagnosis and treatment of mental ill-health may </w:t>
      </w:r>
      <w:r w:rsidRPr="00006B71">
        <w:t xml:space="preserve">contribute to improved coping mechanisms and better developmental outcomes by the time of the AEDC. However, it </w:t>
      </w:r>
      <w:r w:rsidRPr="00091978">
        <w:t xml:space="preserve">could reflect that different </w:t>
      </w:r>
      <w:r>
        <w:t xml:space="preserve">types of </w:t>
      </w:r>
      <w:r w:rsidRPr="00091978">
        <w:t xml:space="preserve">mental </w:t>
      </w:r>
      <w:r>
        <w:t>ill-</w:t>
      </w:r>
      <w:r w:rsidRPr="00091978">
        <w:t>health tend to be diagnosed at different ages.</w:t>
      </w:r>
    </w:p>
    <w:p w14:paraId="3B2AA154" w14:textId="77777777" w:rsidR="0023750E" w:rsidRDefault="0023750E" w:rsidP="005E52A4">
      <w:pPr>
        <w:pStyle w:val="Caption"/>
      </w:pPr>
      <w:r w:rsidRPr="00B219B9">
        <w:t xml:space="preserve">Figure </w:t>
      </w:r>
      <w:r>
        <w:t>9</w:t>
      </w:r>
      <w:r w:rsidRPr="00B219B9">
        <w:t>.</w:t>
      </w:r>
      <w:r>
        <w:t xml:space="preserve"> </w:t>
      </w:r>
      <w:r w:rsidRPr="6BFE74C5">
        <w:t>Proportion</w:t>
      </w:r>
      <w:r>
        <w:t xml:space="preserve"> (%)</w:t>
      </w:r>
      <w:r w:rsidRPr="6BFE74C5">
        <w:t xml:space="preserve"> of children </w:t>
      </w:r>
      <w:r>
        <w:t>who</w:t>
      </w:r>
      <w:r w:rsidRPr="6BFE74C5">
        <w:t xml:space="preserve"> are developmentally vulnerable on one </w:t>
      </w:r>
      <w:r>
        <w:t xml:space="preserve">or </w:t>
      </w:r>
      <w:r w:rsidRPr="6BFE74C5">
        <w:t>more domain</w:t>
      </w:r>
      <w:r>
        <w:t>s</w:t>
      </w:r>
      <w:r w:rsidRPr="6BFE74C5">
        <w:t xml:space="preserve">, by child age </w:t>
      </w:r>
      <w:r>
        <w:t>when parents/children first accessed services during the child’s lifetime</w:t>
      </w:r>
      <w:r w:rsidRPr="6BFE74C5">
        <w:t xml:space="preserve">, </w:t>
      </w:r>
      <w:r>
        <w:t>2018 AEDC cohort</w:t>
      </w:r>
      <w:r w:rsidRPr="6BFE74C5">
        <w:t>.</w:t>
      </w:r>
    </w:p>
    <w:p w14:paraId="4C3C4C41" w14:textId="3C1287D7" w:rsidR="005E3CB9" w:rsidRDefault="005E3CB9" w:rsidP="0095795B">
      <w:pPr>
        <w:keepNext/>
        <w:spacing w:after="160"/>
        <w:rPr>
          <w:b/>
          <w:bCs/>
          <w:sz w:val="18"/>
          <w:szCs w:val="18"/>
        </w:rPr>
      </w:pPr>
      <w:r>
        <w:rPr>
          <w:noProof/>
        </w:rPr>
        <w:drawing>
          <wp:inline distT="0" distB="0" distL="0" distR="0" wp14:anchorId="2DF2287C" wp14:editId="167544DB">
            <wp:extent cx="5731510" cy="2756535"/>
            <wp:effectExtent l="0" t="0" r="2540" b="5715"/>
            <wp:docPr id="901069839" name="Chart 1" descr="Figure 9 displays the proportion of children who were developmentally vulnerable by age when parent or the child first accessed services during the child's lifetime.">
              <a:extLst xmlns:a="http://schemas.openxmlformats.org/drawingml/2006/main">
                <a:ext uri="{FF2B5EF4-FFF2-40B4-BE49-F238E27FC236}">
                  <a16:creationId xmlns:a16="http://schemas.microsoft.com/office/drawing/2014/main" id="{1BDB9038-78AF-4245-8E65-23AE758B72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9AFEBA" w14:textId="7336B550" w:rsidR="0023750E" w:rsidRPr="003B57A0" w:rsidRDefault="0023750E" w:rsidP="0095795B">
      <w:pPr>
        <w:pStyle w:val="Source"/>
        <w:keepNext/>
      </w:pPr>
      <w:r w:rsidRPr="003B57A0">
        <w:rPr>
          <w:b/>
        </w:rPr>
        <w:t>Source</w:t>
      </w:r>
      <w:r w:rsidRPr="003B57A0">
        <w:t xml:space="preserve">: </w:t>
      </w:r>
      <w:r>
        <w:rPr>
          <w:rStyle w:val="normaltextrun"/>
          <w:rFonts w:ascii="Calibri" w:hAnsi="Calibri" w:cs="Calibri"/>
          <w:color w:val="000000"/>
          <w:szCs w:val="18"/>
          <w:shd w:val="clear" w:color="auto" w:fill="FFFFFF"/>
        </w:rPr>
        <w:t>Customised ‘First Five Years’ extract from the Multi-Agency Data Integration Project</w:t>
      </w:r>
      <w:r>
        <w:rPr>
          <w:rStyle w:val="eop"/>
          <w:rFonts w:cs="Calibri"/>
          <w:color w:val="000000"/>
          <w:szCs w:val="18"/>
          <w:shd w:val="clear" w:color="auto" w:fill="FFFFFF"/>
        </w:rPr>
        <w:t>.</w:t>
      </w:r>
    </w:p>
    <w:p w14:paraId="202B13CB" w14:textId="7B0A0909" w:rsidR="0023750E" w:rsidRPr="003B57A0" w:rsidRDefault="0023750E" w:rsidP="0095795B">
      <w:pPr>
        <w:pStyle w:val="Source"/>
        <w:keepNext/>
      </w:pPr>
      <w:r w:rsidRPr="6BFE74C5">
        <w:rPr>
          <w:b/>
        </w:rPr>
        <w:t>Note</w:t>
      </w:r>
      <w:r w:rsidRPr="6BFE74C5">
        <w:t xml:space="preserve">: </w:t>
      </w:r>
      <w:r w:rsidRPr="003B57A0">
        <w:rPr>
          <w:rStyle w:val="normaltextrun"/>
          <w:rFonts w:ascii="Calibri" w:hAnsi="Calibri" w:cs="Calibri"/>
          <w:color w:val="000000"/>
          <w:szCs w:val="18"/>
          <w:shd w:val="clear" w:color="auto" w:fill="FFFFFF"/>
        </w:rPr>
        <w:t>This figure compares children from the 201</w:t>
      </w:r>
      <w:r>
        <w:rPr>
          <w:rStyle w:val="normaltextrun"/>
          <w:rFonts w:ascii="Calibri" w:hAnsi="Calibri" w:cs="Calibri"/>
          <w:color w:val="000000"/>
          <w:szCs w:val="18"/>
          <w:shd w:val="clear" w:color="auto" w:fill="FFFFFF"/>
        </w:rPr>
        <w:t>8</w:t>
      </w:r>
      <w:r w:rsidRPr="003B57A0">
        <w:rPr>
          <w:rStyle w:val="normaltextrun"/>
          <w:rFonts w:ascii="Calibri" w:hAnsi="Calibri" w:cs="Calibri"/>
          <w:color w:val="000000"/>
          <w:szCs w:val="18"/>
          <w:shd w:val="clear" w:color="auto" w:fill="FFFFFF"/>
        </w:rPr>
        <w:t> cohort of the Australian Early Development Census</w:t>
      </w:r>
      <w:r>
        <w:rPr>
          <w:rStyle w:val="normaltextrun"/>
          <w:rFonts w:ascii="Calibri" w:hAnsi="Calibri" w:cs="Calibri"/>
          <w:color w:val="000000"/>
          <w:szCs w:val="18"/>
          <w:shd w:val="clear" w:color="auto" w:fill="FFFFFF"/>
        </w:rPr>
        <w:t xml:space="preserve">. </w:t>
      </w:r>
      <w:r w:rsidRPr="6BFE74C5">
        <w:t xml:space="preserve">Only children with child mental </w:t>
      </w:r>
      <w:r>
        <w:t>ill-</w:t>
      </w:r>
      <w:r w:rsidRPr="6BFE74C5">
        <w:t>health</w:t>
      </w:r>
      <w:r>
        <w:t xml:space="preserve"> (N = 20,941)</w:t>
      </w:r>
      <w:r w:rsidRPr="6BFE74C5">
        <w:t xml:space="preserve"> or parental mental </w:t>
      </w:r>
      <w:r>
        <w:t>ill-health (N = 160,062)</w:t>
      </w:r>
      <w:r w:rsidR="005E3CB9">
        <w:t xml:space="preserve"> are</w:t>
      </w:r>
      <w:r w:rsidRPr="6BFE74C5">
        <w:t xml:space="preserve"> </w:t>
      </w:r>
      <w:r>
        <w:t>shown</w:t>
      </w:r>
      <w:r w:rsidRPr="6BFE74C5">
        <w:t xml:space="preserve">. </w:t>
      </w:r>
      <w:r w:rsidRPr="41A37A1D">
        <w:t xml:space="preserve">Parent </w:t>
      </w:r>
      <w:r>
        <w:t>ill-health</w:t>
      </w:r>
      <w:r w:rsidR="005E3CB9">
        <w:t xml:space="preserve"> was</w:t>
      </w:r>
      <w:r>
        <w:t xml:space="preserve"> </w:t>
      </w:r>
      <w:r w:rsidRPr="41A37A1D">
        <w:t xml:space="preserve">identified from one year prior to birth to 2018. Child </w:t>
      </w:r>
      <w:r>
        <w:t>health condition</w:t>
      </w:r>
      <w:r w:rsidRPr="41A37A1D">
        <w:t>s</w:t>
      </w:r>
      <w:r w:rsidR="005E3CB9">
        <w:t xml:space="preserve"> were</w:t>
      </w:r>
      <w:r w:rsidRPr="41A37A1D">
        <w:t xml:space="preserve"> identified </w:t>
      </w:r>
      <w:r>
        <w:t xml:space="preserve">using MBS and PBS data </w:t>
      </w:r>
      <w:r w:rsidRPr="41A37A1D">
        <w:t>from birth to 2018</w:t>
      </w:r>
      <w:r>
        <w:t xml:space="preserve"> (see Methodology section)</w:t>
      </w:r>
      <w:r w:rsidRPr="41A37A1D">
        <w:t>.</w:t>
      </w:r>
    </w:p>
    <w:p w14:paraId="2FA30DA4" w14:textId="77777777" w:rsidR="0023750E" w:rsidRDefault="0023750E" w:rsidP="0023750E">
      <w:pPr>
        <w:pStyle w:val="Heading2"/>
      </w:pPr>
      <w:r>
        <w:t>Family and social factors on mental health</w:t>
      </w:r>
    </w:p>
    <w:p w14:paraId="1D4F1D94" w14:textId="77777777" w:rsidR="0023750E" w:rsidRDefault="0023750E" w:rsidP="0023750E">
      <w:r>
        <w:t>Our predictive</w:t>
      </w:r>
      <w:r w:rsidRPr="00E904D8">
        <w:t xml:space="preserve"> modelling</w:t>
      </w:r>
      <w:r>
        <w:t xml:space="preserve"> considered a wide variety of family and individual factors and</w:t>
      </w:r>
      <w:r w:rsidRPr="00E904D8">
        <w:t xml:space="preserve"> found </w:t>
      </w:r>
      <w:r>
        <w:t xml:space="preserve">child </w:t>
      </w:r>
      <w:r w:rsidRPr="00E904D8">
        <w:t>health factors</w:t>
      </w:r>
      <w:r>
        <w:t xml:space="preserve"> </w:t>
      </w:r>
      <w:r w:rsidRPr="00E904D8">
        <w:t>to have high importance</w:t>
      </w:r>
      <w:r>
        <w:t xml:space="preserve"> for boys and girls in predicting developmental vulnerability. Meanwhile, parental health factors were important in predicting developmental vulnerability for girls </w:t>
      </w:r>
      <w:r w:rsidRPr="00770AC4">
        <w:t>(see</w:t>
      </w:r>
      <w:r>
        <w:t xml:space="preserve"> </w:t>
      </w:r>
      <w:r w:rsidRPr="00B36CA6">
        <w:rPr>
          <w:i/>
          <w:iCs/>
        </w:rPr>
        <w:t>Methodology</w:t>
      </w:r>
      <w:r>
        <w:t xml:space="preserve"> and</w:t>
      </w:r>
      <w:r w:rsidRPr="00770AC4">
        <w:t xml:space="preserve"> </w:t>
      </w:r>
      <w:r w:rsidRPr="00B36CA6">
        <w:rPr>
          <w:i/>
          <w:iCs/>
        </w:rPr>
        <w:t>Predictive modelling</w:t>
      </w:r>
      <w:r w:rsidRPr="00770AC4">
        <w:t xml:space="preserve"> </w:t>
      </w:r>
      <w:r>
        <w:t>sections</w:t>
      </w:r>
      <w:r w:rsidRPr="00770AC4">
        <w:t>).</w:t>
      </w:r>
    </w:p>
    <w:p w14:paraId="7F2E77CD" w14:textId="0D9185ED" w:rsidR="0023750E" w:rsidRPr="008405D5" w:rsidRDefault="0023750E" w:rsidP="0023750E">
      <w:r>
        <w:t xml:space="preserve">Previous research has indicated that family and social factors such as dual parenthood can offset the risk of poor health outcomes </w:t>
      </w:r>
      <w:r w:rsidRPr="4DD4B70C">
        <w:rPr>
          <w:rFonts w:ascii="Calibri" w:eastAsia="Calibri" w:hAnsi="Calibri" w:cs="Calibri"/>
        </w:rPr>
        <w:t>(</w:t>
      </w:r>
      <w:r w:rsidRPr="000B7E95">
        <w:rPr>
          <w:rFonts w:ascii="Calibri" w:eastAsia="Calibri" w:hAnsi="Calibri" w:cs="Calibri"/>
        </w:rPr>
        <w:t>Reupert et al. 2013</w:t>
      </w:r>
      <w:r w:rsidRPr="4DD4B70C">
        <w:rPr>
          <w:rFonts w:ascii="Calibri" w:eastAsia="Calibri" w:hAnsi="Calibri" w:cs="Calibri"/>
        </w:rPr>
        <w:t xml:space="preserve">). </w:t>
      </w:r>
      <w:r>
        <w:t xml:space="preserve">We found that children in single parent households were more likely to access mental health services than children in dual parent families at 10.4 per cent and 6.7 per cent, respectively. </w:t>
      </w:r>
      <w:r w:rsidRPr="00847956">
        <w:t xml:space="preserve">The rate of developmental vulnerability of children with mental </w:t>
      </w:r>
      <w:r>
        <w:t>ill-health</w:t>
      </w:r>
      <w:r w:rsidRPr="00847956">
        <w:t xml:space="preserve"> decreased from 42 per cent in single</w:t>
      </w:r>
      <w:r>
        <w:t xml:space="preserve"> </w:t>
      </w:r>
      <w:r w:rsidRPr="00847956">
        <w:t>parent families to 33 per cent in partnered</w:t>
      </w:r>
      <w:r>
        <w:t xml:space="preserve"> </w:t>
      </w:r>
      <w:r w:rsidRPr="00847956">
        <w:t xml:space="preserve">parent </w:t>
      </w:r>
      <w:r w:rsidRPr="008405D5">
        <w:t>families.</w:t>
      </w:r>
    </w:p>
    <w:p w14:paraId="34B6E6CA" w14:textId="22CB8EF2" w:rsidR="0023750E" w:rsidRDefault="0023750E" w:rsidP="0023750E">
      <w:r>
        <w:t xml:space="preserve">The incidence of child mental ill-health ranges from 7 to 9 per cent, with a slightly higher incidence associated with lower socio-economic status. </w:t>
      </w:r>
      <w:r w:rsidRPr="008405D5">
        <w:t xml:space="preserve">Child mental </w:t>
      </w:r>
      <w:r>
        <w:t>ill-health</w:t>
      </w:r>
      <w:r w:rsidRPr="008405D5">
        <w:t xml:space="preserve"> was less prevalent in children from a language background other than English (4 per cent) compared to children from English language backgrounds (9 per cent). </w:t>
      </w:r>
      <w:r>
        <w:t>It is not clear if this reflects the difference in prevalence of mental ill-health in the two populations, a difference in the rate of mental health service access in these two populations, or a combination of both.</w:t>
      </w:r>
    </w:p>
    <w:p w14:paraId="67C09BD6" w14:textId="492E7C70" w:rsidR="0023750E" w:rsidRPr="002915DF" w:rsidRDefault="0023750E" w:rsidP="0023750E">
      <w:pPr>
        <w:spacing w:after="160"/>
        <w:rPr>
          <w:rFonts w:ascii="Calibri" w:hAnsi="Calibri" w:cs="Calibri"/>
          <w:b/>
          <w:bCs/>
          <w:color w:val="343741"/>
          <w:sz w:val="32"/>
          <w:szCs w:val="32"/>
          <w:shd w:val="clear" w:color="auto" w:fill="FFFFFF"/>
        </w:rPr>
      </w:pPr>
      <w:r>
        <w:t xml:space="preserve">Future research in this area will benefit from unpacking the interactions between other factors and mental health in greater depth, as well as using other health data such as hospitalisations. There is also </w:t>
      </w:r>
      <w:r w:rsidRPr="0066307B">
        <w:rPr>
          <w:rFonts w:ascii="Calibri" w:eastAsia="Times New Roman" w:hAnsi="Calibri" w:cs="Calibri"/>
        </w:rPr>
        <w:t>the need to specifically examine the impacts of early infant and child maltreatment and increased risk of developmental vulnerability, given the direct correlation established between child maltreatment and increased prevalence of mental health disorders (</w:t>
      </w:r>
      <w:r w:rsidR="009024A7">
        <w:rPr>
          <w:rFonts w:ascii="Calibri" w:eastAsia="Times New Roman" w:hAnsi="Calibri" w:cs="Calibri"/>
        </w:rPr>
        <w:t>Scott</w:t>
      </w:r>
      <w:r>
        <w:rPr>
          <w:rFonts w:ascii="Calibri" w:eastAsia="Times New Roman" w:hAnsi="Calibri" w:cs="Calibri"/>
        </w:rPr>
        <w:t xml:space="preserve"> </w:t>
      </w:r>
      <w:r w:rsidR="006712EA">
        <w:rPr>
          <w:rFonts w:ascii="Calibri" w:eastAsia="Times New Roman" w:hAnsi="Calibri" w:cs="Calibri"/>
        </w:rPr>
        <w:t>et al.</w:t>
      </w:r>
      <w:r>
        <w:rPr>
          <w:rFonts w:ascii="Calibri" w:eastAsia="Times New Roman" w:hAnsi="Calibri" w:cs="Calibri"/>
        </w:rPr>
        <w:t xml:space="preserve"> 2023</w:t>
      </w:r>
      <w:r w:rsidRPr="0066307B">
        <w:rPr>
          <w:rFonts w:ascii="Calibri" w:eastAsia="Times New Roman" w:hAnsi="Calibri" w:cs="Calibri"/>
        </w:rPr>
        <w:t>).</w:t>
      </w:r>
    </w:p>
    <w:p w14:paraId="63275361" w14:textId="77777777" w:rsidR="0023750E" w:rsidRPr="004E302D" w:rsidRDefault="0023750E" w:rsidP="00844477">
      <w:pPr>
        <w:pStyle w:val="Heading2"/>
      </w:pPr>
      <w:r w:rsidRPr="004E302D">
        <w:t>Refe</w:t>
      </w:r>
      <w:r w:rsidRPr="00604393">
        <w:t>renc</w:t>
      </w:r>
      <w:r w:rsidRPr="004E302D">
        <w:t>es</w:t>
      </w:r>
    </w:p>
    <w:p w14:paraId="76B6ACFE" w14:textId="63761B9A" w:rsidR="0023750E" w:rsidRDefault="0023750E" w:rsidP="0023750E">
      <w:pPr>
        <w:spacing w:line="276" w:lineRule="auto"/>
      </w:pPr>
      <w:r>
        <w:rPr>
          <w:rFonts w:ascii="Calibri" w:eastAsia="Calibri" w:hAnsi="Calibri" w:cs="Calibri"/>
        </w:rPr>
        <w:t xml:space="preserve">ABS </w:t>
      </w:r>
      <w:r w:rsidRPr="005D48C6">
        <w:rPr>
          <w:rFonts w:ascii="Calibri" w:eastAsia="Calibri" w:hAnsi="Calibri" w:cs="Calibri"/>
        </w:rPr>
        <w:t>(Australian Bureau of Statistics)</w:t>
      </w:r>
      <w:r>
        <w:rPr>
          <w:rFonts w:ascii="Calibri" w:eastAsia="Calibri" w:hAnsi="Calibri" w:cs="Calibri"/>
        </w:rPr>
        <w:t xml:space="preserve"> (</w:t>
      </w:r>
      <w:r w:rsidR="00AD240D">
        <w:rPr>
          <w:rFonts w:ascii="Calibri" w:eastAsia="Calibri" w:hAnsi="Calibri" w:cs="Calibri"/>
        </w:rPr>
        <w:t>201</w:t>
      </w:r>
      <w:r w:rsidR="0035436F">
        <w:rPr>
          <w:rFonts w:ascii="Calibri" w:eastAsia="Calibri" w:hAnsi="Calibri" w:cs="Calibri"/>
        </w:rPr>
        <w:t>3</w:t>
      </w:r>
      <w:r>
        <w:rPr>
          <w:rFonts w:ascii="Calibri" w:eastAsia="Calibri" w:hAnsi="Calibri" w:cs="Calibri"/>
        </w:rPr>
        <w:t>)</w:t>
      </w:r>
      <w:r>
        <w:t xml:space="preserve"> </w:t>
      </w:r>
      <w:hyperlink r:id="rId21" w:history="1">
        <w:r w:rsidR="00583984" w:rsidRPr="008A24DA">
          <w:rPr>
            <w:rStyle w:val="Hyperlink"/>
          </w:rPr>
          <w:t>‘</w:t>
        </w:r>
        <w:r w:rsidRPr="008A24DA">
          <w:rPr>
            <w:rStyle w:val="Hyperlink"/>
            <w:i w:val="0"/>
            <w:iCs/>
          </w:rPr>
          <w:t>Household economic wellbeing fact sheets</w:t>
        </w:r>
      </w:hyperlink>
      <w:r w:rsidR="00583984">
        <w:t>’</w:t>
      </w:r>
      <w:r w:rsidR="004D03E6">
        <w:t>,</w:t>
      </w:r>
      <w:r w:rsidR="00484F36">
        <w:t xml:space="preserve"> </w:t>
      </w:r>
      <w:r w:rsidR="003445C0" w:rsidRPr="008A24DA">
        <w:rPr>
          <w:i/>
        </w:rPr>
        <w:t xml:space="preserve">6523.0 </w:t>
      </w:r>
      <w:r w:rsidR="00034C6D" w:rsidRPr="008A24DA">
        <w:rPr>
          <w:i/>
        </w:rPr>
        <w:t>–</w:t>
      </w:r>
      <w:r w:rsidR="003445C0" w:rsidRPr="008A24DA">
        <w:rPr>
          <w:i/>
        </w:rPr>
        <w:t xml:space="preserve"> Household Income and Income Distribution, Australia, 2011</w:t>
      </w:r>
      <w:r w:rsidR="00F81834" w:rsidRPr="008A24DA">
        <w:rPr>
          <w:i/>
        </w:rPr>
        <w:t>–</w:t>
      </w:r>
      <w:r w:rsidR="003445C0" w:rsidRPr="008A24DA">
        <w:rPr>
          <w:i/>
        </w:rPr>
        <w:t>12</w:t>
      </w:r>
      <w:r w:rsidR="003445C0" w:rsidRPr="009C3F66">
        <w:rPr>
          <w:i/>
        </w:rPr>
        <w:t>,</w:t>
      </w:r>
      <w:r w:rsidR="00FC0323">
        <w:t xml:space="preserve"> </w:t>
      </w:r>
      <w:r w:rsidR="008B5104">
        <w:t xml:space="preserve">ABS, </w:t>
      </w:r>
      <w:r w:rsidR="00473B9B">
        <w:t xml:space="preserve">accessed </w:t>
      </w:r>
      <w:r w:rsidR="00012A77">
        <w:t>3 September 2024.</w:t>
      </w:r>
    </w:p>
    <w:p w14:paraId="74307BA0" w14:textId="04743DE8" w:rsidR="0023750E" w:rsidRDefault="0023750E" w:rsidP="0023750E">
      <w:pPr>
        <w:spacing w:line="276" w:lineRule="auto"/>
        <w:rPr>
          <w:rStyle w:val="normaltextrun"/>
          <w:rFonts w:cstheme="minorHAnsi"/>
          <w:color w:val="000000"/>
          <w:shd w:val="clear" w:color="auto" w:fill="FFFFFF"/>
        </w:rPr>
      </w:pPr>
      <w:r>
        <w:rPr>
          <w:rStyle w:val="normaltextrun"/>
          <w:rFonts w:cstheme="minorHAnsi"/>
          <w:color w:val="000000"/>
          <w:shd w:val="clear" w:color="auto" w:fill="FFFFFF"/>
        </w:rPr>
        <w:t>ABS (20</w:t>
      </w:r>
      <w:r w:rsidR="007676D7">
        <w:rPr>
          <w:rStyle w:val="normaltextrun"/>
          <w:rFonts w:cstheme="minorHAnsi"/>
          <w:color w:val="000000"/>
          <w:shd w:val="clear" w:color="auto" w:fill="FFFFFF"/>
        </w:rPr>
        <w:t>2</w:t>
      </w:r>
      <w:r w:rsidR="00531748">
        <w:rPr>
          <w:rStyle w:val="normaltextrun"/>
          <w:rFonts w:cstheme="minorHAnsi"/>
          <w:color w:val="000000"/>
          <w:shd w:val="clear" w:color="auto" w:fill="FFFFFF"/>
        </w:rPr>
        <w:t>2</w:t>
      </w:r>
      <w:r>
        <w:rPr>
          <w:rStyle w:val="normaltextrun"/>
          <w:rFonts w:cstheme="minorHAnsi"/>
          <w:color w:val="000000"/>
          <w:shd w:val="clear" w:color="auto" w:fill="FFFFFF"/>
        </w:rPr>
        <w:t>)</w:t>
      </w:r>
      <w:r w:rsidRPr="00E32A5D">
        <w:t xml:space="preserve"> </w:t>
      </w:r>
      <w:hyperlink r:id="rId22" w:history="1">
        <w:r w:rsidR="00502075" w:rsidRPr="00502075">
          <w:rPr>
            <w:rStyle w:val="Hyperlink"/>
          </w:rPr>
          <w:t>Household Income and Wealth, Australia, 2019</w:t>
        </w:r>
        <w:r w:rsidR="00F81834" w:rsidRPr="00F81834">
          <w:rPr>
            <w:rStyle w:val="Hyperlink"/>
          </w:rPr>
          <w:t>–</w:t>
        </w:r>
        <w:r w:rsidR="00502075" w:rsidRPr="00502075">
          <w:rPr>
            <w:rStyle w:val="Hyperlink"/>
          </w:rPr>
          <w:t>20</w:t>
        </w:r>
      </w:hyperlink>
      <w:r w:rsidR="00502075">
        <w:t xml:space="preserve">, </w:t>
      </w:r>
      <w:r w:rsidR="008B5104">
        <w:t xml:space="preserve">ABS, </w:t>
      </w:r>
      <w:r w:rsidR="00502075">
        <w:t>accessed 3 September 2024</w:t>
      </w:r>
    </w:p>
    <w:p w14:paraId="3A311F21" w14:textId="090D7CB1" w:rsidR="0023750E" w:rsidRPr="005D48C6" w:rsidRDefault="0023750E" w:rsidP="0023750E">
      <w:pPr>
        <w:rPr>
          <w:rStyle w:val="eop"/>
          <w:rFonts w:cstheme="minorHAnsi"/>
          <w:color w:val="000000"/>
          <w:shd w:val="clear" w:color="auto" w:fill="FFFFFF"/>
        </w:rPr>
      </w:pPr>
      <w:r w:rsidRPr="005D48C6">
        <w:rPr>
          <w:rStyle w:val="normaltextrun"/>
          <w:rFonts w:cstheme="minorHAnsi"/>
          <w:color w:val="000000"/>
          <w:shd w:val="clear" w:color="auto" w:fill="FFFFFF"/>
        </w:rPr>
        <w:t xml:space="preserve">AEDC </w:t>
      </w:r>
      <w:r w:rsidRPr="005D48C6">
        <w:rPr>
          <w:rFonts w:ascii="Calibri" w:eastAsia="Calibri" w:hAnsi="Calibri" w:cs="Calibri"/>
        </w:rPr>
        <w:t>(Australian Early Development Census)</w:t>
      </w:r>
      <w:r w:rsidRPr="005D48C6">
        <w:rPr>
          <w:rStyle w:val="normaltextrun"/>
          <w:rFonts w:cstheme="minorHAnsi"/>
          <w:color w:val="000000"/>
          <w:shd w:val="clear" w:color="auto" w:fill="FFFFFF"/>
        </w:rPr>
        <w:t xml:space="preserve"> (2019)</w:t>
      </w:r>
      <w:r w:rsidR="00DB3426">
        <w:t xml:space="preserve"> </w:t>
      </w:r>
      <w:hyperlink r:id="rId23" w:tgtFrame="_blank" w:history="1">
        <w:r w:rsidRPr="000226D6">
          <w:rPr>
            <w:rStyle w:val="Hyperlink"/>
          </w:rPr>
          <w:t>About the AEDC domains</w:t>
        </w:r>
      </w:hyperlink>
      <w:r w:rsidRPr="005D48C6">
        <w:rPr>
          <w:rStyle w:val="normaltextrun"/>
          <w:rFonts w:cstheme="minorHAnsi"/>
          <w:color w:val="000000"/>
          <w:shd w:val="clear" w:color="auto" w:fill="FFFFFF"/>
        </w:rPr>
        <w:t>, AEDC website, accessed 18 February 2021.</w:t>
      </w:r>
    </w:p>
    <w:p w14:paraId="098403AB" w14:textId="4DA28495" w:rsidR="0023750E" w:rsidRDefault="0023750E" w:rsidP="0023750E">
      <w:pPr>
        <w:rPr>
          <w:rFonts w:cstheme="minorHAnsi"/>
          <w:color w:val="222222"/>
          <w:shd w:val="clear" w:color="auto" w:fill="FFFFFF"/>
        </w:rPr>
      </w:pPr>
      <w:r>
        <w:rPr>
          <w:rFonts w:cstheme="minorHAnsi"/>
          <w:color w:val="222222"/>
          <w:shd w:val="clear" w:color="auto" w:fill="FFFFFF"/>
        </w:rPr>
        <w:t>AIHW</w:t>
      </w:r>
      <w:r w:rsidR="00DB3426">
        <w:rPr>
          <w:rFonts w:cstheme="minorHAnsi"/>
          <w:color w:val="222222"/>
          <w:shd w:val="clear" w:color="auto" w:fill="FFFFFF"/>
        </w:rPr>
        <w:t xml:space="preserve"> (Australian Institute of Health and Welfare</w:t>
      </w:r>
      <w:r w:rsidR="003B5EA5">
        <w:rPr>
          <w:rFonts w:cstheme="minorHAnsi"/>
          <w:color w:val="222222"/>
          <w:shd w:val="clear" w:color="auto" w:fill="FFFFFF"/>
        </w:rPr>
        <w:t>)</w:t>
      </w:r>
      <w:r>
        <w:rPr>
          <w:rFonts w:cstheme="minorHAnsi"/>
          <w:color w:val="222222"/>
          <w:shd w:val="clear" w:color="auto" w:fill="FFFFFF"/>
        </w:rPr>
        <w:t xml:space="preserve"> (2015) </w:t>
      </w:r>
      <w:hyperlink r:id="rId24" w:history="1">
        <w:r w:rsidRPr="00290217">
          <w:rPr>
            <w:rStyle w:val="Hyperlink"/>
            <w:rFonts w:cstheme="minorHAnsi"/>
            <w:shd w:val="clear" w:color="auto" w:fill="FFFFFF"/>
          </w:rPr>
          <w:t>Literature review of the impact of early childhood education and care on learning and development</w:t>
        </w:r>
      </w:hyperlink>
      <w:r w:rsidR="00B230E1">
        <w:t>, c</w:t>
      </w:r>
      <w:r w:rsidR="00D76533">
        <w:t>atalogue number</w:t>
      </w:r>
      <w:r>
        <w:t xml:space="preserve"> CWS 53</w:t>
      </w:r>
      <w:r w:rsidR="00FD0161">
        <w:t>,</w:t>
      </w:r>
      <w:r>
        <w:t xml:space="preserve"> </w:t>
      </w:r>
      <w:r w:rsidR="00012224">
        <w:t>AIHW, Australian Government</w:t>
      </w:r>
      <w:r w:rsidR="00FD0161">
        <w:t xml:space="preserve">, accessed 3 September 2024. </w:t>
      </w:r>
    </w:p>
    <w:p w14:paraId="4C58AF65" w14:textId="77777777" w:rsidR="00E0184B" w:rsidRPr="00906F41" w:rsidRDefault="00E0184B" w:rsidP="00E0184B">
      <w:r w:rsidRPr="00906F41">
        <w:t xml:space="preserve">AIHW (2020) </w:t>
      </w:r>
      <w:hyperlink r:id="rId25">
        <w:r w:rsidRPr="00906F41">
          <w:rPr>
            <w:rStyle w:val="Hyperlink"/>
            <w:iCs/>
          </w:rPr>
          <w:t>Australia's children</w:t>
        </w:r>
      </w:hyperlink>
      <w:r w:rsidRPr="00906F41">
        <w:t xml:space="preserve">, </w:t>
      </w:r>
      <w:r>
        <w:t xml:space="preserve">catalogue number </w:t>
      </w:r>
      <w:r w:rsidRPr="00B230E1">
        <w:t>CWS 69</w:t>
      </w:r>
      <w:r>
        <w:t xml:space="preserve">, </w:t>
      </w:r>
      <w:r w:rsidRPr="00906F41">
        <w:t xml:space="preserve">AIHW, Australian Government, accessed 26 February 2021. </w:t>
      </w:r>
    </w:p>
    <w:p w14:paraId="44828A0C" w14:textId="088A8643" w:rsidR="0023750E" w:rsidRPr="00906F41" w:rsidRDefault="0023750E" w:rsidP="0023750E">
      <w:r w:rsidRPr="00906F41">
        <w:t>Bell MF, Bayliss DM, Glauert R, Harrison A and Ohan JL (2016) ‘</w:t>
      </w:r>
      <w:r w:rsidRPr="005112BB">
        <w:rPr>
          <w:iCs/>
        </w:rPr>
        <w:t>Chronic illness and developmental vulnerability at school entry</w:t>
      </w:r>
      <w:r w:rsidRPr="00906F41">
        <w:t xml:space="preserve">’, </w:t>
      </w:r>
      <w:proofErr w:type="spellStart"/>
      <w:r w:rsidRPr="00906F41">
        <w:rPr>
          <w:i/>
          <w:iCs/>
        </w:rPr>
        <w:t>Pediatrics</w:t>
      </w:r>
      <w:proofErr w:type="spellEnd"/>
      <w:r w:rsidRPr="00906F41">
        <w:rPr>
          <w:i/>
          <w:iCs/>
        </w:rPr>
        <w:t xml:space="preserve">, </w:t>
      </w:r>
      <w:r w:rsidRPr="00906F41">
        <w:t>137(5</w:t>
      </w:r>
      <w:proofErr w:type="gramStart"/>
      <w:r w:rsidRPr="00906F41">
        <w:t>):e</w:t>
      </w:r>
      <w:proofErr w:type="gramEnd"/>
      <w:r w:rsidRPr="00906F41">
        <w:t>20152475, doi:10.1542/peds.2015-2475.</w:t>
      </w:r>
    </w:p>
    <w:p w14:paraId="5EF6B47E" w14:textId="0420CE8C" w:rsidR="0023750E" w:rsidRPr="00906F41" w:rsidRDefault="0023750E" w:rsidP="0023750E">
      <w:r w:rsidRPr="00906F41">
        <w:t>Bell MF, Bayliss DM, Glauert R, Harrison A and Ohan JL (2019) ‘</w:t>
      </w:r>
      <w:r w:rsidRPr="00C90147">
        <w:rPr>
          <w:iCs/>
        </w:rPr>
        <w:t>Children of parents who have been hospitalised with psychiatric disorders are at risk of poor school readiness</w:t>
      </w:r>
      <w:r w:rsidRPr="00906F41">
        <w:t xml:space="preserve">’, </w:t>
      </w:r>
      <w:r w:rsidRPr="00906F41">
        <w:rPr>
          <w:i/>
          <w:iCs/>
        </w:rPr>
        <w:t xml:space="preserve">Epidemiology and Psychiatric Sciences, </w:t>
      </w:r>
      <w:r w:rsidRPr="00906F41">
        <w:t>28(5):508</w:t>
      </w:r>
      <w:r w:rsidR="00F81834" w:rsidRPr="00F81834">
        <w:t>–</w:t>
      </w:r>
      <w:r w:rsidRPr="00906F41">
        <w:t>520, doi:10.1017/S2045796018000148.</w:t>
      </w:r>
    </w:p>
    <w:p w14:paraId="39772036" w14:textId="1BEB00F9" w:rsidR="0023750E" w:rsidRDefault="0023750E" w:rsidP="0023750E">
      <w:r w:rsidRPr="00906F41">
        <w:t xml:space="preserve">Brennan PA, Hammen C, Andersen MJ, </w:t>
      </w:r>
      <w:proofErr w:type="spellStart"/>
      <w:r w:rsidRPr="00906F41">
        <w:t>Bor</w:t>
      </w:r>
      <w:proofErr w:type="spellEnd"/>
      <w:r w:rsidRPr="00906F41">
        <w:t xml:space="preserve"> W, Najman JM and Williams GM (2000) ‘</w:t>
      </w:r>
      <w:r w:rsidRPr="00C90147">
        <w:rPr>
          <w:iCs/>
        </w:rPr>
        <w:t>Chronicity, severity, and timing of maternal depressive symptoms: relationships with child outcomes at age 5</w:t>
      </w:r>
      <w:r w:rsidRPr="00906F41">
        <w:t xml:space="preserve">’, </w:t>
      </w:r>
      <w:r w:rsidRPr="00906F41">
        <w:rPr>
          <w:i/>
          <w:iCs/>
        </w:rPr>
        <w:t xml:space="preserve">Developmental Psychology, </w:t>
      </w:r>
      <w:r w:rsidRPr="00906F41">
        <w:t>36(6):759</w:t>
      </w:r>
      <w:r w:rsidR="00F81834" w:rsidRPr="00F81834">
        <w:t>–</w:t>
      </w:r>
      <w:r w:rsidRPr="00906F41">
        <w:t>766, doi:10.1037//0012-1649.36.6.759.</w:t>
      </w:r>
    </w:p>
    <w:p w14:paraId="2A1B9AAD" w14:textId="21216EA5" w:rsidR="0023750E" w:rsidRPr="005D48C6" w:rsidRDefault="0023750E" w:rsidP="0023750E">
      <w:pPr>
        <w:spacing w:line="276" w:lineRule="auto"/>
      </w:pPr>
      <w:r w:rsidRPr="005D48C6">
        <w:t xml:space="preserve">Brooks-Gunn J, Duncan G, Klebanov PK and </w:t>
      </w:r>
      <w:proofErr w:type="spellStart"/>
      <w:r w:rsidRPr="005D48C6">
        <w:t>Sealand</w:t>
      </w:r>
      <w:proofErr w:type="spellEnd"/>
      <w:r w:rsidRPr="005D48C6">
        <w:t xml:space="preserve"> N (1993) ‘</w:t>
      </w:r>
      <w:r w:rsidRPr="00A57AFA">
        <w:rPr>
          <w:iCs/>
        </w:rPr>
        <w:t xml:space="preserve">Do </w:t>
      </w:r>
      <w:proofErr w:type="spellStart"/>
      <w:r w:rsidRPr="00A57AFA">
        <w:rPr>
          <w:iCs/>
        </w:rPr>
        <w:t>neighborhoods</w:t>
      </w:r>
      <w:proofErr w:type="spellEnd"/>
      <w:r w:rsidRPr="00A57AFA">
        <w:rPr>
          <w:iCs/>
        </w:rPr>
        <w:t xml:space="preserve"> influence child and adolescent development?</w:t>
      </w:r>
      <w:r w:rsidRPr="005D48C6">
        <w:t xml:space="preserve">’, </w:t>
      </w:r>
      <w:r w:rsidRPr="005D48C6">
        <w:rPr>
          <w:i/>
          <w:iCs/>
        </w:rPr>
        <w:t>American Journal of Sociology</w:t>
      </w:r>
      <w:r w:rsidRPr="005D48C6">
        <w:t>, 99(2):353</w:t>
      </w:r>
      <w:r w:rsidR="00B4425F" w:rsidRPr="00F81834">
        <w:t>–</w:t>
      </w:r>
      <w:r w:rsidRPr="005D48C6">
        <w:t>395, doi:10.1086/230268.</w:t>
      </w:r>
    </w:p>
    <w:p w14:paraId="00099746" w14:textId="447DB6E3" w:rsidR="0023750E" w:rsidRPr="005D48C6" w:rsidRDefault="0023750E" w:rsidP="0023750E">
      <w:proofErr w:type="spellStart"/>
      <w:r w:rsidRPr="005D48C6">
        <w:t>Chittleborough</w:t>
      </w:r>
      <w:proofErr w:type="spellEnd"/>
      <w:r w:rsidRPr="005D48C6">
        <w:t xml:space="preserve"> CR, Lawlor DA and Lynch JW (2011) ‘Young maternal age and poor child development: predictive validity from a birth cohort’, </w:t>
      </w:r>
      <w:proofErr w:type="spellStart"/>
      <w:r w:rsidRPr="005D48C6">
        <w:rPr>
          <w:i/>
          <w:iCs/>
        </w:rPr>
        <w:t>Pediatrics</w:t>
      </w:r>
      <w:proofErr w:type="spellEnd"/>
      <w:r w:rsidRPr="005D48C6">
        <w:rPr>
          <w:i/>
          <w:iCs/>
        </w:rPr>
        <w:t xml:space="preserve">, </w:t>
      </w:r>
      <w:r w:rsidRPr="005D48C6">
        <w:t>127(6):1436</w:t>
      </w:r>
      <w:r w:rsidR="00F81834" w:rsidRPr="00F81834">
        <w:t>–</w:t>
      </w:r>
      <w:r w:rsidRPr="005D48C6">
        <w:t>1444, doi:10.1542/peds.2010-3222.</w:t>
      </w:r>
    </w:p>
    <w:p w14:paraId="0AFD034B" w14:textId="5322BB90" w:rsidR="0023750E" w:rsidRPr="00906F41" w:rsidRDefault="0023750E" w:rsidP="0023750E">
      <w:proofErr w:type="spellStart"/>
      <w:r w:rsidRPr="00906F41">
        <w:t>Comaskey</w:t>
      </w:r>
      <w:proofErr w:type="spellEnd"/>
      <w:r w:rsidRPr="00906F41">
        <w:t xml:space="preserve"> B, </w:t>
      </w:r>
      <w:proofErr w:type="spellStart"/>
      <w:r w:rsidRPr="00906F41">
        <w:t>Roos</w:t>
      </w:r>
      <w:proofErr w:type="spellEnd"/>
      <w:r w:rsidRPr="00906F41">
        <w:t xml:space="preserve"> NP, Brownell M, Enns MW, Chateau D, Ruth CA and </w:t>
      </w:r>
      <w:proofErr w:type="spellStart"/>
      <w:r w:rsidRPr="00906F41">
        <w:t>Ekuma</w:t>
      </w:r>
      <w:proofErr w:type="spellEnd"/>
      <w:r w:rsidRPr="00906F41">
        <w:t xml:space="preserve"> O (2017) ‘</w:t>
      </w:r>
      <w:r w:rsidRPr="00C90147">
        <w:rPr>
          <w:iCs/>
        </w:rPr>
        <w:t>Maternal depression and anxiety disorders (MDAD) and child development: a Manitoba population-based study</w:t>
      </w:r>
      <w:r w:rsidRPr="00906F41">
        <w:t xml:space="preserve">’, </w:t>
      </w:r>
      <w:proofErr w:type="spellStart"/>
      <w:r w:rsidRPr="00906F41">
        <w:rPr>
          <w:i/>
          <w:iCs/>
        </w:rPr>
        <w:t>PLoS</w:t>
      </w:r>
      <w:proofErr w:type="spellEnd"/>
      <w:r w:rsidRPr="00906F41">
        <w:rPr>
          <w:i/>
          <w:iCs/>
        </w:rPr>
        <w:t xml:space="preserve"> One, </w:t>
      </w:r>
      <w:r w:rsidRPr="00906F41">
        <w:t>12(5</w:t>
      </w:r>
      <w:proofErr w:type="gramStart"/>
      <w:r w:rsidRPr="00906F41">
        <w:t>):e</w:t>
      </w:r>
      <w:proofErr w:type="gramEnd"/>
      <w:r w:rsidRPr="00906F41">
        <w:t xml:space="preserve">0177065, </w:t>
      </w:r>
      <w:proofErr w:type="gramStart"/>
      <w:r w:rsidRPr="00906F41">
        <w:t>doi:10.1371/journal.pone</w:t>
      </w:r>
      <w:proofErr w:type="gramEnd"/>
      <w:r w:rsidRPr="00906F41">
        <w:t>.0177065.</w:t>
      </w:r>
    </w:p>
    <w:p w14:paraId="277403D4" w14:textId="064D0407" w:rsidR="0023750E" w:rsidRPr="005D48C6" w:rsidRDefault="0023750E" w:rsidP="0023750E">
      <w:pPr>
        <w:spacing w:line="276" w:lineRule="auto"/>
      </w:pPr>
      <w:proofErr w:type="spellStart"/>
      <w:r w:rsidRPr="005D48C6">
        <w:t>Comuk</w:t>
      </w:r>
      <w:proofErr w:type="spellEnd"/>
      <w:r w:rsidRPr="005D48C6">
        <w:t xml:space="preserve">-Balci N, </w:t>
      </w:r>
      <w:proofErr w:type="spellStart"/>
      <w:r w:rsidRPr="005D48C6">
        <w:t>Bayoglu</w:t>
      </w:r>
      <w:proofErr w:type="spellEnd"/>
      <w:r w:rsidRPr="005D48C6">
        <w:t xml:space="preserve"> B, </w:t>
      </w:r>
      <w:proofErr w:type="spellStart"/>
      <w:r w:rsidRPr="005D48C6">
        <w:t>Tekindal</w:t>
      </w:r>
      <w:proofErr w:type="spellEnd"/>
      <w:r w:rsidRPr="005D48C6">
        <w:t xml:space="preserve"> A, Kerem-Gunel M and </w:t>
      </w:r>
      <w:proofErr w:type="spellStart"/>
      <w:r w:rsidRPr="005D48C6">
        <w:t>Anlar</w:t>
      </w:r>
      <w:proofErr w:type="spellEnd"/>
      <w:r w:rsidRPr="005D48C6">
        <w:t xml:space="preserve"> B (2016) ‘</w:t>
      </w:r>
      <w:r w:rsidRPr="00C90147">
        <w:rPr>
          <w:iCs/>
        </w:rPr>
        <w:t>Screening preschool children for fine motor skills: environmental influence</w:t>
      </w:r>
      <w:r w:rsidRPr="005D48C6">
        <w:t xml:space="preserve">’, </w:t>
      </w:r>
      <w:r w:rsidRPr="005D48C6">
        <w:rPr>
          <w:i/>
          <w:iCs/>
        </w:rPr>
        <w:t>Journal of Physical Therapy Science</w:t>
      </w:r>
      <w:r w:rsidRPr="005D48C6">
        <w:t>, 28(3):1026</w:t>
      </w:r>
      <w:r w:rsidR="00FD2C54">
        <w:t>–</w:t>
      </w:r>
      <w:r w:rsidRPr="005D48C6">
        <w:t>1031, doi:10.1589/jpts.28.1026.</w:t>
      </w:r>
    </w:p>
    <w:p w14:paraId="28C3AA43" w14:textId="448DEEC3" w:rsidR="0023750E" w:rsidRPr="005D48C6" w:rsidRDefault="0023750E" w:rsidP="0023750E">
      <w:pPr>
        <w:spacing w:line="276" w:lineRule="auto"/>
      </w:pPr>
      <w:r w:rsidRPr="005D48C6">
        <w:t>Coulton CJ, Richter F, Kim S-J, Fischer R and Cho Y (2016) ‘</w:t>
      </w:r>
      <w:r w:rsidRPr="00C90147">
        <w:rPr>
          <w:iCs/>
        </w:rPr>
        <w:t>Temporal effects of distressed housing on early childhood risk factors and kindergarten readiness</w:t>
      </w:r>
      <w:r w:rsidRPr="005D48C6">
        <w:t xml:space="preserve">’, </w:t>
      </w:r>
      <w:r w:rsidRPr="005D48C6">
        <w:rPr>
          <w:i/>
          <w:iCs/>
        </w:rPr>
        <w:t>Children and Youth Services Review</w:t>
      </w:r>
      <w:r w:rsidRPr="005D48C6">
        <w:t>, 68:59</w:t>
      </w:r>
      <w:r w:rsidR="00F81834" w:rsidRPr="00F81834">
        <w:t>–</w:t>
      </w:r>
      <w:r w:rsidRPr="005D48C6">
        <w:t xml:space="preserve">72, </w:t>
      </w:r>
      <w:proofErr w:type="gramStart"/>
      <w:r w:rsidRPr="005D48C6">
        <w:t>doi:10.1016/j.childyouth</w:t>
      </w:r>
      <w:proofErr w:type="gramEnd"/>
      <w:r w:rsidRPr="005D48C6">
        <w:t>.2016.06.017.</w:t>
      </w:r>
    </w:p>
    <w:p w14:paraId="2114CA47" w14:textId="2CF00BE4" w:rsidR="0023750E" w:rsidRPr="00C328BF" w:rsidRDefault="0023750E" w:rsidP="0023750E">
      <w:pPr>
        <w:rPr>
          <w:rFonts w:cstheme="minorHAnsi"/>
        </w:rPr>
      </w:pPr>
      <w:r w:rsidRPr="00C328BF">
        <w:rPr>
          <w:rFonts w:cstheme="minorHAnsi"/>
        </w:rPr>
        <w:t xml:space="preserve">DET </w:t>
      </w:r>
      <w:r w:rsidR="00C90147">
        <w:rPr>
          <w:rFonts w:cstheme="minorHAnsi"/>
        </w:rPr>
        <w:t xml:space="preserve">(Department of Education and Training) </w:t>
      </w:r>
      <w:r w:rsidRPr="00C328BF">
        <w:rPr>
          <w:rFonts w:cstheme="minorHAnsi"/>
        </w:rPr>
        <w:t xml:space="preserve">(2019) </w:t>
      </w:r>
      <w:hyperlink r:id="rId26" w:history="1">
        <w:r w:rsidRPr="00F663EF">
          <w:rPr>
            <w:rStyle w:val="Hyperlink"/>
          </w:rPr>
          <w:t>International Standard Classification of Education 2011 (ISCED 2011) to Australian Standard Classification of Education (ASCED) Concordance</w:t>
        </w:r>
      </w:hyperlink>
      <w:r w:rsidRPr="00C328BF">
        <w:rPr>
          <w:rFonts w:cstheme="minorHAnsi"/>
        </w:rPr>
        <w:t>, accessed January 2024.</w:t>
      </w:r>
    </w:p>
    <w:p w14:paraId="35A0CB1A" w14:textId="6231979B" w:rsidR="0023750E" w:rsidRPr="005D48C6" w:rsidRDefault="0023750E" w:rsidP="0023750E">
      <w:pPr>
        <w:rPr>
          <w:rFonts w:cs="Calibri"/>
          <w:color w:val="000000"/>
          <w:shd w:val="clear" w:color="auto" w:fill="FFFFFF"/>
        </w:rPr>
      </w:pPr>
      <w:r w:rsidRPr="005D48C6">
        <w:rPr>
          <w:rFonts w:ascii="Calibri" w:hAnsi="Calibri" w:cs="Calibri"/>
          <w:color w:val="000000"/>
          <w:shd w:val="clear" w:color="auto" w:fill="FFFFFF"/>
        </w:rPr>
        <w:t>Falster K, Hanly M, Banks E, Lynch J, Chambers G, Brownell M, Eades S</w:t>
      </w:r>
      <w:r w:rsidR="00E03745">
        <w:rPr>
          <w:rFonts w:ascii="Calibri" w:hAnsi="Calibri" w:cs="Calibri"/>
          <w:color w:val="000000"/>
          <w:shd w:val="clear" w:color="auto" w:fill="FFFFFF"/>
        </w:rPr>
        <w:t xml:space="preserve"> </w:t>
      </w:r>
      <w:r w:rsidRPr="005D48C6">
        <w:rPr>
          <w:rFonts w:ascii="Calibri" w:hAnsi="Calibri" w:cs="Calibri"/>
          <w:color w:val="000000"/>
          <w:shd w:val="clear" w:color="auto" w:fill="FFFFFF"/>
        </w:rPr>
        <w:t>and</w:t>
      </w:r>
      <w:r w:rsidR="00E03745">
        <w:rPr>
          <w:rFonts w:ascii="Calibri" w:hAnsi="Calibri" w:cs="Calibri"/>
          <w:color w:val="000000"/>
          <w:shd w:val="clear" w:color="auto" w:fill="FFFFFF"/>
        </w:rPr>
        <w:t xml:space="preserve"> </w:t>
      </w:r>
      <w:proofErr w:type="spellStart"/>
      <w:r w:rsidRPr="005D48C6">
        <w:rPr>
          <w:rFonts w:ascii="Calibri" w:hAnsi="Calibri" w:cs="Calibri"/>
          <w:color w:val="000000"/>
          <w:shd w:val="clear" w:color="auto" w:fill="FFFFFF"/>
        </w:rPr>
        <w:t>Jor</w:t>
      </w:r>
      <w:r w:rsidRPr="00934092">
        <w:rPr>
          <w:rFonts w:cs="Calibri"/>
          <w:shd w:val="clear" w:color="auto" w:fill="FFFFFF"/>
        </w:rPr>
        <w:t>m</w:t>
      </w:r>
      <w:proofErr w:type="spellEnd"/>
      <w:r w:rsidR="00E03745" w:rsidRPr="00934092">
        <w:rPr>
          <w:rFonts w:cs="Calibri"/>
          <w:shd w:val="clear" w:color="auto" w:fill="FFFFFF"/>
        </w:rPr>
        <w:t xml:space="preserve"> </w:t>
      </w:r>
      <w:r w:rsidRPr="00934092">
        <w:rPr>
          <w:rFonts w:cs="Calibri"/>
          <w:shd w:val="clear" w:color="auto" w:fill="FFFFFF"/>
        </w:rPr>
        <w:t>L (2018)</w:t>
      </w:r>
      <w:r w:rsidR="00E03745" w:rsidRPr="00934092">
        <w:rPr>
          <w:rFonts w:cs="Calibri"/>
          <w:shd w:val="clear" w:color="auto" w:fill="FFFFFF"/>
        </w:rPr>
        <w:t xml:space="preserve"> </w:t>
      </w:r>
      <w:r w:rsidRPr="00934092">
        <w:rPr>
          <w:rFonts w:cs="Calibri"/>
          <w:shd w:val="clear" w:color="auto" w:fill="FFFFFF"/>
        </w:rPr>
        <w:t>‘</w:t>
      </w:r>
      <w:r w:rsidRPr="00E03745">
        <w:rPr>
          <w:rFonts w:cs="Calibri"/>
          <w:shd w:val="clear" w:color="auto" w:fill="FFFFFF"/>
        </w:rPr>
        <w:t>Maternal age and offspring developmental vulnerability at age five: a population-based cohort study of Australian children’</w:t>
      </w:r>
      <w:r w:rsidRPr="005D48C6">
        <w:rPr>
          <w:rFonts w:ascii="Calibri" w:hAnsi="Calibri" w:cs="Calibri"/>
          <w:color w:val="000000"/>
          <w:shd w:val="clear" w:color="auto" w:fill="FFFFFF"/>
        </w:rPr>
        <w:t>,</w:t>
      </w:r>
      <w:r w:rsidR="00E03745">
        <w:rPr>
          <w:rFonts w:ascii="Calibri" w:hAnsi="Calibri" w:cs="Calibri"/>
          <w:color w:val="000000"/>
          <w:shd w:val="clear" w:color="auto" w:fill="FFFFFF"/>
        </w:rPr>
        <w:t xml:space="preserve"> </w:t>
      </w:r>
      <w:proofErr w:type="spellStart"/>
      <w:r w:rsidRPr="005D48C6">
        <w:rPr>
          <w:rFonts w:ascii="Calibri" w:hAnsi="Calibri" w:cs="Calibri"/>
          <w:i/>
          <w:iCs/>
          <w:color w:val="000000"/>
          <w:shd w:val="clear" w:color="auto" w:fill="FFFFFF"/>
        </w:rPr>
        <w:t>PLoS</w:t>
      </w:r>
      <w:proofErr w:type="spellEnd"/>
      <w:r w:rsidR="00E03745">
        <w:rPr>
          <w:rFonts w:ascii="Calibri" w:hAnsi="Calibri" w:cs="Calibri"/>
          <w:i/>
          <w:iCs/>
          <w:color w:val="000000"/>
          <w:shd w:val="clear" w:color="auto" w:fill="FFFFFF"/>
        </w:rPr>
        <w:t xml:space="preserve"> </w:t>
      </w:r>
      <w:r w:rsidRPr="005D48C6">
        <w:rPr>
          <w:rFonts w:ascii="Calibri" w:hAnsi="Calibri" w:cs="Calibri"/>
          <w:i/>
          <w:iCs/>
          <w:color w:val="000000"/>
          <w:shd w:val="clear" w:color="auto" w:fill="FFFFFF"/>
        </w:rPr>
        <w:t>Medicine,</w:t>
      </w:r>
      <w:r w:rsidR="00E03745">
        <w:rPr>
          <w:rFonts w:ascii="Calibri" w:hAnsi="Calibri" w:cs="Calibri"/>
          <w:color w:val="000000"/>
          <w:shd w:val="clear" w:color="auto" w:fill="FFFFFF"/>
        </w:rPr>
        <w:t xml:space="preserve"> </w:t>
      </w:r>
      <w:r w:rsidRPr="005D48C6">
        <w:rPr>
          <w:rFonts w:ascii="Calibri" w:hAnsi="Calibri" w:cs="Calibri"/>
          <w:color w:val="000000"/>
          <w:shd w:val="clear" w:color="auto" w:fill="FFFFFF"/>
        </w:rPr>
        <w:t>15(4</w:t>
      </w:r>
      <w:proofErr w:type="gramStart"/>
      <w:r w:rsidRPr="005D48C6">
        <w:rPr>
          <w:rFonts w:ascii="Calibri" w:hAnsi="Calibri" w:cs="Calibri"/>
          <w:color w:val="000000"/>
          <w:shd w:val="clear" w:color="auto" w:fill="FFFFFF"/>
        </w:rPr>
        <w:t>):e</w:t>
      </w:r>
      <w:proofErr w:type="gramEnd"/>
      <w:r w:rsidRPr="005D48C6">
        <w:rPr>
          <w:rFonts w:ascii="Calibri" w:hAnsi="Calibri" w:cs="Calibri"/>
          <w:color w:val="000000"/>
          <w:shd w:val="clear" w:color="auto" w:fill="FFFFFF"/>
        </w:rPr>
        <w:t>1002558,</w:t>
      </w:r>
      <w:r w:rsidRPr="005D48C6">
        <w:rPr>
          <w:rFonts w:cs="Calibri"/>
          <w:color w:val="000000"/>
          <w:shd w:val="clear" w:color="auto" w:fill="FFFFFF"/>
        </w:rPr>
        <w:t xml:space="preserve"> </w:t>
      </w:r>
      <w:proofErr w:type="gramStart"/>
      <w:r w:rsidRPr="005D48C6">
        <w:rPr>
          <w:rFonts w:cs="Calibri"/>
          <w:shd w:val="clear" w:color="auto" w:fill="FFFFFF"/>
        </w:rPr>
        <w:t>doi:10.1371/journal.pmed</w:t>
      </w:r>
      <w:proofErr w:type="gramEnd"/>
      <w:r w:rsidRPr="005D48C6">
        <w:rPr>
          <w:rFonts w:cs="Calibri"/>
          <w:shd w:val="clear" w:color="auto" w:fill="FFFFFF"/>
        </w:rPr>
        <w:t>.1002558.</w:t>
      </w:r>
    </w:p>
    <w:p w14:paraId="749C7EF5" w14:textId="0DCA6896" w:rsidR="0023750E" w:rsidRPr="00906F41" w:rsidRDefault="0023750E" w:rsidP="0023750E">
      <w:pPr>
        <w:rPr>
          <w:rStyle w:val="eop"/>
          <w:color w:val="000000" w:themeColor="text1"/>
        </w:rPr>
      </w:pPr>
      <w:r w:rsidRPr="00906F41">
        <w:t xml:space="preserve">Field T (2011) ‘Prenatal depression effects on early development: a review’, </w:t>
      </w:r>
      <w:r w:rsidRPr="00906F41">
        <w:rPr>
          <w:i/>
          <w:iCs/>
        </w:rPr>
        <w:t xml:space="preserve">Infant </w:t>
      </w:r>
      <w:proofErr w:type="spellStart"/>
      <w:r w:rsidRPr="00906F41">
        <w:rPr>
          <w:i/>
          <w:iCs/>
        </w:rPr>
        <w:t>Behavior</w:t>
      </w:r>
      <w:proofErr w:type="spellEnd"/>
      <w:r w:rsidRPr="00906F41">
        <w:rPr>
          <w:i/>
          <w:iCs/>
        </w:rPr>
        <w:t xml:space="preserve"> and Development, </w:t>
      </w:r>
      <w:r w:rsidRPr="00906F41">
        <w:t>34(1):1</w:t>
      </w:r>
      <w:r w:rsidR="00F81834" w:rsidRPr="00F81834">
        <w:t>–</w:t>
      </w:r>
      <w:r w:rsidRPr="00906F41">
        <w:t xml:space="preserve">14, </w:t>
      </w:r>
      <w:proofErr w:type="gramStart"/>
      <w:r w:rsidRPr="00906F41">
        <w:t>doi:10.1016/j.infbeh</w:t>
      </w:r>
      <w:proofErr w:type="gramEnd"/>
      <w:r w:rsidRPr="00906F41">
        <w:t>.2010.09.008.</w:t>
      </w:r>
    </w:p>
    <w:p w14:paraId="32BF6707" w14:textId="57DABCCA" w:rsidR="0023750E" w:rsidRPr="00FD0919" w:rsidRDefault="0023750E" w:rsidP="0023750E">
      <w:pPr>
        <w:rPr>
          <w:rFonts w:cs="Calibri"/>
          <w:color w:val="000000"/>
          <w:shd w:val="clear" w:color="auto" w:fill="FFFFFF"/>
        </w:rPr>
      </w:pPr>
      <w:r w:rsidRPr="005D48C6">
        <w:rPr>
          <w:rFonts w:ascii="Calibri" w:hAnsi="Calibri" w:cs="Calibri"/>
          <w:color w:val="000000"/>
          <w:shd w:val="clear" w:color="auto" w:fill="FFFFFF"/>
        </w:rPr>
        <w:t>Hanly M, Falster K, Banks E, Lynch J, Chambers GM, Brownell M, Dillon A, Eades S</w:t>
      </w:r>
      <w:r w:rsidR="00E03745">
        <w:rPr>
          <w:rFonts w:ascii="Calibri" w:hAnsi="Calibri" w:cs="Calibri"/>
          <w:color w:val="000000"/>
          <w:shd w:val="clear" w:color="auto" w:fill="FFFFFF"/>
        </w:rPr>
        <w:t xml:space="preserve"> </w:t>
      </w:r>
      <w:r w:rsidRPr="005D48C6">
        <w:rPr>
          <w:rFonts w:ascii="Calibri" w:hAnsi="Calibri" w:cs="Calibri"/>
          <w:color w:val="000000"/>
          <w:shd w:val="clear" w:color="auto" w:fill="FFFFFF"/>
        </w:rPr>
        <w:t>and</w:t>
      </w:r>
      <w:r w:rsidR="00E03745">
        <w:rPr>
          <w:rFonts w:ascii="Calibri" w:hAnsi="Calibri" w:cs="Calibri"/>
          <w:color w:val="000000"/>
          <w:shd w:val="clear" w:color="auto" w:fill="FFFFFF"/>
        </w:rPr>
        <w:t xml:space="preserve"> </w:t>
      </w:r>
      <w:proofErr w:type="spellStart"/>
      <w:r w:rsidRPr="005D48C6">
        <w:rPr>
          <w:rFonts w:ascii="Calibri" w:hAnsi="Calibri" w:cs="Calibri"/>
          <w:color w:val="000000"/>
          <w:shd w:val="clear" w:color="auto" w:fill="FFFFFF"/>
        </w:rPr>
        <w:t>Jorm</w:t>
      </w:r>
      <w:proofErr w:type="spellEnd"/>
      <w:r w:rsidR="00E03745">
        <w:rPr>
          <w:rFonts w:ascii="Calibri" w:hAnsi="Calibri" w:cs="Calibri"/>
          <w:color w:val="000000"/>
          <w:shd w:val="clear" w:color="auto" w:fill="FFFFFF"/>
        </w:rPr>
        <w:t xml:space="preserve"> </w:t>
      </w:r>
      <w:r w:rsidRPr="005D48C6">
        <w:rPr>
          <w:rFonts w:ascii="Calibri" w:hAnsi="Calibri" w:cs="Calibri"/>
          <w:color w:val="000000"/>
          <w:shd w:val="clear" w:color="auto" w:fill="FFFFFF"/>
        </w:rPr>
        <w:t>L (2020)</w:t>
      </w:r>
      <w:r w:rsidR="00E03745">
        <w:rPr>
          <w:rFonts w:ascii="Calibri" w:hAnsi="Calibri" w:cs="Calibri"/>
          <w:color w:val="000000"/>
          <w:shd w:val="clear" w:color="auto" w:fill="FFFFFF"/>
        </w:rPr>
        <w:t xml:space="preserve"> </w:t>
      </w:r>
      <w:r w:rsidRPr="005D48C6">
        <w:rPr>
          <w:rFonts w:ascii="Calibri" w:hAnsi="Calibri" w:cs="Calibri"/>
          <w:color w:val="000000"/>
          <w:shd w:val="clear" w:color="auto" w:fill="FFFFFF"/>
        </w:rPr>
        <w:t>‘Role of maternal age at birth in child development among Indigenous and non-Indigenous Australian children in their first school year: a population-based cohort study’,</w:t>
      </w:r>
      <w:r w:rsidR="00E03745">
        <w:rPr>
          <w:rFonts w:ascii="Calibri" w:hAnsi="Calibri" w:cs="Calibri"/>
          <w:color w:val="000000"/>
          <w:shd w:val="clear" w:color="auto" w:fill="FFFFFF"/>
        </w:rPr>
        <w:t xml:space="preserve"> </w:t>
      </w:r>
      <w:r w:rsidRPr="005D48C6">
        <w:rPr>
          <w:rFonts w:ascii="Calibri" w:hAnsi="Calibri" w:cs="Calibri"/>
          <w:i/>
          <w:iCs/>
          <w:color w:val="000000"/>
          <w:shd w:val="clear" w:color="auto" w:fill="FFFFFF"/>
        </w:rPr>
        <w:t>The Lancet Child &amp; Adolescent Health,</w:t>
      </w:r>
      <w:r w:rsidR="00E03745">
        <w:rPr>
          <w:rFonts w:ascii="Calibri" w:hAnsi="Calibri" w:cs="Calibri"/>
          <w:i/>
          <w:iCs/>
          <w:color w:val="000000"/>
          <w:shd w:val="clear" w:color="auto" w:fill="FFFFFF"/>
        </w:rPr>
        <w:t xml:space="preserve"> </w:t>
      </w:r>
      <w:r w:rsidRPr="005D48C6">
        <w:rPr>
          <w:rFonts w:ascii="Calibri" w:hAnsi="Calibri" w:cs="Calibri"/>
          <w:color w:val="000000"/>
          <w:shd w:val="clear" w:color="auto" w:fill="FFFFFF"/>
        </w:rPr>
        <w:t>4(1):46</w:t>
      </w:r>
      <w:r w:rsidR="00F81834" w:rsidRPr="00F81834">
        <w:rPr>
          <w:rFonts w:ascii="Calibri" w:hAnsi="Calibri" w:cs="Calibri"/>
          <w:color w:val="000000"/>
          <w:shd w:val="clear" w:color="auto" w:fill="FFFFFF"/>
        </w:rPr>
        <w:t>–</w:t>
      </w:r>
      <w:r w:rsidRPr="005D48C6">
        <w:rPr>
          <w:rFonts w:ascii="Calibri" w:hAnsi="Calibri" w:cs="Calibri"/>
          <w:color w:val="000000"/>
          <w:shd w:val="clear" w:color="auto" w:fill="FFFFFF"/>
        </w:rPr>
        <w:t>57,</w:t>
      </w:r>
      <w:r w:rsidR="00E03745">
        <w:rPr>
          <w:rFonts w:cs="Calibri"/>
          <w:color w:val="000000"/>
          <w:shd w:val="clear" w:color="auto" w:fill="FFFFFF"/>
        </w:rPr>
        <w:t xml:space="preserve"> </w:t>
      </w:r>
      <w:r w:rsidRPr="005D48C6">
        <w:rPr>
          <w:rFonts w:cs="Calibri"/>
          <w:shd w:val="clear" w:color="auto" w:fill="FFFFFF"/>
        </w:rPr>
        <w:t>doi:10.1016/s2352-4642(19)30334-7.</w:t>
      </w:r>
    </w:p>
    <w:p w14:paraId="73E05247" w14:textId="64DAB60D" w:rsidR="0023750E" w:rsidRPr="005D48C6" w:rsidRDefault="0023750E" w:rsidP="0023750E">
      <w:pPr>
        <w:spacing w:line="276" w:lineRule="auto"/>
      </w:pPr>
      <w:r w:rsidRPr="005D48C6">
        <w:t xml:space="preserve">Kohl HW and Hobbs KE (1998) ‘Development of physical activity behaviours among children and adolescents’, </w:t>
      </w:r>
      <w:proofErr w:type="spellStart"/>
      <w:r w:rsidRPr="005D48C6">
        <w:rPr>
          <w:i/>
          <w:iCs/>
        </w:rPr>
        <w:t>Pediatrics</w:t>
      </w:r>
      <w:proofErr w:type="spellEnd"/>
      <w:r w:rsidRPr="005D48C6">
        <w:t>, 101(Supplement 2):549</w:t>
      </w:r>
      <w:r w:rsidR="00F81834" w:rsidRPr="00F81834">
        <w:t>–</w:t>
      </w:r>
      <w:r w:rsidRPr="005D48C6">
        <w:t>554, doi:10.1542/</w:t>
      </w:r>
      <w:proofErr w:type="gramStart"/>
      <w:r w:rsidRPr="005D48C6">
        <w:t>peds.101.S</w:t>
      </w:r>
      <w:proofErr w:type="gramEnd"/>
      <w:r w:rsidRPr="005D48C6">
        <w:t>2.549.</w:t>
      </w:r>
    </w:p>
    <w:p w14:paraId="7FC16CB8" w14:textId="16654B05" w:rsidR="0023750E" w:rsidRPr="005D48C6" w:rsidRDefault="0023750E" w:rsidP="0023750E">
      <w:pPr>
        <w:spacing w:line="276" w:lineRule="auto"/>
      </w:pPr>
      <w:r w:rsidRPr="005D48C6">
        <w:t xml:space="preserve">Lapointe VR, Ford L and Zumbo BD (2007) ‘Examining the relationship between </w:t>
      </w:r>
      <w:proofErr w:type="spellStart"/>
      <w:r w:rsidRPr="005D48C6">
        <w:t>neighborhood</w:t>
      </w:r>
      <w:proofErr w:type="spellEnd"/>
      <w:r w:rsidRPr="005D48C6">
        <w:t xml:space="preserve"> environment and school readiness for kindergarten children’, </w:t>
      </w:r>
      <w:r w:rsidRPr="005D48C6">
        <w:rPr>
          <w:i/>
          <w:iCs/>
        </w:rPr>
        <w:t>Early Education and Development</w:t>
      </w:r>
      <w:r w:rsidRPr="005D48C6">
        <w:t>, 18(3):473</w:t>
      </w:r>
      <w:r w:rsidR="00F81834" w:rsidRPr="00F81834">
        <w:t>–</w:t>
      </w:r>
      <w:r w:rsidRPr="005D48C6">
        <w:t>495, doi:10.1080/10409280701610846.</w:t>
      </w:r>
    </w:p>
    <w:p w14:paraId="3A74C3A8" w14:textId="10449853" w:rsidR="0023750E" w:rsidRPr="00906F41" w:rsidRDefault="0023750E" w:rsidP="0023750E">
      <w:r w:rsidRPr="00906F41">
        <w:t xml:space="preserve">Laurens KR, Green MJ, Dean K, </w:t>
      </w:r>
      <w:proofErr w:type="spellStart"/>
      <w:r w:rsidRPr="00906F41">
        <w:t>Tzoumakis</w:t>
      </w:r>
      <w:proofErr w:type="spellEnd"/>
      <w:r w:rsidRPr="00906F41">
        <w:t xml:space="preserve"> S, Harris F, Islam F, Kariuki M, Essery CM, Schofield JM and Carr VJ (2019) ‘</w:t>
      </w:r>
      <w:r w:rsidRPr="00E03745">
        <w:rPr>
          <w:iCs/>
        </w:rPr>
        <w:t>Chronic physical health conditions, mental health, and sources of support in a longitudinal Australian child population cohort’</w:t>
      </w:r>
      <w:r w:rsidRPr="00906F41">
        <w:t>,</w:t>
      </w:r>
      <w:r w:rsidRPr="00906F41">
        <w:rPr>
          <w:i/>
          <w:iCs/>
        </w:rPr>
        <w:t xml:space="preserve"> Journal of </w:t>
      </w:r>
      <w:proofErr w:type="spellStart"/>
      <w:r w:rsidRPr="00906F41">
        <w:rPr>
          <w:i/>
          <w:iCs/>
        </w:rPr>
        <w:t>Pediatric</w:t>
      </w:r>
      <w:proofErr w:type="spellEnd"/>
      <w:r w:rsidRPr="00906F41">
        <w:rPr>
          <w:i/>
          <w:iCs/>
        </w:rPr>
        <w:t xml:space="preserve"> Psychology, </w:t>
      </w:r>
      <w:r w:rsidRPr="00906F41">
        <w:t>44(9):1083</w:t>
      </w:r>
      <w:r w:rsidR="00F81834" w:rsidRPr="00F81834">
        <w:t>–</w:t>
      </w:r>
      <w:r w:rsidRPr="00906F41">
        <w:t>1096, doi:10.1093/</w:t>
      </w:r>
      <w:proofErr w:type="spellStart"/>
      <w:r w:rsidRPr="00906F41">
        <w:t>jpepsy</w:t>
      </w:r>
      <w:proofErr w:type="spellEnd"/>
      <w:r w:rsidRPr="00906F41">
        <w:t>/jsz048.</w:t>
      </w:r>
    </w:p>
    <w:p w14:paraId="348EF9C9" w14:textId="56DF675C" w:rsidR="0023750E" w:rsidRPr="005D48C6" w:rsidRDefault="0023750E" w:rsidP="0023750E">
      <w:pPr>
        <w:spacing w:line="276" w:lineRule="auto"/>
      </w:pPr>
      <w:r w:rsidRPr="005D48C6">
        <w:t xml:space="preserve">Leventhal T and Brooks-Gunn J (2000) ‘The neighbourhoods they live in: the effects of neighbourhood residence on child and adolescent outcomes’, </w:t>
      </w:r>
      <w:r w:rsidRPr="005D48C6">
        <w:rPr>
          <w:i/>
          <w:iCs/>
        </w:rPr>
        <w:t>Psychological Bulletin</w:t>
      </w:r>
      <w:r w:rsidRPr="005D48C6">
        <w:t>, 126(2):309</w:t>
      </w:r>
      <w:r w:rsidR="00F81834" w:rsidRPr="00F81834">
        <w:t>–</w:t>
      </w:r>
      <w:r w:rsidRPr="005D48C6">
        <w:t>337, doi:10.1037/0033-2909.126.2.309.</w:t>
      </w:r>
    </w:p>
    <w:p w14:paraId="6C1171E7" w14:textId="5F7B3711" w:rsidR="0023750E" w:rsidRPr="005D48C6" w:rsidRDefault="0023750E" w:rsidP="0023750E">
      <w:pPr>
        <w:spacing w:line="276" w:lineRule="auto"/>
      </w:pPr>
      <w:r w:rsidRPr="005D48C6">
        <w:t xml:space="preserve">Noble KG, Houston SM, Brito NH, Bartsch H, Kan E, Kuperman JM, </w:t>
      </w:r>
      <w:proofErr w:type="spellStart"/>
      <w:r w:rsidRPr="005D48C6">
        <w:t>Akshoomoff</w:t>
      </w:r>
      <w:proofErr w:type="spellEnd"/>
      <w:r w:rsidRPr="005D48C6">
        <w:t xml:space="preserve"> N, Amaral DG, Bloss CS, </w:t>
      </w:r>
      <w:proofErr w:type="spellStart"/>
      <w:r w:rsidRPr="005D48C6">
        <w:t>Libiger</w:t>
      </w:r>
      <w:proofErr w:type="spellEnd"/>
      <w:r w:rsidRPr="005D48C6">
        <w:t xml:space="preserve"> O, Schork NJ, Murray SS, Casey BJ, Chang L, Ernst TM, Frazier JA, Gruen JR, Kennedy DN, Van Zijl P, </w:t>
      </w:r>
      <w:proofErr w:type="spellStart"/>
      <w:r w:rsidRPr="005D48C6">
        <w:t>Mostofsky</w:t>
      </w:r>
      <w:proofErr w:type="spellEnd"/>
      <w:r w:rsidRPr="005D48C6">
        <w:t xml:space="preserve"> S, Kaufmann WE, Kenet T, Dale AM, Jernigan TL and Sowell ER (2015) ‘</w:t>
      </w:r>
      <w:r w:rsidRPr="00524506">
        <w:rPr>
          <w:iCs/>
        </w:rPr>
        <w:t>Family income, parental education and brain structure in children and adolescents</w:t>
      </w:r>
      <w:r w:rsidRPr="005D48C6">
        <w:t xml:space="preserve">’, </w:t>
      </w:r>
      <w:r w:rsidRPr="005D48C6">
        <w:rPr>
          <w:i/>
          <w:iCs/>
        </w:rPr>
        <w:t>Nature Neuroscience</w:t>
      </w:r>
      <w:r w:rsidRPr="005D48C6">
        <w:t>, 18(5):773</w:t>
      </w:r>
      <w:r w:rsidR="00F81834" w:rsidRPr="00F81834">
        <w:t>–</w:t>
      </w:r>
      <w:r w:rsidRPr="005D48C6">
        <w:t>778, doi:10.1038/nn.3983.</w:t>
      </w:r>
    </w:p>
    <w:p w14:paraId="744B9B9B" w14:textId="36136F39" w:rsidR="0023750E" w:rsidRPr="005D48C6" w:rsidRDefault="0023750E" w:rsidP="0023750E">
      <w:pPr>
        <w:spacing w:line="276" w:lineRule="auto"/>
      </w:pPr>
      <w:r w:rsidRPr="005D48C6">
        <w:t>Oliver LN, Dunn JR, Kohen DE and Hertzman C (2007) ‘</w:t>
      </w:r>
      <w:r w:rsidRPr="00524506">
        <w:rPr>
          <w:iCs/>
        </w:rPr>
        <w:t>Do neighbourhoods influence the readiness to learn of kindergarten children in Vancouver? A multilevel analysis of neighbourhood effects’</w:t>
      </w:r>
      <w:r w:rsidRPr="005D48C6">
        <w:t xml:space="preserve">, </w:t>
      </w:r>
      <w:r w:rsidRPr="005D48C6">
        <w:rPr>
          <w:i/>
          <w:iCs/>
        </w:rPr>
        <w:t>Environment and Planning A</w:t>
      </w:r>
      <w:r w:rsidRPr="005D48C6">
        <w:t>, 39(4), 848</w:t>
      </w:r>
      <w:r w:rsidR="00F81834" w:rsidRPr="00F81834">
        <w:t>–</w:t>
      </w:r>
      <w:r w:rsidRPr="005D48C6">
        <w:t>868, doi:10.1068/a37126.</w:t>
      </w:r>
    </w:p>
    <w:p w14:paraId="139D90B5" w14:textId="77777777" w:rsidR="0023750E" w:rsidRPr="009A5D09" w:rsidRDefault="0023750E" w:rsidP="009A5D09">
      <w:pPr>
        <w:spacing w:line="276" w:lineRule="auto"/>
      </w:pPr>
      <w:r w:rsidRPr="005D48C6">
        <w:rPr>
          <w:rFonts w:eastAsiaTheme="majorEastAsia" w:cstheme="minorHAnsi"/>
          <w:color w:val="000000"/>
          <w:shd w:val="clear" w:color="auto" w:fill="FFFFFF"/>
        </w:rPr>
        <w:t xml:space="preserve">Queensland Health (2019) </w:t>
      </w:r>
      <w:hyperlink r:id="rId27" w:anchor="b436e85cc99acff38" w:history="1">
        <w:r w:rsidRPr="00524506">
          <w:rPr>
            <w:rStyle w:val="Hyperlink"/>
          </w:rPr>
          <w:t>Culturally and linguistically diverse children and their families – implications for paediatric and child development services in Queensland</w:t>
        </w:r>
      </w:hyperlink>
      <w:r w:rsidRPr="00011EBC">
        <w:rPr>
          <w:rFonts w:eastAsiaTheme="majorEastAsia" w:cstheme="minorHAnsi"/>
          <w:i/>
          <w:color w:val="000000"/>
          <w:shd w:val="clear" w:color="auto" w:fill="FFFFFF"/>
        </w:rPr>
        <w:t>,</w:t>
      </w:r>
      <w:r w:rsidRPr="005D48C6">
        <w:rPr>
          <w:rFonts w:eastAsiaTheme="majorEastAsia" w:cstheme="minorHAnsi"/>
          <w:color w:val="000000"/>
          <w:shd w:val="clear" w:color="auto" w:fill="FFFFFF"/>
        </w:rPr>
        <w:t xml:space="preserve"> Queensland Health, Queensland Government, accessed 8 January 2021. </w:t>
      </w:r>
    </w:p>
    <w:p w14:paraId="1EC52BEC" w14:textId="064ADFDC" w:rsidR="0023750E" w:rsidRDefault="0023750E" w:rsidP="0023750E">
      <w:pPr>
        <w:rPr>
          <w:rStyle w:val="normaltextrun"/>
          <w:color w:val="000000" w:themeColor="text1"/>
        </w:rPr>
      </w:pPr>
      <w:r w:rsidRPr="007A0282">
        <w:t>Raposa E, Hammen C, Brennan P and Najman J (2014) ‘The long-term effects of maternal depression: early childhood physical health as a pathway to offspring depression’</w:t>
      </w:r>
      <w:r w:rsidRPr="00906F41">
        <w:t xml:space="preserve">, </w:t>
      </w:r>
      <w:r w:rsidRPr="00906F41">
        <w:rPr>
          <w:i/>
          <w:iCs/>
        </w:rPr>
        <w:t xml:space="preserve">Journal of Adolescent Health, </w:t>
      </w:r>
      <w:r w:rsidRPr="00906F41">
        <w:t>54(1):88</w:t>
      </w:r>
      <w:r w:rsidR="00F81834" w:rsidRPr="00F81834">
        <w:t>–</w:t>
      </w:r>
      <w:r w:rsidRPr="00906F41">
        <w:t xml:space="preserve">93, </w:t>
      </w:r>
      <w:proofErr w:type="gramStart"/>
      <w:r w:rsidRPr="00906F41">
        <w:t>doi:10.1016/j.jadohealth</w:t>
      </w:r>
      <w:proofErr w:type="gramEnd"/>
      <w:r w:rsidRPr="00906F41">
        <w:t>.2013.07.038.</w:t>
      </w:r>
      <w:r w:rsidRPr="00F52C1F">
        <w:rPr>
          <w:rStyle w:val="normaltextrun"/>
          <w:color w:val="000000" w:themeColor="text1"/>
        </w:rPr>
        <w:t xml:space="preserve"> </w:t>
      </w:r>
    </w:p>
    <w:p w14:paraId="718CC083" w14:textId="59F19731" w:rsidR="0023750E" w:rsidRPr="00906F41" w:rsidRDefault="0023750E" w:rsidP="0023750E">
      <w:proofErr w:type="spellStart"/>
      <w:r w:rsidRPr="00906F41">
        <w:t>Razaz</w:t>
      </w:r>
      <w:proofErr w:type="spellEnd"/>
      <w:r w:rsidRPr="00906F41">
        <w:t xml:space="preserve"> N, Joseph KS, Boyce WT, </w:t>
      </w:r>
      <w:proofErr w:type="spellStart"/>
      <w:r w:rsidRPr="00906F41">
        <w:t>Guhn</w:t>
      </w:r>
      <w:proofErr w:type="spellEnd"/>
      <w:r w:rsidRPr="00906F41">
        <w:t xml:space="preserve"> M, Forer B, Carruthers R, Marrie RA and Tremlett H (2016) </w:t>
      </w:r>
      <w:r w:rsidRPr="007A0282">
        <w:t>‘</w:t>
      </w:r>
      <w:r w:rsidRPr="00524506">
        <w:rPr>
          <w:iCs/>
        </w:rPr>
        <w:t>Children of chronically ill parents: relationship between parental multiple sclerosis and childhood developmental health’</w:t>
      </w:r>
      <w:r w:rsidRPr="00906F41">
        <w:t xml:space="preserve">, </w:t>
      </w:r>
      <w:r w:rsidRPr="00906F41">
        <w:rPr>
          <w:i/>
          <w:iCs/>
        </w:rPr>
        <w:t xml:space="preserve">Multiple Sclerosis, </w:t>
      </w:r>
      <w:r w:rsidRPr="00906F41">
        <w:t>22(11):1452</w:t>
      </w:r>
      <w:r w:rsidR="00F81834" w:rsidRPr="00F81834">
        <w:t>–</w:t>
      </w:r>
      <w:r w:rsidRPr="00906F41">
        <w:t>1462, doi:10.1177/1352458515621624.</w:t>
      </w:r>
    </w:p>
    <w:p w14:paraId="3FC25B46" w14:textId="3F331D6E" w:rsidR="0023750E" w:rsidRPr="00906F41" w:rsidRDefault="0023750E" w:rsidP="0023750E">
      <w:r w:rsidRPr="00906F41">
        <w:t xml:space="preserve">Reupert AE, </w:t>
      </w:r>
      <w:proofErr w:type="spellStart"/>
      <w:r w:rsidRPr="00906F41">
        <w:t>Maybery</w:t>
      </w:r>
      <w:proofErr w:type="spellEnd"/>
      <w:r w:rsidRPr="00906F41">
        <w:t xml:space="preserve"> DJ and Kowalenko NM (2013</w:t>
      </w:r>
      <w:r w:rsidRPr="007A0282">
        <w:t>) ‘</w:t>
      </w:r>
      <w:r w:rsidRPr="00F35FD2">
        <w:rPr>
          <w:iCs/>
        </w:rPr>
        <w:t>Children whose parents have a mental illness: prevalence, need and treatment</w:t>
      </w:r>
      <w:r w:rsidRPr="007A0282">
        <w:t>’</w:t>
      </w:r>
      <w:r w:rsidRPr="00906F41">
        <w:t xml:space="preserve">, </w:t>
      </w:r>
      <w:r w:rsidRPr="00906F41">
        <w:rPr>
          <w:i/>
          <w:iCs/>
        </w:rPr>
        <w:t xml:space="preserve">The Medical Journal of Australia, </w:t>
      </w:r>
      <w:r w:rsidRPr="00906F41">
        <w:t>199(3</w:t>
      </w:r>
      <w:proofErr w:type="gramStart"/>
      <w:r w:rsidRPr="00906F41">
        <w:t>):S</w:t>
      </w:r>
      <w:proofErr w:type="gramEnd"/>
      <w:r w:rsidRPr="00906F41">
        <w:t>7</w:t>
      </w:r>
      <w:r w:rsidR="00F81834" w:rsidRPr="00F81834">
        <w:t>–</w:t>
      </w:r>
      <w:r w:rsidRPr="00906F41">
        <w:t>S9, doi:10.5694/mja11.11200.</w:t>
      </w:r>
    </w:p>
    <w:p w14:paraId="46EA11F7" w14:textId="2BC643BF" w:rsidR="009A5D09" w:rsidRPr="00906F41" w:rsidRDefault="009A5D09" w:rsidP="0023750E">
      <w:r w:rsidRPr="009A5D09">
        <w:t xml:space="preserve">Scott JG, </w:t>
      </w:r>
      <w:proofErr w:type="spellStart"/>
      <w:r w:rsidRPr="009A5D09">
        <w:t>Malacova</w:t>
      </w:r>
      <w:proofErr w:type="spellEnd"/>
      <w:r w:rsidRPr="009A5D09">
        <w:t xml:space="preserve"> E, Mathews B, Haslam</w:t>
      </w:r>
      <w:r>
        <w:t xml:space="preserve"> </w:t>
      </w:r>
      <w:r w:rsidRPr="009A5D09">
        <w:t xml:space="preserve">DM, Pacella R, Higgins DJ, </w:t>
      </w:r>
      <w:proofErr w:type="spellStart"/>
      <w:r w:rsidRPr="009A5D09">
        <w:t>Meinck</w:t>
      </w:r>
      <w:proofErr w:type="spellEnd"/>
      <w:r w:rsidRPr="009A5D09">
        <w:t xml:space="preserve"> F, Dunne</w:t>
      </w:r>
      <w:r>
        <w:t xml:space="preserve"> </w:t>
      </w:r>
      <w:r w:rsidRPr="009A5D09">
        <w:t xml:space="preserve">MP, </w:t>
      </w:r>
      <w:proofErr w:type="spellStart"/>
      <w:r w:rsidRPr="009A5D09">
        <w:t>Finkelhor</w:t>
      </w:r>
      <w:proofErr w:type="spellEnd"/>
      <w:r>
        <w:t xml:space="preserve"> </w:t>
      </w:r>
      <w:r w:rsidRPr="009A5D09">
        <w:t xml:space="preserve">D, Erskine HE, Lawrence DM and Thomas HJ (2023) The association between child maltreatment and mental disorders in the Australian Child Maltreatment Study. </w:t>
      </w:r>
      <w:r w:rsidRPr="004D140E">
        <w:rPr>
          <w:i/>
          <w:iCs/>
        </w:rPr>
        <w:t>Me</w:t>
      </w:r>
      <w:r w:rsidR="004D140E" w:rsidRPr="004D140E">
        <w:rPr>
          <w:i/>
          <w:iCs/>
        </w:rPr>
        <w:t>dical Journal of Australia</w:t>
      </w:r>
      <w:r w:rsidRPr="009A5D09">
        <w:t>, 218: S26</w:t>
      </w:r>
      <w:r w:rsidR="004D140E" w:rsidRPr="00F81834">
        <w:t>–</w:t>
      </w:r>
      <w:r w:rsidRPr="009A5D09">
        <w:t>S33</w:t>
      </w:r>
      <w:r w:rsidR="00AD02D6">
        <w:t>,</w:t>
      </w:r>
      <w:r w:rsidR="004D140E">
        <w:t xml:space="preserve"> </w:t>
      </w:r>
      <w:r w:rsidR="00AD02D6">
        <w:t>d</w:t>
      </w:r>
      <w:r w:rsidR="004D140E">
        <w:t>oi:</w:t>
      </w:r>
      <w:r w:rsidR="004D140E" w:rsidRPr="004D140E">
        <w:rPr>
          <w:iCs/>
        </w:rPr>
        <w:t>10.5694/mja2.51870</w:t>
      </w:r>
      <w:r w:rsidR="00AD02D6">
        <w:rPr>
          <w:iCs/>
        </w:rPr>
        <w:t>.</w:t>
      </w:r>
    </w:p>
    <w:p w14:paraId="5B2D37C6" w14:textId="3540EAEF" w:rsidR="0023750E" w:rsidRPr="00906F41" w:rsidRDefault="0023750E" w:rsidP="0023750E">
      <w:pPr>
        <w:rPr>
          <w:rStyle w:val="eop"/>
          <w:color w:val="000000" w:themeColor="text1"/>
        </w:rPr>
      </w:pPr>
      <w:r w:rsidRPr="00906F41">
        <w:rPr>
          <w:rStyle w:val="normaltextrun"/>
          <w:color w:val="000000" w:themeColor="text1"/>
        </w:rPr>
        <w:t xml:space="preserve">Social Research Centre (2019) </w:t>
      </w:r>
      <w:hyperlink r:id="rId28" w:history="1">
        <w:r w:rsidRPr="00906F41">
          <w:rPr>
            <w:rStyle w:val="Hyperlink"/>
          </w:rPr>
          <w:t>2018 AEDC Data Collection Technical Report</w:t>
        </w:r>
      </w:hyperlink>
      <w:r w:rsidRPr="00906F41">
        <w:rPr>
          <w:rStyle w:val="normaltextrun"/>
          <w:color w:val="000000" w:themeColor="text1"/>
        </w:rPr>
        <w:t xml:space="preserve">, </w:t>
      </w:r>
      <w:r w:rsidR="00650153">
        <w:rPr>
          <w:rStyle w:val="normaltextrun"/>
          <w:color w:val="000000" w:themeColor="text1"/>
        </w:rPr>
        <w:t xml:space="preserve">report to </w:t>
      </w:r>
      <w:r w:rsidRPr="00906F41">
        <w:rPr>
          <w:rStyle w:val="normaltextrun"/>
          <w:color w:val="000000" w:themeColor="text1"/>
        </w:rPr>
        <w:t xml:space="preserve">Australian Government Department of Education, </w:t>
      </w:r>
      <w:r w:rsidR="00656EDB">
        <w:rPr>
          <w:rStyle w:val="normaltextrun"/>
          <w:color w:val="000000" w:themeColor="text1"/>
        </w:rPr>
        <w:t>Soci</w:t>
      </w:r>
      <w:r w:rsidR="00D44677">
        <w:rPr>
          <w:rStyle w:val="normaltextrun"/>
          <w:color w:val="000000" w:themeColor="text1"/>
        </w:rPr>
        <w:t xml:space="preserve">al Research Centre, </w:t>
      </w:r>
      <w:r w:rsidRPr="00906F41">
        <w:rPr>
          <w:rStyle w:val="normaltextrun"/>
          <w:color w:val="000000" w:themeColor="text1"/>
        </w:rPr>
        <w:t>accessed January 2024</w:t>
      </w:r>
    </w:p>
    <w:p w14:paraId="70C17AEC" w14:textId="7C915874" w:rsidR="0023750E" w:rsidRPr="00906F41" w:rsidRDefault="0023750E" w:rsidP="0023750E">
      <w:proofErr w:type="spellStart"/>
      <w:r w:rsidRPr="00906F41">
        <w:rPr>
          <w:rFonts w:ascii="Calibri" w:eastAsia="Calibri" w:hAnsi="Calibri" w:cs="Calibri"/>
        </w:rPr>
        <w:t>Sohr</w:t>
      </w:r>
      <w:proofErr w:type="spellEnd"/>
      <w:r w:rsidRPr="00906F41">
        <w:rPr>
          <w:rFonts w:ascii="Calibri" w:eastAsia="Calibri" w:hAnsi="Calibri" w:cs="Calibri"/>
        </w:rPr>
        <w:t xml:space="preserve">-Preston SL and Scaramella LV (2006) ‘Implications of timing of maternal depressive symptoms for early cognitive and language development’, </w:t>
      </w:r>
      <w:r w:rsidRPr="00906F41">
        <w:rPr>
          <w:rFonts w:ascii="Calibri" w:eastAsia="Calibri" w:hAnsi="Calibri" w:cs="Calibri"/>
          <w:i/>
          <w:iCs/>
        </w:rPr>
        <w:t xml:space="preserve">Clinical Child and Family Psychology Review, </w:t>
      </w:r>
      <w:r w:rsidRPr="00906F41">
        <w:rPr>
          <w:rFonts w:ascii="Calibri" w:eastAsia="Calibri" w:hAnsi="Calibri" w:cs="Calibri"/>
        </w:rPr>
        <w:t>9(1):65</w:t>
      </w:r>
      <w:r w:rsidR="00F81834" w:rsidRPr="00F81834">
        <w:rPr>
          <w:rFonts w:ascii="Calibri" w:eastAsia="Calibri" w:hAnsi="Calibri" w:cs="Calibri"/>
        </w:rPr>
        <w:t>–</w:t>
      </w:r>
      <w:r w:rsidRPr="00906F41">
        <w:rPr>
          <w:rFonts w:ascii="Calibri" w:eastAsia="Calibri" w:hAnsi="Calibri" w:cs="Calibri"/>
        </w:rPr>
        <w:t>83, doi:10.1007/S10567-006-0004-2.</w:t>
      </w:r>
    </w:p>
    <w:p w14:paraId="0C5AD515" w14:textId="5EBCD62F" w:rsidR="0023750E" w:rsidRPr="005D48C6" w:rsidRDefault="0023750E" w:rsidP="0023750E">
      <w:pPr>
        <w:spacing w:line="276" w:lineRule="auto"/>
      </w:pPr>
      <w:proofErr w:type="spellStart"/>
      <w:r w:rsidRPr="005D48C6">
        <w:t>Venetsanou</w:t>
      </w:r>
      <w:proofErr w:type="spellEnd"/>
      <w:r w:rsidRPr="005D48C6">
        <w:t xml:space="preserve">, F and </w:t>
      </w:r>
      <w:proofErr w:type="spellStart"/>
      <w:r w:rsidRPr="005D48C6">
        <w:t>Kambas</w:t>
      </w:r>
      <w:proofErr w:type="spellEnd"/>
      <w:r w:rsidRPr="005D48C6">
        <w:t xml:space="preserve"> A (2010) ‘</w:t>
      </w:r>
      <w:r w:rsidRPr="00820CD5">
        <w:rPr>
          <w:iCs/>
        </w:rPr>
        <w:t>Environmental factors affecting preschoolers’ motor development’</w:t>
      </w:r>
      <w:r w:rsidRPr="005D48C6">
        <w:t xml:space="preserve">, </w:t>
      </w:r>
      <w:r w:rsidRPr="005D48C6">
        <w:rPr>
          <w:i/>
          <w:iCs/>
        </w:rPr>
        <w:t>Early Childhood Education Journal</w:t>
      </w:r>
      <w:r w:rsidRPr="005D48C6">
        <w:t>, 37(4):319</w:t>
      </w:r>
      <w:r w:rsidR="00F81834" w:rsidRPr="00F81834">
        <w:t>–</w:t>
      </w:r>
      <w:r w:rsidRPr="005D48C6">
        <w:t>327, doi:10.1007/s10643-009-0350-z.</w:t>
      </w:r>
    </w:p>
    <w:p w14:paraId="553C01B1" w14:textId="77777777" w:rsidR="0023750E" w:rsidRPr="00BF24D1" w:rsidRDefault="0023750E" w:rsidP="004F5886">
      <w:pPr>
        <w:spacing w:line="276" w:lineRule="auto"/>
      </w:pPr>
      <w:proofErr w:type="spellStart"/>
      <w:r w:rsidRPr="005D48C6">
        <w:rPr>
          <w:rFonts w:eastAsiaTheme="majorEastAsia" w:cstheme="minorHAnsi"/>
          <w:color w:val="000000"/>
          <w:shd w:val="clear" w:color="auto" w:fill="FFFFFF"/>
        </w:rPr>
        <w:t>Washbrook</w:t>
      </w:r>
      <w:proofErr w:type="spellEnd"/>
      <w:r w:rsidR="00E03745">
        <w:rPr>
          <w:rFonts w:eastAsiaTheme="majorEastAsia" w:cstheme="minorHAnsi"/>
          <w:color w:val="000000"/>
          <w:shd w:val="clear" w:color="auto" w:fill="FFFFFF"/>
        </w:rPr>
        <w:t xml:space="preserve"> </w:t>
      </w:r>
      <w:r w:rsidRPr="005D48C6">
        <w:rPr>
          <w:rFonts w:eastAsiaTheme="majorEastAsia" w:cstheme="minorHAnsi"/>
          <w:color w:val="000000"/>
          <w:shd w:val="clear" w:color="auto" w:fill="FFFFFF"/>
        </w:rPr>
        <w:t xml:space="preserve">E, Waldfogel J, Bradbury B, Corak M and </w:t>
      </w:r>
      <w:proofErr w:type="spellStart"/>
      <w:r w:rsidRPr="005D48C6">
        <w:rPr>
          <w:rFonts w:eastAsiaTheme="majorEastAsia" w:cstheme="minorHAnsi"/>
          <w:color w:val="000000"/>
          <w:shd w:val="clear" w:color="auto" w:fill="FFFFFF"/>
        </w:rPr>
        <w:t>Ghanghro</w:t>
      </w:r>
      <w:proofErr w:type="spellEnd"/>
      <w:r w:rsidR="00E03745">
        <w:rPr>
          <w:rFonts w:eastAsiaTheme="majorEastAsia" w:cstheme="minorHAnsi"/>
          <w:color w:val="000000"/>
          <w:shd w:val="clear" w:color="auto" w:fill="FFFFFF"/>
        </w:rPr>
        <w:t xml:space="preserve"> </w:t>
      </w:r>
      <w:r w:rsidRPr="005D48C6">
        <w:rPr>
          <w:rFonts w:eastAsiaTheme="majorEastAsia" w:cstheme="minorHAnsi"/>
          <w:color w:val="000000"/>
          <w:shd w:val="clear" w:color="auto" w:fill="FFFFFF"/>
        </w:rPr>
        <w:t>AA (2012) ‘The development of young children of immigrants in Australia, Canada, the United Kingdom, and the United States’,</w:t>
      </w:r>
      <w:r w:rsidR="00E03745">
        <w:rPr>
          <w:rFonts w:eastAsiaTheme="majorEastAsia" w:cstheme="minorHAnsi"/>
          <w:color w:val="000000"/>
          <w:shd w:val="clear" w:color="auto" w:fill="FFFFFF"/>
        </w:rPr>
        <w:t xml:space="preserve"> </w:t>
      </w:r>
      <w:r w:rsidRPr="005D48C6">
        <w:rPr>
          <w:rFonts w:eastAsiaTheme="majorEastAsia" w:cstheme="minorHAnsi"/>
          <w:i/>
          <w:iCs/>
          <w:color w:val="000000"/>
          <w:shd w:val="clear" w:color="auto" w:fill="FFFFFF"/>
        </w:rPr>
        <w:t>Child Development</w:t>
      </w:r>
      <w:r w:rsidRPr="005D48C6">
        <w:rPr>
          <w:rFonts w:eastAsiaTheme="majorEastAsia" w:cstheme="minorHAnsi"/>
          <w:color w:val="000000"/>
          <w:shd w:val="clear" w:color="auto" w:fill="FFFFFF"/>
        </w:rPr>
        <w:t>, 83(5):1591</w:t>
      </w:r>
      <w:r w:rsidR="00F81834" w:rsidRPr="00F81834">
        <w:rPr>
          <w:rFonts w:eastAsiaTheme="majorEastAsia" w:cstheme="minorHAnsi"/>
          <w:color w:val="000000"/>
          <w:shd w:val="clear" w:color="auto" w:fill="FFFFFF"/>
        </w:rPr>
        <w:t>–</w:t>
      </w:r>
      <w:r w:rsidRPr="005D48C6">
        <w:rPr>
          <w:rFonts w:eastAsiaTheme="majorEastAsia" w:cstheme="minorHAnsi"/>
          <w:color w:val="000000"/>
          <w:shd w:val="clear" w:color="auto" w:fill="FFFFFF"/>
        </w:rPr>
        <w:t>1607,</w:t>
      </w:r>
      <w:r w:rsidR="00E03745">
        <w:rPr>
          <w:rFonts w:eastAsiaTheme="majorEastAsia" w:cstheme="minorHAnsi"/>
          <w:color w:val="000000"/>
          <w:shd w:val="clear" w:color="auto" w:fill="FFFFFF"/>
        </w:rPr>
        <w:t xml:space="preserve"> </w:t>
      </w:r>
      <w:r w:rsidRPr="005D48C6">
        <w:rPr>
          <w:rFonts w:eastAsiaTheme="majorEastAsia" w:cstheme="minorHAnsi"/>
          <w:shd w:val="clear" w:color="auto" w:fill="FFFFFF"/>
        </w:rPr>
        <w:t>doi:10.1111/j.1467-8624.2012.</w:t>
      </w:r>
      <w:proofErr w:type="gramStart"/>
      <w:r w:rsidRPr="005D48C6">
        <w:rPr>
          <w:rFonts w:eastAsiaTheme="majorEastAsia" w:cstheme="minorHAnsi"/>
          <w:shd w:val="clear" w:color="auto" w:fill="FFFFFF"/>
        </w:rPr>
        <w:t>01796.x.</w:t>
      </w:r>
      <w:proofErr w:type="gramEnd"/>
    </w:p>
    <w:p w14:paraId="21ABA25C" w14:textId="77777777" w:rsidR="00BF24D1" w:rsidRDefault="0023750E" w:rsidP="00BF24D1">
      <w:pPr>
        <w:spacing w:line="276" w:lineRule="auto"/>
      </w:pPr>
      <w:r w:rsidRPr="005D48C6">
        <w:t xml:space="preserve">Willms JD (2002) ‘Socioeconomic gradients for childhood vulnerability’, in Willms JD (ed) </w:t>
      </w:r>
      <w:r w:rsidRPr="005D48C6">
        <w:rPr>
          <w:i/>
          <w:iCs/>
        </w:rPr>
        <w:t xml:space="preserve">Vulnerable children: findings from Canada’s national longitudinal survey of children and youth, </w:t>
      </w:r>
      <w:r w:rsidRPr="005D48C6">
        <w:t>University of Alberta Press, Edmonton.</w:t>
      </w:r>
    </w:p>
    <w:p w14:paraId="56CE74AE" w14:textId="1C13CE8E" w:rsidR="0023750E" w:rsidRDefault="0023750E" w:rsidP="0023750E">
      <w:pPr>
        <w:spacing w:line="276" w:lineRule="auto"/>
      </w:pPr>
      <w:r w:rsidRPr="005D48C6">
        <w:rPr>
          <w:rFonts w:ascii="Calibri" w:hAnsi="Calibri" w:cs="Calibri"/>
          <w:color w:val="000000"/>
          <w:shd w:val="clear" w:color="auto" w:fill="FFFFFF"/>
        </w:rPr>
        <w:t>World Bank (2021)</w:t>
      </w:r>
      <w:r w:rsidR="00E03745">
        <w:rPr>
          <w:rFonts w:ascii="Calibri" w:hAnsi="Calibri" w:cs="Calibri"/>
          <w:color w:val="000000"/>
          <w:shd w:val="clear" w:color="auto" w:fill="FFFFFF"/>
        </w:rPr>
        <w:t xml:space="preserve"> </w:t>
      </w:r>
      <w:hyperlink r:id="rId29" w:tgtFrame="_blank" w:history="1">
        <w:r w:rsidRPr="005D48C6">
          <w:rPr>
            <w:rFonts w:ascii="Calibri" w:hAnsi="Calibri" w:cs="Calibri"/>
            <w:i/>
            <w:iCs/>
            <w:color w:val="287BB3"/>
            <w:u w:val="single"/>
            <w:shd w:val="clear" w:color="auto" w:fill="FFFFFF"/>
          </w:rPr>
          <w:t>GDP per capita, (current US$)</w:t>
        </w:r>
      </w:hyperlink>
      <w:r w:rsidRPr="005D48C6">
        <w:rPr>
          <w:rFonts w:ascii="Calibri" w:hAnsi="Calibri" w:cs="Calibri"/>
          <w:i/>
          <w:iCs/>
          <w:color w:val="000000"/>
          <w:shd w:val="clear" w:color="auto" w:fill="FFFFFF"/>
        </w:rPr>
        <w:t xml:space="preserve"> </w:t>
      </w:r>
      <w:r w:rsidRPr="005D48C6">
        <w:rPr>
          <w:rFonts w:ascii="Calibri" w:hAnsi="Calibri" w:cs="Calibri"/>
          <w:color w:val="000000"/>
          <w:shd w:val="clear" w:color="auto" w:fill="FFFFFF"/>
        </w:rPr>
        <w:t>[data set],</w:t>
      </w:r>
      <w:r w:rsidR="00E03745">
        <w:rPr>
          <w:rFonts w:ascii="Calibri" w:hAnsi="Calibri" w:cs="Calibri"/>
          <w:i/>
          <w:iCs/>
          <w:color w:val="000000"/>
          <w:shd w:val="clear" w:color="auto" w:fill="FFFFFF"/>
        </w:rPr>
        <w:t xml:space="preserve"> </w:t>
      </w:r>
      <w:r w:rsidRPr="005D48C6">
        <w:rPr>
          <w:rFonts w:ascii="Calibri" w:hAnsi="Calibri" w:cs="Calibri"/>
          <w:color w:val="000000"/>
          <w:shd w:val="clear" w:color="auto" w:fill="FFFFFF"/>
        </w:rPr>
        <w:t>World Bank website,</w:t>
      </w:r>
      <w:r w:rsidR="00E03745">
        <w:rPr>
          <w:rFonts w:ascii="Calibri" w:hAnsi="Calibri" w:cs="Calibri"/>
          <w:color w:val="000000"/>
          <w:shd w:val="clear" w:color="auto" w:fill="FFFFFF"/>
        </w:rPr>
        <w:t xml:space="preserve"> </w:t>
      </w:r>
      <w:r w:rsidRPr="005D48C6">
        <w:rPr>
          <w:rFonts w:ascii="Calibri" w:hAnsi="Calibri" w:cs="Calibri"/>
          <w:color w:val="000000"/>
          <w:shd w:val="clear" w:color="auto" w:fill="FFFFFF"/>
        </w:rPr>
        <w:t>accessed</w:t>
      </w:r>
      <w:r w:rsidR="00E03745">
        <w:rPr>
          <w:rFonts w:ascii="Calibri" w:hAnsi="Calibri" w:cs="Calibri"/>
          <w:color w:val="000000"/>
          <w:shd w:val="clear" w:color="auto" w:fill="FFFFFF"/>
        </w:rPr>
        <w:t xml:space="preserve"> </w:t>
      </w:r>
      <w:r w:rsidRPr="005D48C6">
        <w:rPr>
          <w:rFonts w:ascii="Calibri" w:hAnsi="Calibri" w:cs="Calibri"/>
          <w:color w:val="000000"/>
          <w:shd w:val="clear" w:color="auto" w:fill="FFFFFF"/>
        </w:rPr>
        <w:t>8 February 2021.</w:t>
      </w:r>
      <w:r w:rsidR="00E03745">
        <w:rPr>
          <w:rFonts w:cs="Calibri"/>
          <w:color w:val="000000"/>
          <w:shd w:val="clear" w:color="auto" w:fill="FFFFFF"/>
        </w:rPr>
        <w:t xml:space="preserve"> </w:t>
      </w:r>
    </w:p>
    <w:p w14:paraId="6EB57A0E" w14:textId="495F1F70" w:rsidR="00107DD5" w:rsidRDefault="00107DD5" w:rsidP="00CA4815">
      <w:r>
        <w:rPr>
          <w:noProof/>
        </w:rPr>
        <w:drawing>
          <wp:inline distT="0" distB="0" distL="0" distR="0" wp14:anchorId="69392FEF" wp14:editId="51F0CDB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271600" cy="554400"/>
                    </a:xfrm>
                    <a:prstGeom prst="rect">
                      <a:avLst/>
                    </a:prstGeom>
                  </pic:spPr>
                </pic:pic>
              </a:graphicData>
            </a:graphic>
          </wp:inline>
        </w:drawing>
      </w:r>
    </w:p>
    <w:sectPr w:rsidR="00107DD5" w:rsidSect="00D86284">
      <w:footerReference w:type="default" r:id="rId3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32DB" w14:textId="77777777" w:rsidR="00716D14" w:rsidRDefault="00716D14" w:rsidP="000A6228">
      <w:pPr>
        <w:spacing w:after="0" w:line="240" w:lineRule="auto"/>
      </w:pPr>
      <w:r>
        <w:separator/>
      </w:r>
    </w:p>
  </w:endnote>
  <w:endnote w:type="continuationSeparator" w:id="0">
    <w:p w14:paraId="70361B48" w14:textId="77777777" w:rsidR="00716D14" w:rsidRDefault="00716D14" w:rsidP="000A6228">
      <w:pPr>
        <w:spacing w:after="0" w:line="240" w:lineRule="auto"/>
      </w:pPr>
      <w:r>
        <w:continuationSeparator/>
      </w:r>
    </w:p>
  </w:endnote>
  <w:endnote w:type="continuationNotice" w:id="1">
    <w:p w14:paraId="278AA532" w14:textId="77777777" w:rsidR="00716D14" w:rsidRDefault="00716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AE0" w14:textId="77777777" w:rsidR="00D86284" w:rsidRDefault="00D86284">
    <w:pPr>
      <w:pStyle w:val="Footer"/>
    </w:pPr>
    <w:r>
      <w:rPr>
        <w:noProof/>
      </w:rPr>
      <w:drawing>
        <wp:anchor distT="0" distB="0" distL="114300" distR="114300" simplePos="0" relativeHeight="251658240" behindDoc="1" locked="1" layoutInCell="1" allowOverlap="1" wp14:anchorId="69C8E39D" wp14:editId="5AD0F58B">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668A" w14:textId="77777777" w:rsidR="00716D14" w:rsidRDefault="00716D14" w:rsidP="000A6228">
      <w:pPr>
        <w:spacing w:after="0" w:line="240" w:lineRule="auto"/>
      </w:pPr>
      <w:r>
        <w:separator/>
      </w:r>
    </w:p>
  </w:footnote>
  <w:footnote w:type="continuationSeparator" w:id="0">
    <w:p w14:paraId="7C3FBD6F" w14:textId="77777777" w:rsidR="00716D14" w:rsidRDefault="00716D14" w:rsidP="000A6228">
      <w:pPr>
        <w:spacing w:after="0" w:line="240" w:lineRule="auto"/>
      </w:pPr>
      <w:r>
        <w:continuationSeparator/>
      </w:r>
    </w:p>
  </w:footnote>
  <w:footnote w:type="continuationNotice" w:id="1">
    <w:p w14:paraId="7C0C3A33" w14:textId="77777777" w:rsidR="00716D14" w:rsidRDefault="00716D14">
      <w:pPr>
        <w:spacing w:after="0" w:line="240" w:lineRule="auto"/>
      </w:pPr>
    </w:p>
  </w:footnote>
  <w:footnote w:id="2">
    <w:p w14:paraId="436C8A24" w14:textId="2942AB86" w:rsidR="0023750E" w:rsidRDefault="0023750E" w:rsidP="0023750E">
      <w:pPr>
        <w:pStyle w:val="FootnoteText"/>
      </w:pPr>
      <w:r>
        <w:rPr>
          <w:rStyle w:val="FootnoteReference"/>
        </w:rPr>
        <w:footnoteRef/>
      </w:r>
      <w:r>
        <w:t xml:space="preserve"> </w:t>
      </w:r>
      <w:r>
        <w:rPr>
          <w:sz w:val="18"/>
          <w:szCs w:val="18"/>
        </w:rPr>
        <w:t>The education details recorded in the AEDC are collected from school enrolment records</w:t>
      </w:r>
      <w:r w:rsidR="005E3CB9">
        <w:rPr>
          <w:sz w:val="18"/>
          <w:szCs w:val="18"/>
        </w:rPr>
        <w:t>, which</w:t>
      </w:r>
      <w:r>
        <w:rPr>
          <w:sz w:val="18"/>
          <w:szCs w:val="18"/>
        </w:rPr>
        <w:t xml:space="preserve"> collect</w:t>
      </w:r>
      <w:r w:rsidR="005E3CB9">
        <w:rPr>
          <w:sz w:val="18"/>
          <w:szCs w:val="18"/>
        </w:rPr>
        <w:t xml:space="preserve"> data</w:t>
      </w:r>
      <w:r>
        <w:rPr>
          <w:sz w:val="18"/>
          <w:szCs w:val="18"/>
        </w:rPr>
        <w:t xml:space="preserve"> for up to two parents or carers.</w:t>
      </w:r>
    </w:p>
  </w:footnote>
  <w:footnote w:id="3">
    <w:p w14:paraId="35FC4F76" w14:textId="77777777" w:rsidR="0023750E" w:rsidRDefault="0023750E" w:rsidP="0023750E">
      <w:pPr>
        <w:pStyle w:val="FootnoteText"/>
      </w:pPr>
      <w:r>
        <w:rPr>
          <w:rStyle w:val="FootnoteReference"/>
        </w:rPr>
        <w:footnoteRef/>
      </w:r>
      <w:r>
        <w:t xml:space="preserve"> The parent or carer variable in AEDC does not individually identify the parent or carer and cannot be directly linked to the parent identity used in the single parent household information.</w:t>
      </w:r>
    </w:p>
  </w:footnote>
  <w:footnote w:id="4">
    <w:p w14:paraId="2B81272D" w14:textId="77777777" w:rsidR="0023750E" w:rsidRDefault="0023750E" w:rsidP="0023750E">
      <w:pPr>
        <w:pStyle w:val="FootnoteText"/>
      </w:pPr>
      <w:r>
        <w:rPr>
          <w:rStyle w:val="FootnoteReference"/>
        </w:rPr>
        <w:footnoteRef/>
      </w:r>
      <w:r>
        <w:t xml:space="preserve"> World Bank data on 2019 GDP per capita in US Dollars (World Bank 2021).</w:t>
      </w:r>
    </w:p>
  </w:footnote>
  <w:footnote w:id="5">
    <w:p w14:paraId="14C8C3DD" w14:textId="1BF8D5BE" w:rsidR="0023750E" w:rsidRDefault="0023750E" w:rsidP="0023750E">
      <w:pPr>
        <w:pStyle w:val="FootnoteText"/>
      </w:pPr>
      <w:r>
        <w:rPr>
          <w:rStyle w:val="FootnoteReference"/>
        </w:rPr>
        <w:footnoteRef/>
      </w:r>
      <w:r>
        <w:t xml:space="preserve"> Children with special needs (as identified by the AEDC): mental ill-health 46%, chronic physical ill-health 57%, N = 13,593. Children without special needs: mental ill-health 8%, chronic physical ill-health</w:t>
      </w:r>
      <w:r w:rsidR="005E3CB9">
        <w:t xml:space="preserve"> </w:t>
      </w:r>
      <w:r>
        <w:t>12%, N = 279,648.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61843"/>
    <w:multiLevelType w:val="hybridMultilevel"/>
    <w:tmpl w:val="14B6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BA3888"/>
    <w:multiLevelType w:val="hybridMultilevel"/>
    <w:tmpl w:val="ED706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735DF3"/>
    <w:multiLevelType w:val="hybridMultilevel"/>
    <w:tmpl w:val="ED8E1A50"/>
    <w:lvl w:ilvl="0" w:tplc="E69ECD50">
      <w:start w:val="1"/>
      <w:numFmt w:val="bullet"/>
      <w:lvlText w:val=""/>
      <w:lvlJc w:val="left"/>
      <w:pPr>
        <w:ind w:left="720" w:hanging="360"/>
      </w:pPr>
      <w:rPr>
        <w:rFonts w:ascii="Symbol" w:hAnsi="Symbol" w:hint="default"/>
      </w:rPr>
    </w:lvl>
    <w:lvl w:ilvl="1" w:tplc="2B68B5FC">
      <w:start w:val="1"/>
      <w:numFmt w:val="bullet"/>
      <w:lvlText w:val="o"/>
      <w:lvlJc w:val="left"/>
      <w:pPr>
        <w:ind w:left="1440" w:hanging="360"/>
      </w:pPr>
      <w:rPr>
        <w:rFonts w:ascii="Courier New" w:hAnsi="Courier New" w:hint="default"/>
      </w:rPr>
    </w:lvl>
    <w:lvl w:ilvl="2" w:tplc="38487860">
      <w:start w:val="1"/>
      <w:numFmt w:val="bullet"/>
      <w:lvlText w:val=""/>
      <w:lvlJc w:val="left"/>
      <w:pPr>
        <w:ind w:left="2160" w:hanging="360"/>
      </w:pPr>
      <w:rPr>
        <w:rFonts w:ascii="Wingdings" w:hAnsi="Wingdings" w:hint="default"/>
      </w:rPr>
    </w:lvl>
    <w:lvl w:ilvl="3" w:tplc="76C267E2">
      <w:start w:val="1"/>
      <w:numFmt w:val="bullet"/>
      <w:lvlText w:val=""/>
      <w:lvlJc w:val="left"/>
      <w:pPr>
        <w:ind w:left="2880" w:hanging="360"/>
      </w:pPr>
      <w:rPr>
        <w:rFonts w:ascii="Symbol" w:hAnsi="Symbol" w:hint="default"/>
      </w:rPr>
    </w:lvl>
    <w:lvl w:ilvl="4" w:tplc="D00611EC">
      <w:start w:val="1"/>
      <w:numFmt w:val="bullet"/>
      <w:lvlText w:val="o"/>
      <w:lvlJc w:val="left"/>
      <w:pPr>
        <w:ind w:left="3600" w:hanging="360"/>
      </w:pPr>
      <w:rPr>
        <w:rFonts w:ascii="Courier New" w:hAnsi="Courier New" w:hint="default"/>
      </w:rPr>
    </w:lvl>
    <w:lvl w:ilvl="5" w:tplc="CCB6E696">
      <w:start w:val="1"/>
      <w:numFmt w:val="bullet"/>
      <w:lvlText w:val=""/>
      <w:lvlJc w:val="left"/>
      <w:pPr>
        <w:ind w:left="4320" w:hanging="360"/>
      </w:pPr>
      <w:rPr>
        <w:rFonts w:ascii="Wingdings" w:hAnsi="Wingdings" w:hint="default"/>
      </w:rPr>
    </w:lvl>
    <w:lvl w:ilvl="6" w:tplc="A5289686">
      <w:start w:val="1"/>
      <w:numFmt w:val="bullet"/>
      <w:lvlText w:val=""/>
      <w:lvlJc w:val="left"/>
      <w:pPr>
        <w:ind w:left="5040" w:hanging="360"/>
      </w:pPr>
      <w:rPr>
        <w:rFonts w:ascii="Symbol" w:hAnsi="Symbol" w:hint="default"/>
      </w:rPr>
    </w:lvl>
    <w:lvl w:ilvl="7" w:tplc="1234B764">
      <w:start w:val="1"/>
      <w:numFmt w:val="bullet"/>
      <w:lvlText w:val="o"/>
      <w:lvlJc w:val="left"/>
      <w:pPr>
        <w:ind w:left="5760" w:hanging="360"/>
      </w:pPr>
      <w:rPr>
        <w:rFonts w:ascii="Courier New" w:hAnsi="Courier New" w:hint="default"/>
      </w:rPr>
    </w:lvl>
    <w:lvl w:ilvl="8" w:tplc="27069788">
      <w:start w:val="1"/>
      <w:numFmt w:val="bullet"/>
      <w:lvlText w:val=""/>
      <w:lvlJc w:val="left"/>
      <w:pPr>
        <w:ind w:left="6480" w:hanging="360"/>
      </w:pPr>
      <w:rPr>
        <w:rFonts w:ascii="Wingdings" w:hAnsi="Wingdings" w:hint="default"/>
      </w:rPr>
    </w:lvl>
  </w:abstractNum>
  <w:abstractNum w:abstractNumId="13"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4" w15:restartNumberingAfterBreak="0">
    <w:nsid w:val="06A046F1"/>
    <w:multiLevelType w:val="hybridMultilevel"/>
    <w:tmpl w:val="90E08916"/>
    <w:lvl w:ilvl="0" w:tplc="AF7A51EC">
      <w:start w:val="1"/>
      <w:numFmt w:val="bullet"/>
      <w:lvlText w:val="•"/>
      <w:lvlJc w:val="left"/>
      <w:pPr>
        <w:tabs>
          <w:tab w:val="num" w:pos="720"/>
        </w:tabs>
        <w:ind w:left="720" w:hanging="360"/>
      </w:pPr>
      <w:rPr>
        <w:rFonts w:ascii="Arial" w:hAnsi="Arial" w:hint="default"/>
      </w:rPr>
    </w:lvl>
    <w:lvl w:ilvl="1" w:tplc="3B664C5E" w:tentative="1">
      <w:start w:val="1"/>
      <w:numFmt w:val="bullet"/>
      <w:lvlText w:val="•"/>
      <w:lvlJc w:val="left"/>
      <w:pPr>
        <w:tabs>
          <w:tab w:val="num" w:pos="1440"/>
        </w:tabs>
        <w:ind w:left="1440" w:hanging="360"/>
      </w:pPr>
      <w:rPr>
        <w:rFonts w:ascii="Arial" w:hAnsi="Arial" w:hint="default"/>
      </w:rPr>
    </w:lvl>
    <w:lvl w:ilvl="2" w:tplc="2634173A" w:tentative="1">
      <w:start w:val="1"/>
      <w:numFmt w:val="bullet"/>
      <w:lvlText w:val="•"/>
      <w:lvlJc w:val="left"/>
      <w:pPr>
        <w:tabs>
          <w:tab w:val="num" w:pos="2160"/>
        </w:tabs>
        <w:ind w:left="2160" w:hanging="360"/>
      </w:pPr>
      <w:rPr>
        <w:rFonts w:ascii="Arial" w:hAnsi="Arial" w:hint="default"/>
      </w:rPr>
    </w:lvl>
    <w:lvl w:ilvl="3" w:tplc="8C96BD64" w:tentative="1">
      <w:start w:val="1"/>
      <w:numFmt w:val="bullet"/>
      <w:lvlText w:val="•"/>
      <w:lvlJc w:val="left"/>
      <w:pPr>
        <w:tabs>
          <w:tab w:val="num" w:pos="2880"/>
        </w:tabs>
        <w:ind w:left="2880" w:hanging="360"/>
      </w:pPr>
      <w:rPr>
        <w:rFonts w:ascii="Arial" w:hAnsi="Arial" w:hint="default"/>
      </w:rPr>
    </w:lvl>
    <w:lvl w:ilvl="4" w:tplc="3DFC623E" w:tentative="1">
      <w:start w:val="1"/>
      <w:numFmt w:val="bullet"/>
      <w:lvlText w:val="•"/>
      <w:lvlJc w:val="left"/>
      <w:pPr>
        <w:tabs>
          <w:tab w:val="num" w:pos="3600"/>
        </w:tabs>
        <w:ind w:left="3600" w:hanging="360"/>
      </w:pPr>
      <w:rPr>
        <w:rFonts w:ascii="Arial" w:hAnsi="Arial" w:hint="default"/>
      </w:rPr>
    </w:lvl>
    <w:lvl w:ilvl="5" w:tplc="84345F50" w:tentative="1">
      <w:start w:val="1"/>
      <w:numFmt w:val="bullet"/>
      <w:lvlText w:val="•"/>
      <w:lvlJc w:val="left"/>
      <w:pPr>
        <w:tabs>
          <w:tab w:val="num" w:pos="4320"/>
        </w:tabs>
        <w:ind w:left="4320" w:hanging="360"/>
      </w:pPr>
      <w:rPr>
        <w:rFonts w:ascii="Arial" w:hAnsi="Arial" w:hint="default"/>
      </w:rPr>
    </w:lvl>
    <w:lvl w:ilvl="6" w:tplc="DC2AC878" w:tentative="1">
      <w:start w:val="1"/>
      <w:numFmt w:val="bullet"/>
      <w:lvlText w:val="•"/>
      <w:lvlJc w:val="left"/>
      <w:pPr>
        <w:tabs>
          <w:tab w:val="num" w:pos="5040"/>
        </w:tabs>
        <w:ind w:left="5040" w:hanging="360"/>
      </w:pPr>
      <w:rPr>
        <w:rFonts w:ascii="Arial" w:hAnsi="Arial" w:hint="default"/>
      </w:rPr>
    </w:lvl>
    <w:lvl w:ilvl="7" w:tplc="48B49584" w:tentative="1">
      <w:start w:val="1"/>
      <w:numFmt w:val="bullet"/>
      <w:lvlText w:val="•"/>
      <w:lvlJc w:val="left"/>
      <w:pPr>
        <w:tabs>
          <w:tab w:val="num" w:pos="5760"/>
        </w:tabs>
        <w:ind w:left="5760" w:hanging="360"/>
      </w:pPr>
      <w:rPr>
        <w:rFonts w:ascii="Arial" w:hAnsi="Arial" w:hint="default"/>
      </w:rPr>
    </w:lvl>
    <w:lvl w:ilvl="8" w:tplc="82CA07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B216D7"/>
    <w:multiLevelType w:val="multilevel"/>
    <w:tmpl w:val="F574E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106D6611"/>
    <w:multiLevelType w:val="hybridMultilevel"/>
    <w:tmpl w:val="DC2A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AD50A26"/>
    <w:multiLevelType w:val="hybridMultilevel"/>
    <w:tmpl w:val="7F0A05FA"/>
    <w:lvl w:ilvl="0" w:tplc="61963C60">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C479CF"/>
    <w:multiLevelType w:val="hybridMultilevel"/>
    <w:tmpl w:val="BF7C6D12"/>
    <w:lvl w:ilvl="0" w:tplc="140A00FE">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31320C"/>
    <w:multiLevelType w:val="hybridMultilevel"/>
    <w:tmpl w:val="542C9BAC"/>
    <w:lvl w:ilvl="0" w:tplc="BC5A7F62">
      <w:start w:val="1"/>
      <w:numFmt w:val="bullet"/>
      <w:lvlText w:val="•"/>
      <w:lvlJc w:val="left"/>
      <w:pPr>
        <w:tabs>
          <w:tab w:val="num" w:pos="720"/>
        </w:tabs>
        <w:ind w:left="720" w:hanging="360"/>
      </w:pPr>
      <w:rPr>
        <w:rFonts w:ascii="Arial" w:hAnsi="Arial" w:hint="default"/>
      </w:rPr>
    </w:lvl>
    <w:lvl w:ilvl="1" w:tplc="5B7647EA" w:tentative="1">
      <w:start w:val="1"/>
      <w:numFmt w:val="bullet"/>
      <w:lvlText w:val="•"/>
      <w:lvlJc w:val="left"/>
      <w:pPr>
        <w:tabs>
          <w:tab w:val="num" w:pos="1440"/>
        </w:tabs>
        <w:ind w:left="1440" w:hanging="360"/>
      </w:pPr>
      <w:rPr>
        <w:rFonts w:ascii="Arial" w:hAnsi="Arial" w:hint="default"/>
      </w:rPr>
    </w:lvl>
    <w:lvl w:ilvl="2" w:tplc="2F5896A4" w:tentative="1">
      <w:start w:val="1"/>
      <w:numFmt w:val="bullet"/>
      <w:lvlText w:val="•"/>
      <w:lvlJc w:val="left"/>
      <w:pPr>
        <w:tabs>
          <w:tab w:val="num" w:pos="2160"/>
        </w:tabs>
        <w:ind w:left="2160" w:hanging="360"/>
      </w:pPr>
      <w:rPr>
        <w:rFonts w:ascii="Arial" w:hAnsi="Arial" w:hint="default"/>
      </w:rPr>
    </w:lvl>
    <w:lvl w:ilvl="3" w:tplc="9FC24448" w:tentative="1">
      <w:start w:val="1"/>
      <w:numFmt w:val="bullet"/>
      <w:lvlText w:val="•"/>
      <w:lvlJc w:val="left"/>
      <w:pPr>
        <w:tabs>
          <w:tab w:val="num" w:pos="2880"/>
        </w:tabs>
        <w:ind w:left="2880" w:hanging="360"/>
      </w:pPr>
      <w:rPr>
        <w:rFonts w:ascii="Arial" w:hAnsi="Arial" w:hint="default"/>
      </w:rPr>
    </w:lvl>
    <w:lvl w:ilvl="4" w:tplc="07F6AE42" w:tentative="1">
      <w:start w:val="1"/>
      <w:numFmt w:val="bullet"/>
      <w:lvlText w:val="•"/>
      <w:lvlJc w:val="left"/>
      <w:pPr>
        <w:tabs>
          <w:tab w:val="num" w:pos="3600"/>
        </w:tabs>
        <w:ind w:left="3600" w:hanging="360"/>
      </w:pPr>
      <w:rPr>
        <w:rFonts w:ascii="Arial" w:hAnsi="Arial" w:hint="default"/>
      </w:rPr>
    </w:lvl>
    <w:lvl w:ilvl="5" w:tplc="B53EBC68" w:tentative="1">
      <w:start w:val="1"/>
      <w:numFmt w:val="bullet"/>
      <w:lvlText w:val="•"/>
      <w:lvlJc w:val="left"/>
      <w:pPr>
        <w:tabs>
          <w:tab w:val="num" w:pos="4320"/>
        </w:tabs>
        <w:ind w:left="4320" w:hanging="360"/>
      </w:pPr>
      <w:rPr>
        <w:rFonts w:ascii="Arial" w:hAnsi="Arial" w:hint="default"/>
      </w:rPr>
    </w:lvl>
    <w:lvl w:ilvl="6" w:tplc="69626D70" w:tentative="1">
      <w:start w:val="1"/>
      <w:numFmt w:val="bullet"/>
      <w:lvlText w:val="•"/>
      <w:lvlJc w:val="left"/>
      <w:pPr>
        <w:tabs>
          <w:tab w:val="num" w:pos="5040"/>
        </w:tabs>
        <w:ind w:left="5040" w:hanging="360"/>
      </w:pPr>
      <w:rPr>
        <w:rFonts w:ascii="Arial" w:hAnsi="Arial" w:hint="default"/>
      </w:rPr>
    </w:lvl>
    <w:lvl w:ilvl="7" w:tplc="CC3A673C" w:tentative="1">
      <w:start w:val="1"/>
      <w:numFmt w:val="bullet"/>
      <w:lvlText w:val="•"/>
      <w:lvlJc w:val="left"/>
      <w:pPr>
        <w:tabs>
          <w:tab w:val="num" w:pos="5760"/>
        </w:tabs>
        <w:ind w:left="5760" w:hanging="360"/>
      </w:pPr>
      <w:rPr>
        <w:rFonts w:ascii="Arial" w:hAnsi="Arial" w:hint="default"/>
      </w:rPr>
    </w:lvl>
    <w:lvl w:ilvl="8" w:tplc="F3C221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E32E53"/>
    <w:multiLevelType w:val="hybridMultilevel"/>
    <w:tmpl w:val="DC8C6E7E"/>
    <w:lvl w:ilvl="0" w:tplc="509A76D0">
      <w:start w:val="1"/>
      <w:numFmt w:val="bullet"/>
      <w:lvlText w:val="•"/>
      <w:lvlJc w:val="left"/>
      <w:pPr>
        <w:tabs>
          <w:tab w:val="num" w:pos="720"/>
        </w:tabs>
        <w:ind w:left="720" w:hanging="360"/>
      </w:pPr>
      <w:rPr>
        <w:rFonts w:ascii="Arial" w:hAnsi="Arial" w:hint="default"/>
      </w:rPr>
    </w:lvl>
    <w:lvl w:ilvl="1" w:tplc="653C0D66" w:tentative="1">
      <w:start w:val="1"/>
      <w:numFmt w:val="bullet"/>
      <w:lvlText w:val="•"/>
      <w:lvlJc w:val="left"/>
      <w:pPr>
        <w:tabs>
          <w:tab w:val="num" w:pos="1440"/>
        </w:tabs>
        <w:ind w:left="1440" w:hanging="360"/>
      </w:pPr>
      <w:rPr>
        <w:rFonts w:ascii="Arial" w:hAnsi="Arial" w:hint="default"/>
      </w:rPr>
    </w:lvl>
    <w:lvl w:ilvl="2" w:tplc="561859E4" w:tentative="1">
      <w:start w:val="1"/>
      <w:numFmt w:val="bullet"/>
      <w:lvlText w:val="•"/>
      <w:lvlJc w:val="left"/>
      <w:pPr>
        <w:tabs>
          <w:tab w:val="num" w:pos="2160"/>
        </w:tabs>
        <w:ind w:left="2160" w:hanging="360"/>
      </w:pPr>
      <w:rPr>
        <w:rFonts w:ascii="Arial" w:hAnsi="Arial" w:hint="default"/>
      </w:rPr>
    </w:lvl>
    <w:lvl w:ilvl="3" w:tplc="E51CE4A8" w:tentative="1">
      <w:start w:val="1"/>
      <w:numFmt w:val="bullet"/>
      <w:lvlText w:val="•"/>
      <w:lvlJc w:val="left"/>
      <w:pPr>
        <w:tabs>
          <w:tab w:val="num" w:pos="2880"/>
        </w:tabs>
        <w:ind w:left="2880" w:hanging="360"/>
      </w:pPr>
      <w:rPr>
        <w:rFonts w:ascii="Arial" w:hAnsi="Arial" w:hint="default"/>
      </w:rPr>
    </w:lvl>
    <w:lvl w:ilvl="4" w:tplc="8DECFF40" w:tentative="1">
      <w:start w:val="1"/>
      <w:numFmt w:val="bullet"/>
      <w:lvlText w:val="•"/>
      <w:lvlJc w:val="left"/>
      <w:pPr>
        <w:tabs>
          <w:tab w:val="num" w:pos="3600"/>
        </w:tabs>
        <w:ind w:left="3600" w:hanging="360"/>
      </w:pPr>
      <w:rPr>
        <w:rFonts w:ascii="Arial" w:hAnsi="Arial" w:hint="default"/>
      </w:rPr>
    </w:lvl>
    <w:lvl w:ilvl="5" w:tplc="DB841B4E" w:tentative="1">
      <w:start w:val="1"/>
      <w:numFmt w:val="bullet"/>
      <w:lvlText w:val="•"/>
      <w:lvlJc w:val="left"/>
      <w:pPr>
        <w:tabs>
          <w:tab w:val="num" w:pos="4320"/>
        </w:tabs>
        <w:ind w:left="4320" w:hanging="360"/>
      </w:pPr>
      <w:rPr>
        <w:rFonts w:ascii="Arial" w:hAnsi="Arial" w:hint="default"/>
      </w:rPr>
    </w:lvl>
    <w:lvl w:ilvl="6" w:tplc="06CE84E8" w:tentative="1">
      <w:start w:val="1"/>
      <w:numFmt w:val="bullet"/>
      <w:lvlText w:val="•"/>
      <w:lvlJc w:val="left"/>
      <w:pPr>
        <w:tabs>
          <w:tab w:val="num" w:pos="5040"/>
        </w:tabs>
        <w:ind w:left="5040" w:hanging="360"/>
      </w:pPr>
      <w:rPr>
        <w:rFonts w:ascii="Arial" w:hAnsi="Arial" w:hint="default"/>
      </w:rPr>
    </w:lvl>
    <w:lvl w:ilvl="7" w:tplc="58D442D0" w:tentative="1">
      <w:start w:val="1"/>
      <w:numFmt w:val="bullet"/>
      <w:lvlText w:val="•"/>
      <w:lvlJc w:val="left"/>
      <w:pPr>
        <w:tabs>
          <w:tab w:val="num" w:pos="5760"/>
        </w:tabs>
        <w:ind w:left="5760" w:hanging="360"/>
      </w:pPr>
      <w:rPr>
        <w:rFonts w:ascii="Arial" w:hAnsi="Arial" w:hint="default"/>
      </w:rPr>
    </w:lvl>
    <w:lvl w:ilvl="8" w:tplc="791CA5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D193667"/>
    <w:multiLevelType w:val="hybridMultilevel"/>
    <w:tmpl w:val="0708F8F2"/>
    <w:lvl w:ilvl="0" w:tplc="53D0ED9C">
      <w:start w:val="3"/>
      <w:numFmt w:val="bullet"/>
      <w:lvlText w:val="—"/>
      <w:lvlJc w:val="left"/>
      <w:pPr>
        <w:ind w:left="495" w:hanging="450"/>
      </w:pPr>
      <w:rPr>
        <w:rFonts w:ascii="Segoe UI" w:eastAsiaTheme="minorHAnsi" w:hAnsi="Segoe UI" w:cs="Segoe UI" w:hint="default"/>
        <w:color w:val="414141"/>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9" w15:restartNumberingAfterBreak="0">
    <w:nsid w:val="4A462816"/>
    <w:multiLevelType w:val="hybridMultilevel"/>
    <w:tmpl w:val="0F86E7FC"/>
    <w:lvl w:ilvl="0" w:tplc="365AA31E">
      <w:start w:val="1"/>
      <w:numFmt w:val="bullet"/>
      <w:lvlText w:val="•"/>
      <w:lvlJc w:val="left"/>
      <w:pPr>
        <w:tabs>
          <w:tab w:val="num" w:pos="720"/>
        </w:tabs>
        <w:ind w:left="720" w:hanging="360"/>
      </w:pPr>
      <w:rPr>
        <w:rFonts w:ascii="Arial" w:hAnsi="Arial" w:hint="default"/>
      </w:rPr>
    </w:lvl>
    <w:lvl w:ilvl="1" w:tplc="63146F38" w:tentative="1">
      <w:start w:val="1"/>
      <w:numFmt w:val="bullet"/>
      <w:lvlText w:val="•"/>
      <w:lvlJc w:val="left"/>
      <w:pPr>
        <w:tabs>
          <w:tab w:val="num" w:pos="1440"/>
        </w:tabs>
        <w:ind w:left="1440" w:hanging="360"/>
      </w:pPr>
      <w:rPr>
        <w:rFonts w:ascii="Arial" w:hAnsi="Arial" w:hint="default"/>
      </w:rPr>
    </w:lvl>
    <w:lvl w:ilvl="2" w:tplc="2FAE71DC" w:tentative="1">
      <w:start w:val="1"/>
      <w:numFmt w:val="bullet"/>
      <w:lvlText w:val="•"/>
      <w:lvlJc w:val="left"/>
      <w:pPr>
        <w:tabs>
          <w:tab w:val="num" w:pos="2160"/>
        </w:tabs>
        <w:ind w:left="2160" w:hanging="360"/>
      </w:pPr>
      <w:rPr>
        <w:rFonts w:ascii="Arial" w:hAnsi="Arial" w:hint="default"/>
      </w:rPr>
    </w:lvl>
    <w:lvl w:ilvl="3" w:tplc="9C0C18B8" w:tentative="1">
      <w:start w:val="1"/>
      <w:numFmt w:val="bullet"/>
      <w:lvlText w:val="•"/>
      <w:lvlJc w:val="left"/>
      <w:pPr>
        <w:tabs>
          <w:tab w:val="num" w:pos="2880"/>
        </w:tabs>
        <w:ind w:left="2880" w:hanging="360"/>
      </w:pPr>
      <w:rPr>
        <w:rFonts w:ascii="Arial" w:hAnsi="Arial" w:hint="default"/>
      </w:rPr>
    </w:lvl>
    <w:lvl w:ilvl="4" w:tplc="CAB65FF4" w:tentative="1">
      <w:start w:val="1"/>
      <w:numFmt w:val="bullet"/>
      <w:lvlText w:val="•"/>
      <w:lvlJc w:val="left"/>
      <w:pPr>
        <w:tabs>
          <w:tab w:val="num" w:pos="3600"/>
        </w:tabs>
        <w:ind w:left="3600" w:hanging="360"/>
      </w:pPr>
      <w:rPr>
        <w:rFonts w:ascii="Arial" w:hAnsi="Arial" w:hint="default"/>
      </w:rPr>
    </w:lvl>
    <w:lvl w:ilvl="5" w:tplc="6DEC604A" w:tentative="1">
      <w:start w:val="1"/>
      <w:numFmt w:val="bullet"/>
      <w:lvlText w:val="•"/>
      <w:lvlJc w:val="left"/>
      <w:pPr>
        <w:tabs>
          <w:tab w:val="num" w:pos="4320"/>
        </w:tabs>
        <w:ind w:left="4320" w:hanging="360"/>
      </w:pPr>
      <w:rPr>
        <w:rFonts w:ascii="Arial" w:hAnsi="Arial" w:hint="default"/>
      </w:rPr>
    </w:lvl>
    <w:lvl w:ilvl="6" w:tplc="6638C8AC" w:tentative="1">
      <w:start w:val="1"/>
      <w:numFmt w:val="bullet"/>
      <w:lvlText w:val="•"/>
      <w:lvlJc w:val="left"/>
      <w:pPr>
        <w:tabs>
          <w:tab w:val="num" w:pos="5040"/>
        </w:tabs>
        <w:ind w:left="5040" w:hanging="360"/>
      </w:pPr>
      <w:rPr>
        <w:rFonts w:ascii="Arial" w:hAnsi="Arial" w:hint="default"/>
      </w:rPr>
    </w:lvl>
    <w:lvl w:ilvl="7" w:tplc="0DC6D5C8" w:tentative="1">
      <w:start w:val="1"/>
      <w:numFmt w:val="bullet"/>
      <w:lvlText w:val="•"/>
      <w:lvlJc w:val="left"/>
      <w:pPr>
        <w:tabs>
          <w:tab w:val="num" w:pos="5760"/>
        </w:tabs>
        <w:ind w:left="5760" w:hanging="360"/>
      </w:pPr>
      <w:rPr>
        <w:rFonts w:ascii="Arial" w:hAnsi="Arial" w:hint="default"/>
      </w:rPr>
    </w:lvl>
    <w:lvl w:ilvl="8" w:tplc="F87C6B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A13CA9"/>
    <w:multiLevelType w:val="hybridMultilevel"/>
    <w:tmpl w:val="6752283A"/>
    <w:lvl w:ilvl="0" w:tplc="E13A2ED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33285F"/>
    <w:multiLevelType w:val="hybridMultilevel"/>
    <w:tmpl w:val="0B087CDC"/>
    <w:lvl w:ilvl="0" w:tplc="603EC600">
      <w:start w:val="1"/>
      <w:numFmt w:val="bullet"/>
      <w:lvlText w:val=""/>
      <w:lvlJc w:val="left"/>
      <w:pPr>
        <w:ind w:left="720" w:hanging="360"/>
      </w:pPr>
      <w:rPr>
        <w:rFonts w:ascii="Symbol" w:hAnsi="Symbol" w:hint="default"/>
      </w:rPr>
    </w:lvl>
    <w:lvl w:ilvl="1" w:tplc="A1C6C07E">
      <w:start w:val="1"/>
      <w:numFmt w:val="bullet"/>
      <w:lvlText w:val="o"/>
      <w:lvlJc w:val="left"/>
      <w:pPr>
        <w:ind w:left="1440" w:hanging="360"/>
      </w:pPr>
      <w:rPr>
        <w:rFonts w:ascii="Courier New" w:hAnsi="Courier New" w:hint="default"/>
      </w:rPr>
    </w:lvl>
    <w:lvl w:ilvl="2" w:tplc="591E3CEE">
      <w:start w:val="1"/>
      <w:numFmt w:val="bullet"/>
      <w:lvlText w:val=""/>
      <w:lvlJc w:val="left"/>
      <w:pPr>
        <w:ind w:left="2160" w:hanging="360"/>
      </w:pPr>
      <w:rPr>
        <w:rFonts w:ascii="Wingdings" w:hAnsi="Wingdings" w:hint="default"/>
      </w:rPr>
    </w:lvl>
    <w:lvl w:ilvl="3" w:tplc="E262570E">
      <w:start w:val="1"/>
      <w:numFmt w:val="bullet"/>
      <w:lvlText w:val=""/>
      <w:lvlJc w:val="left"/>
      <w:pPr>
        <w:ind w:left="2880" w:hanging="360"/>
      </w:pPr>
      <w:rPr>
        <w:rFonts w:ascii="Symbol" w:hAnsi="Symbol" w:hint="default"/>
      </w:rPr>
    </w:lvl>
    <w:lvl w:ilvl="4" w:tplc="08308F90">
      <w:start w:val="1"/>
      <w:numFmt w:val="bullet"/>
      <w:lvlText w:val="o"/>
      <w:lvlJc w:val="left"/>
      <w:pPr>
        <w:ind w:left="3600" w:hanging="360"/>
      </w:pPr>
      <w:rPr>
        <w:rFonts w:ascii="Courier New" w:hAnsi="Courier New" w:hint="default"/>
      </w:rPr>
    </w:lvl>
    <w:lvl w:ilvl="5" w:tplc="11D8EC4A">
      <w:start w:val="1"/>
      <w:numFmt w:val="bullet"/>
      <w:lvlText w:val=""/>
      <w:lvlJc w:val="left"/>
      <w:pPr>
        <w:ind w:left="4320" w:hanging="360"/>
      </w:pPr>
      <w:rPr>
        <w:rFonts w:ascii="Wingdings" w:hAnsi="Wingdings" w:hint="default"/>
      </w:rPr>
    </w:lvl>
    <w:lvl w:ilvl="6" w:tplc="6E482D3E">
      <w:start w:val="1"/>
      <w:numFmt w:val="bullet"/>
      <w:lvlText w:val=""/>
      <w:lvlJc w:val="left"/>
      <w:pPr>
        <w:ind w:left="5040" w:hanging="360"/>
      </w:pPr>
      <w:rPr>
        <w:rFonts w:ascii="Symbol" w:hAnsi="Symbol" w:hint="default"/>
      </w:rPr>
    </w:lvl>
    <w:lvl w:ilvl="7" w:tplc="F614ECF0">
      <w:start w:val="1"/>
      <w:numFmt w:val="bullet"/>
      <w:lvlText w:val="o"/>
      <w:lvlJc w:val="left"/>
      <w:pPr>
        <w:ind w:left="5760" w:hanging="360"/>
      </w:pPr>
      <w:rPr>
        <w:rFonts w:ascii="Courier New" w:hAnsi="Courier New" w:hint="default"/>
      </w:rPr>
    </w:lvl>
    <w:lvl w:ilvl="8" w:tplc="7AE2CA0C">
      <w:start w:val="1"/>
      <w:numFmt w:val="bullet"/>
      <w:lvlText w:val=""/>
      <w:lvlJc w:val="left"/>
      <w:pPr>
        <w:ind w:left="6480" w:hanging="360"/>
      </w:pPr>
      <w:rPr>
        <w:rFonts w:ascii="Wingdings" w:hAnsi="Wingdings" w:hint="default"/>
      </w:rPr>
    </w:lvl>
  </w:abstractNum>
  <w:abstractNum w:abstractNumId="33" w15:restartNumberingAfterBreak="0">
    <w:nsid w:val="62E64A49"/>
    <w:multiLevelType w:val="hybridMultilevel"/>
    <w:tmpl w:val="8F2C062C"/>
    <w:lvl w:ilvl="0" w:tplc="140A00F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E3074B"/>
    <w:multiLevelType w:val="hybridMultilevel"/>
    <w:tmpl w:val="FF3E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5B3D06"/>
    <w:multiLevelType w:val="hybridMultilevel"/>
    <w:tmpl w:val="CD24671E"/>
    <w:lvl w:ilvl="0" w:tplc="195655A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D1E06"/>
    <w:multiLevelType w:val="hybridMultilevel"/>
    <w:tmpl w:val="031EF4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6BAA3076"/>
    <w:multiLevelType w:val="hybridMultilevel"/>
    <w:tmpl w:val="B1F2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8C57BFD"/>
    <w:multiLevelType w:val="hybridMultilevel"/>
    <w:tmpl w:val="D8D0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20"/>
  </w:num>
  <w:num w:numId="2" w16cid:durableId="1144616732">
    <w:abstractNumId w:val="7"/>
  </w:num>
  <w:num w:numId="3" w16cid:durableId="979309186">
    <w:abstractNumId w:val="6"/>
  </w:num>
  <w:num w:numId="4" w16cid:durableId="144787752">
    <w:abstractNumId w:val="5"/>
  </w:num>
  <w:num w:numId="5" w16cid:durableId="934556078">
    <w:abstractNumId w:val="24"/>
  </w:num>
  <w:num w:numId="6" w16cid:durableId="816344236">
    <w:abstractNumId w:val="3"/>
  </w:num>
  <w:num w:numId="7" w16cid:durableId="1908612059">
    <w:abstractNumId w:val="2"/>
  </w:num>
  <w:num w:numId="8" w16cid:durableId="1618215078">
    <w:abstractNumId w:val="1"/>
  </w:num>
  <w:num w:numId="9" w16cid:durableId="1850677422">
    <w:abstractNumId w:val="23"/>
  </w:num>
  <w:num w:numId="10" w16cid:durableId="1599946406">
    <w:abstractNumId w:val="13"/>
  </w:num>
  <w:num w:numId="11" w16cid:durableId="714038629">
    <w:abstractNumId w:val="38"/>
  </w:num>
  <w:num w:numId="12" w16cid:durableId="1728914001">
    <w:abstractNumId w:val="19"/>
  </w:num>
  <w:num w:numId="13" w16cid:durableId="17856119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7"/>
  </w:num>
  <w:num w:numId="15" w16cid:durableId="268391646">
    <w:abstractNumId w:val="9"/>
  </w:num>
  <w:num w:numId="16" w16cid:durableId="1261833621">
    <w:abstractNumId w:val="39"/>
  </w:num>
  <w:num w:numId="17" w16cid:durableId="2029670193">
    <w:abstractNumId w:val="26"/>
  </w:num>
  <w:num w:numId="18" w16cid:durableId="887570554">
    <w:abstractNumId w:val="15"/>
  </w:num>
  <w:num w:numId="19" w16cid:durableId="147789394">
    <w:abstractNumId w:val="31"/>
  </w:num>
  <w:num w:numId="20" w16cid:durableId="714887936">
    <w:abstractNumId w:val="10"/>
  </w:num>
  <w:num w:numId="21" w16cid:durableId="834954479">
    <w:abstractNumId w:val="30"/>
  </w:num>
  <w:num w:numId="22" w16cid:durableId="466897981">
    <w:abstractNumId w:val="11"/>
  </w:num>
  <w:num w:numId="23" w16cid:durableId="510994611">
    <w:abstractNumId w:val="18"/>
  </w:num>
  <w:num w:numId="24" w16cid:durableId="1415783291">
    <w:abstractNumId w:val="12"/>
  </w:num>
  <w:num w:numId="25" w16cid:durableId="572937551">
    <w:abstractNumId w:val="32"/>
  </w:num>
  <w:num w:numId="26" w16cid:durableId="124543856">
    <w:abstractNumId w:val="4"/>
  </w:num>
  <w:num w:numId="27" w16cid:durableId="1095440203">
    <w:abstractNumId w:val="8"/>
  </w:num>
  <w:num w:numId="28" w16cid:durableId="274944827">
    <w:abstractNumId w:val="0"/>
  </w:num>
  <w:num w:numId="29" w16cid:durableId="1656373592">
    <w:abstractNumId w:val="29"/>
  </w:num>
  <w:num w:numId="30" w16cid:durableId="1498574156">
    <w:abstractNumId w:val="33"/>
  </w:num>
  <w:num w:numId="31" w16cid:durableId="1059212040">
    <w:abstractNumId w:val="14"/>
  </w:num>
  <w:num w:numId="32" w16cid:durableId="1867908651">
    <w:abstractNumId w:val="25"/>
  </w:num>
  <w:num w:numId="33" w16cid:durableId="641272715">
    <w:abstractNumId w:val="27"/>
  </w:num>
  <w:num w:numId="34" w16cid:durableId="405688046">
    <w:abstractNumId w:val="22"/>
  </w:num>
  <w:num w:numId="35" w16cid:durableId="1954750111">
    <w:abstractNumId w:val="21"/>
  </w:num>
  <w:num w:numId="36" w16cid:durableId="1077021050">
    <w:abstractNumId w:val="35"/>
  </w:num>
  <w:num w:numId="37" w16cid:durableId="1987975819">
    <w:abstractNumId w:val="16"/>
  </w:num>
  <w:num w:numId="38" w16cid:durableId="477264819">
    <w:abstractNumId w:val="34"/>
  </w:num>
  <w:num w:numId="39" w16cid:durableId="936400519">
    <w:abstractNumId w:val="40"/>
  </w:num>
  <w:num w:numId="40" w16cid:durableId="1188643923">
    <w:abstractNumId w:val="36"/>
  </w:num>
  <w:num w:numId="41" w16cid:durableId="653460448">
    <w:abstractNumId w:val="37"/>
  </w:num>
  <w:num w:numId="42" w16cid:durableId="3531935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30F"/>
    <w:rsid w:val="00011EBC"/>
    <w:rsid w:val="00012224"/>
    <w:rsid w:val="00012366"/>
    <w:rsid w:val="00012A77"/>
    <w:rsid w:val="000139AD"/>
    <w:rsid w:val="00021FBE"/>
    <w:rsid w:val="000220D0"/>
    <w:rsid w:val="000226D6"/>
    <w:rsid w:val="00033507"/>
    <w:rsid w:val="00034C6D"/>
    <w:rsid w:val="000521D7"/>
    <w:rsid w:val="0005272F"/>
    <w:rsid w:val="00054CF9"/>
    <w:rsid w:val="00061B9A"/>
    <w:rsid w:val="00071B90"/>
    <w:rsid w:val="00087630"/>
    <w:rsid w:val="000A0B58"/>
    <w:rsid w:val="000A6228"/>
    <w:rsid w:val="000A69EF"/>
    <w:rsid w:val="000A7EAB"/>
    <w:rsid w:val="000B5D40"/>
    <w:rsid w:val="000B7EC6"/>
    <w:rsid w:val="000D3F47"/>
    <w:rsid w:val="000E0E8C"/>
    <w:rsid w:val="000E627D"/>
    <w:rsid w:val="000F68F8"/>
    <w:rsid w:val="000F7EFC"/>
    <w:rsid w:val="00103218"/>
    <w:rsid w:val="00107D87"/>
    <w:rsid w:val="00107DD5"/>
    <w:rsid w:val="00111523"/>
    <w:rsid w:val="00117602"/>
    <w:rsid w:val="0012343A"/>
    <w:rsid w:val="00133B8D"/>
    <w:rsid w:val="00134786"/>
    <w:rsid w:val="0013611E"/>
    <w:rsid w:val="001515BF"/>
    <w:rsid w:val="00155651"/>
    <w:rsid w:val="00155C07"/>
    <w:rsid w:val="00160B12"/>
    <w:rsid w:val="0017134D"/>
    <w:rsid w:val="001739A8"/>
    <w:rsid w:val="00183077"/>
    <w:rsid w:val="00187D27"/>
    <w:rsid w:val="001A3710"/>
    <w:rsid w:val="001C0AE2"/>
    <w:rsid w:val="001C1523"/>
    <w:rsid w:val="001C1784"/>
    <w:rsid w:val="001D2129"/>
    <w:rsid w:val="001D2392"/>
    <w:rsid w:val="001E1BBD"/>
    <w:rsid w:val="001F109B"/>
    <w:rsid w:val="001F4B1F"/>
    <w:rsid w:val="002022FB"/>
    <w:rsid w:val="00213AF1"/>
    <w:rsid w:val="00221D8F"/>
    <w:rsid w:val="002264E2"/>
    <w:rsid w:val="002272DB"/>
    <w:rsid w:val="0023750E"/>
    <w:rsid w:val="00241F57"/>
    <w:rsid w:val="00276047"/>
    <w:rsid w:val="002877FC"/>
    <w:rsid w:val="00290217"/>
    <w:rsid w:val="002A4458"/>
    <w:rsid w:val="002C5BFD"/>
    <w:rsid w:val="002C631E"/>
    <w:rsid w:val="002D589A"/>
    <w:rsid w:val="002E491A"/>
    <w:rsid w:val="002E722D"/>
    <w:rsid w:val="002E7C29"/>
    <w:rsid w:val="002F1C9E"/>
    <w:rsid w:val="002F23E9"/>
    <w:rsid w:val="00342BD9"/>
    <w:rsid w:val="003445C0"/>
    <w:rsid w:val="00344B0B"/>
    <w:rsid w:val="0035436F"/>
    <w:rsid w:val="00355B05"/>
    <w:rsid w:val="0036228C"/>
    <w:rsid w:val="00365B05"/>
    <w:rsid w:val="00366AA1"/>
    <w:rsid w:val="003832D9"/>
    <w:rsid w:val="00394BDB"/>
    <w:rsid w:val="00396990"/>
    <w:rsid w:val="00397B23"/>
    <w:rsid w:val="003B5EA5"/>
    <w:rsid w:val="003C0BB9"/>
    <w:rsid w:val="003D2210"/>
    <w:rsid w:val="003E1BED"/>
    <w:rsid w:val="003F2269"/>
    <w:rsid w:val="00400710"/>
    <w:rsid w:val="0040155D"/>
    <w:rsid w:val="0041713E"/>
    <w:rsid w:val="00421D3F"/>
    <w:rsid w:val="00421DA3"/>
    <w:rsid w:val="00422D66"/>
    <w:rsid w:val="00423785"/>
    <w:rsid w:val="00432E35"/>
    <w:rsid w:val="00452D26"/>
    <w:rsid w:val="00454947"/>
    <w:rsid w:val="00473B9B"/>
    <w:rsid w:val="004741D2"/>
    <w:rsid w:val="004748D8"/>
    <w:rsid w:val="00484F36"/>
    <w:rsid w:val="0049293A"/>
    <w:rsid w:val="004A06CD"/>
    <w:rsid w:val="004A278C"/>
    <w:rsid w:val="004A4B6F"/>
    <w:rsid w:val="004A4CF9"/>
    <w:rsid w:val="004B7B0B"/>
    <w:rsid w:val="004C74E5"/>
    <w:rsid w:val="004D03E6"/>
    <w:rsid w:val="004D09F8"/>
    <w:rsid w:val="004D140E"/>
    <w:rsid w:val="004D1DE9"/>
    <w:rsid w:val="004D2965"/>
    <w:rsid w:val="004D2D9D"/>
    <w:rsid w:val="004E110B"/>
    <w:rsid w:val="004F5886"/>
    <w:rsid w:val="00502075"/>
    <w:rsid w:val="005112BB"/>
    <w:rsid w:val="00515BB0"/>
    <w:rsid w:val="00524506"/>
    <w:rsid w:val="005300C0"/>
    <w:rsid w:val="00531748"/>
    <w:rsid w:val="0054254B"/>
    <w:rsid w:val="00560095"/>
    <w:rsid w:val="005818BC"/>
    <w:rsid w:val="00583984"/>
    <w:rsid w:val="005906C4"/>
    <w:rsid w:val="005A27EC"/>
    <w:rsid w:val="005A3638"/>
    <w:rsid w:val="005A75C9"/>
    <w:rsid w:val="005B187D"/>
    <w:rsid w:val="005E3CB9"/>
    <w:rsid w:val="005E52A4"/>
    <w:rsid w:val="005F169B"/>
    <w:rsid w:val="005F2EC0"/>
    <w:rsid w:val="0062316D"/>
    <w:rsid w:val="006232DC"/>
    <w:rsid w:val="0063094F"/>
    <w:rsid w:val="00634490"/>
    <w:rsid w:val="0063667A"/>
    <w:rsid w:val="0063784C"/>
    <w:rsid w:val="00650153"/>
    <w:rsid w:val="00650BE8"/>
    <w:rsid w:val="00656EDB"/>
    <w:rsid w:val="00665AF3"/>
    <w:rsid w:val="006712EA"/>
    <w:rsid w:val="00681337"/>
    <w:rsid w:val="00684C13"/>
    <w:rsid w:val="00684D0C"/>
    <w:rsid w:val="006A3B41"/>
    <w:rsid w:val="006A7F20"/>
    <w:rsid w:val="006B297C"/>
    <w:rsid w:val="006D2E1E"/>
    <w:rsid w:val="006D3F4A"/>
    <w:rsid w:val="006D461E"/>
    <w:rsid w:val="006D67F3"/>
    <w:rsid w:val="006F1FFF"/>
    <w:rsid w:val="006F6D10"/>
    <w:rsid w:val="0070387E"/>
    <w:rsid w:val="00706228"/>
    <w:rsid w:val="00712B94"/>
    <w:rsid w:val="00715641"/>
    <w:rsid w:val="00716D14"/>
    <w:rsid w:val="0072230A"/>
    <w:rsid w:val="00726655"/>
    <w:rsid w:val="00737995"/>
    <w:rsid w:val="00740AEA"/>
    <w:rsid w:val="00763ADA"/>
    <w:rsid w:val="00766D76"/>
    <w:rsid w:val="007676D7"/>
    <w:rsid w:val="007707F2"/>
    <w:rsid w:val="00784C4D"/>
    <w:rsid w:val="007A0282"/>
    <w:rsid w:val="007B1629"/>
    <w:rsid w:val="007B2CA1"/>
    <w:rsid w:val="007C21ED"/>
    <w:rsid w:val="007C6B2E"/>
    <w:rsid w:val="007D0ABC"/>
    <w:rsid w:val="007D7A0A"/>
    <w:rsid w:val="007F1A26"/>
    <w:rsid w:val="008042F5"/>
    <w:rsid w:val="00806409"/>
    <w:rsid w:val="00807B1D"/>
    <w:rsid w:val="00820CD5"/>
    <w:rsid w:val="008316C7"/>
    <w:rsid w:val="00836781"/>
    <w:rsid w:val="00841DF8"/>
    <w:rsid w:val="00844477"/>
    <w:rsid w:val="008524E3"/>
    <w:rsid w:val="00853D7C"/>
    <w:rsid w:val="00860864"/>
    <w:rsid w:val="00862CF9"/>
    <w:rsid w:val="00865BAE"/>
    <w:rsid w:val="00876315"/>
    <w:rsid w:val="00886959"/>
    <w:rsid w:val="00893A34"/>
    <w:rsid w:val="008A146D"/>
    <w:rsid w:val="008A24DA"/>
    <w:rsid w:val="008A36E1"/>
    <w:rsid w:val="008A37A7"/>
    <w:rsid w:val="008B0736"/>
    <w:rsid w:val="008B5104"/>
    <w:rsid w:val="008D6AAB"/>
    <w:rsid w:val="008E1A8F"/>
    <w:rsid w:val="008E6950"/>
    <w:rsid w:val="008E70F5"/>
    <w:rsid w:val="008F252A"/>
    <w:rsid w:val="009024A7"/>
    <w:rsid w:val="00902533"/>
    <w:rsid w:val="00923567"/>
    <w:rsid w:val="00923EC5"/>
    <w:rsid w:val="00926183"/>
    <w:rsid w:val="00931E1D"/>
    <w:rsid w:val="00934092"/>
    <w:rsid w:val="00945F66"/>
    <w:rsid w:val="00950B06"/>
    <w:rsid w:val="00950E4F"/>
    <w:rsid w:val="0095795B"/>
    <w:rsid w:val="0096562C"/>
    <w:rsid w:val="00966DE0"/>
    <w:rsid w:val="009672D9"/>
    <w:rsid w:val="00970069"/>
    <w:rsid w:val="009721EB"/>
    <w:rsid w:val="009755F2"/>
    <w:rsid w:val="0099537E"/>
    <w:rsid w:val="009A5D09"/>
    <w:rsid w:val="009B706E"/>
    <w:rsid w:val="009C3F66"/>
    <w:rsid w:val="009C423A"/>
    <w:rsid w:val="009C591E"/>
    <w:rsid w:val="009C615A"/>
    <w:rsid w:val="009E79ED"/>
    <w:rsid w:val="00A07596"/>
    <w:rsid w:val="00A11A3D"/>
    <w:rsid w:val="00A17A08"/>
    <w:rsid w:val="00A24659"/>
    <w:rsid w:val="00A370CD"/>
    <w:rsid w:val="00A51D22"/>
    <w:rsid w:val="00A57AFA"/>
    <w:rsid w:val="00A60673"/>
    <w:rsid w:val="00A83672"/>
    <w:rsid w:val="00A85054"/>
    <w:rsid w:val="00AA148B"/>
    <w:rsid w:val="00AA349F"/>
    <w:rsid w:val="00AA3EAB"/>
    <w:rsid w:val="00AC1872"/>
    <w:rsid w:val="00AC6F7C"/>
    <w:rsid w:val="00AC7CAA"/>
    <w:rsid w:val="00AD02D6"/>
    <w:rsid w:val="00AD240D"/>
    <w:rsid w:val="00AD34B2"/>
    <w:rsid w:val="00AD631F"/>
    <w:rsid w:val="00AE21FF"/>
    <w:rsid w:val="00AE4FB0"/>
    <w:rsid w:val="00AF1F18"/>
    <w:rsid w:val="00AF66D5"/>
    <w:rsid w:val="00AF6C26"/>
    <w:rsid w:val="00AF7990"/>
    <w:rsid w:val="00B06166"/>
    <w:rsid w:val="00B0726E"/>
    <w:rsid w:val="00B078DD"/>
    <w:rsid w:val="00B1132D"/>
    <w:rsid w:val="00B20618"/>
    <w:rsid w:val="00B219D1"/>
    <w:rsid w:val="00B228A4"/>
    <w:rsid w:val="00B230E1"/>
    <w:rsid w:val="00B27E70"/>
    <w:rsid w:val="00B4425F"/>
    <w:rsid w:val="00B56712"/>
    <w:rsid w:val="00B67425"/>
    <w:rsid w:val="00B762CA"/>
    <w:rsid w:val="00B81FA4"/>
    <w:rsid w:val="00B8794C"/>
    <w:rsid w:val="00B92DA2"/>
    <w:rsid w:val="00B9354A"/>
    <w:rsid w:val="00B95EF4"/>
    <w:rsid w:val="00BB6509"/>
    <w:rsid w:val="00BC248C"/>
    <w:rsid w:val="00BD0E1F"/>
    <w:rsid w:val="00BD516C"/>
    <w:rsid w:val="00BF06F0"/>
    <w:rsid w:val="00BF24D1"/>
    <w:rsid w:val="00C01EC0"/>
    <w:rsid w:val="00C07C77"/>
    <w:rsid w:val="00C10F45"/>
    <w:rsid w:val="00C12F68"/>
    <w:rsid w:val="00C173AE"/>
    <w:rsid w:val="00C23F6B"/>
    <w:rsid w:val="00C244EE"/>
    <w:rsid w:val="00C435FF"/>
    <w:rsid w:val="00C72224"/>
    <w:rsid w:val="00C75706"/>
    <w:rsid w:val="00C90147"/>
    <w:rsid w:val="00C94324"/>
    <w:rsid w:val="00CA4815"/>
    <w:rsid w:val="00CC7117"/>
    <w:rsid w:val="00CD003A"/>
    <w:rsid w:val="00CD43F8"/>
    <w:rsid w:val="00CE1884"/>
    <w:rsid w:val="00CF02EE"/>
    <w:rsid w:val="00CF6562"/>
    <w:rsid w:val="00D00711"/>
    <w:rsid w:val="00D11990"/>
    <w:rsid w:val="00D15804"/>
    <w:rsid w:val="00D24901"/>
    <w:rsid w:val="00D349E1"/>
    <w:rsid w:val="00D36A06"/>
    <w:rsid w:val="00D43AD7"/>
    <w:rsid w:val="00D43DFD"/>
    <w:rsid w:val="00D44677"/>
    <w:rsid w:val="00D5688A"/>
    <w:rsid w:val="00D57122"/>
    <w:rsid w:val="00D63F2A"/>
    <w:rsid w:val="00D733FD"/>
    <w:rsid w:val="00D76533"/>
    <w:rsid w:val="00D86284"/>
    <w:rsid w:val="00DA1B0C"/>
    <w:rsid w:val="00DA4861"/>
    <w:rsid w:val="00DB3426"/>
    <w:rsid w:val="00DB3714"/>
    <w:rsid w:val="00DC3900"/>
    <w:rsid w:val="00DC5980"/>
    <w:rsid w:val="00DD17C3"/>
    <w:rsid w:val="00DD2B46"/>
    <w:rsid w:val="00DD4197"/>
    <w:rsid w:val="00DD7635"/>
    <w:rsid w:val="00DF4B32"/>
    <w:rsid w:val="00E0184B"/>
    <w:rsid w:val="00E03745"/>
    <w:rsid w:val="00E06ED6"/>
    <w:rsid w:val="00E14689"/>
    <w:rsid w:val="00E3056E"/>
    <w:rsid w:val="00E40F86"/>
    <w:rsid w:val="00E43BF3"/>
    <w:rsid w:val="00E529E5"/>
    <w:rsid w:val="00E64B72"/>
    <w:rsid w:val="00E70755"/>
    <w:rsid w:val="00E7567A"/>
    <w:rsid w:val="00E947E7"/>
    <w:rsid w:val="00EA7855"/>
    <w:rsid w:val="00EB4C2F"/>
    <w:rsid w:val="00EC4B7B"/>
    <w:rsid w:val="00ED0DDF"/>
    <w:rsid w:val="00ED2938"/>
    <w:rsid w:val="00ED511F"/>
    <w:rsid w:val="00EE3080"/>
    <w:rsid w:val="00EF3F36"/>
    <w:rsid w:val="00EF5FB9"/>
    <w:rsid w:val="00F07497"/>
    <w:rsid w:val="00F1000D"/>
    <w:rsid w:val="00F10721"/>
    <w:rsid w:val="00F14D3C"/>
    <w:rsid w:val="00F26112"/>
    <w:rsid w:val="00F311A4"/>
    <w:rsid w:val="00F35FD2"/>
    <w:rsid w:val="00F663EF"/>
    <w:rsid w:val="00F673D2"/>
    <w:rsid w:val="00F81834"/>
    <w:rsid w:val="00F82C2C"/>
    <w:rsid w:val="00F83E7A"/>
    <w:rsid w:val="00F85849"/>
    <w:rsid w:val="00F85913"/>
    <w:rsid w:val="00F86ADD"/>
    <w:rsid w:val="00F87F2A"/>
    <w:rsid w:val="00FA14E8"/>
    <w:rsid w:val="00FC0323"/>
    <w:rsid w:val="00FC4FE7"/>
    <w:rsid w:val="00FD0161"/>
    <w:rsid w:val="00FD2C54"/>
    <w:rsid w:val="00FD4D6E"/>
    <w:rsid w:val="00FD6383"/>
    <w:rsid w:val="00FF422C"/>
    <w:rsid w:val="00FF5BC8"/>
    <w:rsid w:val="05980080"/>
    <w:rsid w:val="275C51A8"/>
    <w:rsid w:val="2B0DDAFE"/>
    <w:rsid w:val="2BFCBF32"/>
    <w:rsid w:val="308F7C2F"/>
    <w:rsid w:val="44D21F27"/>
    <w:rsid w:val="4A700815"/>
    <w:rsid w:val="4C7DFC98"/>
    <w:rsid w:val="6042F8D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3873"/>
  <w15:chartTrackingRefBased/>
  <w15:docId w15:val="{CA3A165D-2BEC-4C82-9394-1C6CA42A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1"/>
    <w:qFormat/>
    <w:rsid w:val="00107D87"/>
    <w:rPr>
      <w:b/>
      <w:bCs/>
    </w:rPr>
  </w:style>
  <w:style w:type="character" w:styleId="Hyperlink">
    <w:name w:val="Hyperlink"/>
    <w:basedOn w:val="DefaultParagraphFont"/>
    <w:uiPriority w:val="99"/>
    <w:unhideWhenUsed/>
    <w:qFormat/>
    <w:rsid w:val="002C5BFD"/>
    <w:rPr>
      <w:i/>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5E52A4"/>
    <w:pPr>
      <w:keepNext/>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9"/>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D516C"/>
    <w:rPr>
      <w:sz w:val="16"/>
      <w:szCs w:val="16"/>
    </w:rPr>
  </w:style>
  <w:style w:type="paragraph" w:styleId="CommentText">
    <w:name w:val="annotation text"/>
    <w:basedOn w:val="Normal"/>
    <w:link w:val="CommentTextChar"/>
    <w:uiPriority w:val="99"/>
    <w:unhideWhenUsed/>
    <w:rsid w:val="00BD516C"/>
    <w:pPr>
      <w:spacing w:after="200" w:line="240" w:lineRule="auto"/>
    </w:pPr>
    <w:rPr>
      <w:sz w:val="20"/>
      <w:szCs w:val="20"/>
    </w:rPr>
  </w:style>
  <w:style w:type="character" w:customStyle="1" w:styleId="CommentTextChar">
    <w:name w:val="Comment Text Char"/>
    <w:basedOn w:val="DefaultParagraphFont"/>
    <w:link w:val="CommentText"/>
    <w:uiPriority w:val="99"/>
    <w:rsid w:val="00BD516C"/>
    <w:rPr>
      <w:sz w:val="20"/>
      <w:szCs w:val="20"/>
    </w:rPr>
  </w:style>
  <w:style w:type="paragraph" w:styleId="ListParagraph">
    <w:name w:val="List Paragraph"/>
    <w:basedOn w:val="Normal"/>
    <w:uiPriority w:val="34"/>
    <w:qFormat/>
    <w:rsid w:val="00BD516C"/>
    <w:pPr>
      <w:spacing w:after="200" w:line="276" w:lineRule="auto"/>
      <w:ind w:left="720"/>
      <w:contextualSpacing/>
    </w:pPr>
  </w:style>
  <w:style w:type="paragraph" w:styleId="Title">
    <w:name w:val="Title"/>
    <w:basedOn w:val="Normal"/>
    <w:next w:val="Normal"/>
    <w:link w:val="TitleChar"/>
    <w:uiPriority w:val="7"/>
    <w:qFormat/>
    <w:rsid w:val="00BD516C"/>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D516C"/>
    <w:rPr>
      <w:rFonts w:ascii="Calibri" w:eastAsiaTheme="majorEastAsia" w:hAnsi="Calibri" w:cstheme="majorBidi"/>
      <w:b/>
      <w:color w:val="343741"/>
      <w:spacing w:val="-10"/>
      <w:kern w:val="28"/>
      <w:sz w:val="60"/>
      <w:szCs w:val="56"/>
    </w:rPr>
  </w:style>
  <w:style w:type="character" w:customStyle="1" w:styleId="UnresolvedMention1">
    <w:name w:val="Unresolved Mention1"/>
    <w:basedOn w:val="DefaultParagraphFont"/>
    <w:uiPriority w:val="99"/>
    <w:semiHidden/>
    <w:unhideWhenUsed/>
    <w:rsid w:val="0023750E"/>
    <w:rPr>
      <w:color w:val="605E5C"/>
      <w:shd w:val="clear" w:color="auto" w:fill="E1DFDD"/>
    </w:rPr>
  </w:style>
  <w:style w:type="table" w:customStyle="1" w:styleId="DESE">
    <w:name w:val="DESE"/>
    <w:basedOn w:val="TableNormal"/>
    <w:uiPriority w:val="99"/>
    <w:rsid w:val="0023750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54A" w:themeFill="text2"/>
      </w:tc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23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0E"/>
    <w:rPr>
      <w:rFonts w:ascii="Segoe UI" w:hAnsi="Segoe UI" w:cs="Segoe UI"/>
      <w:sz w:val="18"/>
      <w:szCs w:val="18"/>
    </w:rPr>
  </w:style>
  <w:style w:type="paragraph" w:styleId="FootnoteText">
    <w:name w:val="footnote text"/>
    <w:basedOn w:val="Normal"/>
    <w:link w:val="FootnoteTextChar"/>
    <w:uiPriority w:val="99"/>
    <w:semiHidden/>
    <w:unhideWhenUsed/>
    <w:rsid w:val="0023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50E"/>
    <w:rPr>
      <w:sz w:val="20"/>
      <w:szCs w:val="20"/>
    </w:rPr>
  </w:style>
  <w:style w:type="character" w:styleId="FootnoteReference">
    <w:name w:val="footnote reference"/>
    <w:basedOn w:val="DefaultParagraphFont"/>
    <w:uiPriority w:val="99"/>
    <w:semiHidden/>
    <w:unhideWhenUsed/>
    <w:rsid w:val="0023750E"/>
    <w:rPr>
      <w:vertAlign w:val="superscript"/>
    </w:rPr>
  </w:style>
  <w:style w:type="paragraph" w:styleId="CommentSubject">
    <w:name w:val="annotation subject"/>
    <w:basedOn w:val="CommentText"/>
    <w:next w:val="CommentText"/>
    <w:link w:val="CommentSubjectChar"/>
    <w:uiPriority w:val="99"/>
    <w:semiHidden/>
    <w:unhideWhenUsed/>
    <w:rsid w:val="0023750E"/>
    <w:rPr>
      <w:b/>
      <w:bCs/>
    </w:rPr>
  </w:style>
  <w:style w:type="character" w:customStyle="1" w:styleId="CommentSubjectChar">
    <w:name w:val="Comment Subject Char"/>
    <w:basedOn w:val="CommentTextChar"/>
    <w:link w:val="CommentSubject"/>
    <w:uiPriority w:val="99"/>
    <w:semiHidden/>
    <w:rsid w:val="0023750E"/>
    <w:rPr>
      <w:b/>
      <w:bCs/>
      <w:sz w:val="20"/>
      <w:szCs w:val="20"/>
    </w:rPr>
  </w:style>
  <w:style w:type="paragraph" w:styleId="NormalWeb">
    <w:name w:val="Normal (Web)"/>
    <w:basedOn w:val="Normal"/>
    <w:uiPriority w:val="99"/>
    <w:semiHidden/>
    <w:unhideWhenUsed/>
    <w:rsid w:val="002375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3750E"/>
    <w:pPr>
      <w:autoSpaceDE w:val="0"/>
      <w:autoSpaceDN w:val="0"/>
      <w:adjustRightInd w:val="0"/>
      <w:spacing w:after="0" w:line="240" w:lineRule="auto"/>
    </w:pPr>
    <w:rPr>
      <w:rFonts w:ascii="Constantia" w:hAnsi="Constantia" w:cs="Constantia"/>
      <w:color w:val="000000"/>
      <w:sz w:val="24"/>
      <w:szCs w:val="24"/>
    </w:rPr>
  </w:style>
  <w:style w:type="character" w:customStyle="1" w:styleId="ref-lnk">
    <w:name w:val="ref-lnk"/>
    <w:basedOn w:val="DefaultParagraphFont"/>
    <w:rsid w:val="0023750E"/>
  </w:style>
  <w:style w:type="paragraph" w:styleId="Revision">
    <w:name w:val="Revision"/>
    <w:hidden/>
    <w:uiPriority w:val="99"/>
    <w:semiHidden/>
    <w:rsid w:val="0023750E"/>
    <w:pPr>
      <w:spacing w:after="0" w:line="240" w:lineRule="auto"/>
    </w:pPr>
  </w:style>
  <w:style w:type="character" w:customStyle="1" w:styleId="normaltextrun">
    <w:name w:val="normaltextrun"/>
    <w:basedOn w:val="DefaultParagraphFont"/>
    <w:rsid w:val="0023750E"/>
  </w:style>
  <w:style w:type="character" w:customStyle="1" w:styleId="eop">
    <w:name w:val="eop"/>
    <w:basedOn w:val="DefaultParagraphFont"/>
    <w:rsid w:val="0023750E"/>
  </w:style>
  <w:style w:type="character" w:styleId="Mention">
    <w:name w:val="Mention"/>
    <w:basedOn w:val="DefaultParagraphFont"/>
    <w:uiPriority w:val="99"/>
    <w:unhideWhenUsed/>
    <w:rsid w:val="0023750E"/>
    <w:rPr>
      <w:color w:val="2B579A"/>
      <w:shd w:val="clear" w:color="auto" w:fill="E6E6E6"/>
    </w:rPr>
  </w:style>
  <w:style w:type="character" w:styleId="FollowedHyperlink">
    <w:name w:val="FollowedHyperlink"/>
    <w:basedOn w:val="DefaultParagraphFont"/>
    <w:uiPriority w:val="99"/>
    <w:semiHidden/>
    <w:unhideWhenUsed/>
    <w:rsid w:val="0023750E"/>
    <w:rPr>
      <w:color w:val="CE372F" w:themeColor="followedHyperlink"/>
      <w:u w:val="single"/>
    </w:rPr>
  </w:style>
  <w:style w:type="paragraph" w:styleId="EndnoteText">
    <w:name w:val="endnote text"/>
    <w:basedOn w:val="Normal"/>
    <w:link w:val="EndnoteTextChar"/>
    <w:uiPriority w:val="99"/>
    <w:semiHidden/>
    <w:unhideWhenUsed/>
    <w:rsid w:val="002375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50E"/>
    <w:rPr>
      <w:sz w:val="20"/>
      <w:szCs w:val="20"/>
    </w:rPr>
  </w:style>
  <w:style w:type="character" w:styleId="EndnoteReference">
    <w:name w:val="endnote reference"/>
    <w:basedOn w:val="DefaultParagraphFont"/>
    <w:uiPriority w:val="99"/>
    <w:semiHidden/>
    <w:unhideWhenUsed/>
    <w:rsid w:val="00237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www.tcsisupport.gov.au/support/appendices" TargetMode="External"/><Relationship Id="rId3" Type="http://schemas.openxmlformats.org/officeDocument/2006/relationships/customXml" Target="../customXml/item3.xml"/><Relationship Id="rId21" Type="http://schemas.openxmlformats.org/officeDocument/2006/relationships/hyperlink" Target="https://www.abs.gov.au/AUSSTATS/abs@.nsf/Lookup/6523.0Main+Features62011-12?OpenDocu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5.xml"/><Relationship Id="rId25" Type="http://schemas.openxmlformats.org/officeDocument/2006/relationships/hyperlink" Target="https://www.aihw.gov.au/reports/children-youth/australias-childr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s://data.worldbank.org/indicator/NY.GDP.PCAP.C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ihw.gov.au/reports/children-youth/learning-development-impact-of-early-childhood-edu/summar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ww.aedc.gov.au/about-the-aedc/about-the-aedc-domains" TargetMode="External"/><Relationship Id="rId28" Type="http://schemas.openxmlformats.org/officeDocument/2006/relationships/hyperlink" Target="https://www.aedc.gov.au/resources/detail/2018-aedc-data-collection-technical-report" TargetMode="Externa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www.abs.gov.au/statistics/economy/finance/household-income-and-wealth-australia/latest-release" TargetMode="External"/><Relationship Id="rId27" Type="http://schemas.openxmlformats.org/officeDocument/2006/relationships/hyperlink" Target="https://www.childrens.health.qld.gov.au/chq/health-professionals/qcyc-network/resources/"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haredservicescentre.sharepoint.com/sites/EDU-AnalysisDataandMeasurementBranch-TEAM/Shared%20Documents/02.%20Projects/IDA/2023/30%20-%20FFY%20DIPA%20publication/charts%20and%20visuals/final_chart_data/2_1_Socio-economic%20factor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haredservicescentre.sharepoint.com/sites/EDU-AnalysisDataandMeasurementBranch-TEAM/Shared%20Documents/02.%20Projects/IDA/2023/30%20-%20FFY%20DIPA%20publication/charts%20and%20visuals/final_chart_data/2_1_Socio-economic%20factor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sharedservicescentre.sharepoint.com/sites/EDU-AnalysisDataandMeasurementBranch-TEAM/Shared%20Documents/02.%20Projects/IDA/2023/30%20-%20FFY%20DIPA%20publication/charts%20and%20visuals/final_chart_data/2_1_Socio-economic%20factor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sharedservicescentre.sharepoint.com/sites/EDU-AnalysisDataandMeasurementBranch-TEAM/Shared%20Documents/02.%20Projects/IDA/2023/30%20-%20FFY%20DIPA%20publication/charts%20and%20visuals/final_chart_data/2_1_Socio-economic%20factor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sharedservicescentre.sharepoint.com/sites/EDU-AnalysisDataandMeasurementBranch-TEAM/Shared%20Documents/02.%20Projects/IDA/2023/30%20-%20FFY%20DIPA%20publication/charts%20and%20visuals/final_chart_data/2_2_Health%20and%20Mental%20Health.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sharedservicescentre.sharepoint.com/sites/EDU-AnalysisDataandMeasurementBranch-TEAM/Shared%20Documents/02.%20Projects/IDA/2023/30%20-%20FFY%20DIPA%20publication/final_chart_data/2_1_Child_family_character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496015472417217E-3"/>
          <c:y val="1.9080961033716939E-2"/>
          <c:w val="0.96398293531280943"/>
          <c:h val="0.67071431455683428"/>
        </c:manualLayout>
      </c:layout>
      <c:barChart>
        <c:barDir val="col"/>
        <c:grouping val="clustered"/>
        <c:varyColors val="0"/>
        <c:ser>
          <c:idx val="0"/>
          <c:order val="0"/>
          <c:spPr>
            <a:solidFill>
              <a:srgbClr val="002D3F"/>
            </a:solidFill>
            <a:ln>
              <a:noFill/>
            </a:ln>
            <a:effectLst/>
          </c:spPr>
          <c:invertIfNegative val="0"/>
          <c:dPt>
            <c:idx val="0"/>
            <c:invertIfNegative val="0"/>
            <c:bubble3D val="0"/>
            <c:spPr>
              <a:solidFill>
                <a:srgbClr val="00254A"/>
              </a:solidFill>
              <a:ln>
                <a:noFill/>
              </a:ln>
              <a:effectLst/>
            </c:spPr>
            <c:extLst>
              <c:ext xmlns:c16="http://schemas.microsoft.com/office/drawing/2014/chart" uri="{C3380CC4-5D6E-409C-BE32-E72D297353CC}">
                <c16:uniqueId val="{00000001-2A3A-4009-9331-68DDA37DE7B6}"/>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1'!$B$14:$B$22</c:f>
              <c:strCache>
                <c:ptCount val="7"/>
                <c:pt idx="0">
                  <c:v>Year 9 or below</c:v>
                </c:pt>
                <c:pt idx="1">
                  <c:v>Year 10</c:v>
                </c:pt>
                <c:pt idx="2">
                  <c:v>Year 11</c:v>
                </c:pt>
                <c:pt idx="3">
                  <c:v>Year 12</c:v>
                </c:pt>
                <c:pt idx="4">
                  <c:v>Certificate level I to IV</c:v>
                </c:pt>
                <c:pt idx="5">
                  <c:v>Advanced Diploma or Diploma</c:v>
                </c:pt>
                <c:pt idx="6">
                  <c:v>Bachelor degree or above</c:v>
                </c:pt>
              </c:strCache>
            </c:strRef>
          </c:cat>
          <c:val>
            <c:numRef>
              <c:f>'2_1 Figure 1'!$C$14:$C$20</c:f>
              <c:numCache>
                <c:formatCode>0%</c:formatCode>
                <c:ptCount val="7"/>
                <c:pt idx="0">
                  <c:v>0.4560738811271608</c:v>
                </c:pt>
                <c:pt idx="1">
                  <c:v>0.40022383883603807</c:v>
                </c:pt>
                <c:pt idx="2">
                  <c:v>0.37925170068027209</c:v>
                </c:pt>
                <c:pt idx="3">
                  <c:v>0.26971936713246331</c:v>
                </c:pt>
                <c:pt idx="4">
                  <c:v>0.2461522224762977</c:v>
                </c:pt>
                <c:pt idx="5">
                  <c:v>0.21061066477958623</c:v>
                </c:pt>
                <c:pt idx="6">
                  <c:v>0.14345816894626126</c:v>
                </c:pt>
              </c:numCache>
            </c:numRef>
          </c:val>
          <c:extLst>
            <c:ext xmlns:c16="http://schemas.microsoft.com/office/drawing/2014/chart" uri="{C3380CC4-5D6E-409C-BE32-E72D297353CC}">
              <c16:uniqueId val="{00000002-2A3A-4009-9331-68DDA37DE7B6}"/>
            </c:ext>
          </c:extLst>
        </c:ser>
        <c:dLbls>
          <c:showLegendKey val="0"/>
          <c:showVal val="0"/>
          <c:showCatName val="0"/>
          <c:showSerName val="0"/>
          <c:showPercent val="0"/>
          <c:showBubbleSize val="0"/>
        </c:dLbls>
        <c:gapWidth val="75"/>
        <c:axId val="1408360991"/>
        <c:axId val="893432607"/>
      </c:barChart>
      <c:catAx>
        <c:axId val="1408360991"/>
        <c:scaling>
          <c:orientation val="minMax"/>
        </c:scaling>
        <c:delete val="0"/>
        <c:axPos val="b"/>
        <c:numFmt formatCode="General" sourceLinked="1"/>
        <c:majorTickMark val="cross"/>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93432607"/>
        <c:crosses val="autoZero"/>
        <c:auto val="1"/>
        <c:lblAlgn val="ctr"/>
        <c:lblOffset val="100"/>
        <c:noMultiLvlLbl val="0"/>
      </c:catAx>
      <c:valAx>
        <c:axId val="893432607"/>
        <c:scaling>
          <c:orientation val="minMax"/>
        </c:scaling>
        <c:delete val="1"/>
        <c:axPos val="l"/>
        <c:numFmt formatCode="0%" sourceLinked="1"/>
        <c:majorTickMark val="none"/>
        <c:minorTickMark val="none"/>
        <c:tickLblPos val="nextTo"/>
        <c:crossAx val="1408360991"/>
        <c:crosses val="autoZero"/>
        <c:crossBetween val="between"/>
      </c:valAx>
      <c:spPr>
        <a:noFill/>
        <a:ln>
          <a:noFill/>
        </a:ln>
        <a:effectLst/>
      </c:spPr>
    </c:plotArea>
    <c:plotVisOnly val="1"/>
    <c:dispBlanksAs val="gap"/>
    <c:showDLblsOverMax val="0"/>
    <c:extLst/>
  </c:chart>
  <c:spPr>
    <a:solidFill>
      <a:schemeClr val="bg1"/>
    </a:solidFill>
    <a:ln w="6350" cap="flat" cmpd="sng" algn="ctr">
      <a:solidFill>
        <a:sysClr val="window" lastClr="FFFFFF"/>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'2_1 Figure 3'!$C$22</c:f>
              <c:strCache>
                <c:ptCount val="1"/>
                <c:pt idx="0">
                  <c:v>Dual parent household</c:v>
                </c:pt>
              </c:strCache>
            </c:strRef>
          </c:tx>
          <c:spPr>
            <a:solidFill>
              <a:srgbClr val="00254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9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3'!$B$23:$B$29</c:f>
              <c:strCache>
                <c:ptCount val="7"/>
                <c:pt idx="0">
                  <c:v>Year 9 or below</c:v>
                </c:pt>
                <c:pt idx="1">
                  <c:v>Year 10</c:v>
                </c:pt>
                <c:pt idx="2">
                  <c:v>Year 11</c:v>
                </c:pt>
                <c:pt idx="3">
                  <c:v>Year 12</c:v>
                </c:pt>
                <c:pt idx="4">
                  <c:v>Certificate level I to IV</c:v>
                </c:pt>
                <c:pt idx="5">
                  <c:v>Advanced Diploma or Diploma</c:v>
                </c:pt>
                <c:pt idx="6">
                  <c:v>Bachelor degree or above</c:v>
                </c:pt>
              </c:strCache>
            </c:strRef>
          </c:cat>
          <c:val>
            <c:numRef>
              <c:f>'2_1 Figure 3'!$C$23:$C$29</c:f>
              <c:numCache>
                <c:formatCode>0%</c:formatCode>
                <c:ptCount val="7"/>
                <c:pt idx="0">
                  <c:v>0.42346424974823765</c:v>
                </c:pt>
                <c:pt idx="1">
                  <c:v>0.35960193652501343</c:v>
                </c:pt>
                <c:pt idx="2">
                  <c:v>0.33960784313725489</c:v>
                </c:pt>
                <c:pt idx="3">
                  <c:v>0.23940886699507388</c:v>
                </c:pt>
                <c:pt idx="4">
                  <c:v>0.21628043571123451</c:v>
                </c:pt>
                <c:pt idx="5">
                  <c:v>0.18994315184903007</c:v>
                </c:pt>
                <c:pt idx="6">
                  <c:v>0.13705937623132181</c:v>
                </c:pt>
              </c:numCache>
            </c:numRef>
          </c:val>
          <c:extLst>
            <c:ext xmlns:c16="http://schemas.microsoft.com/office/drawing/2014/chart" uri="{C3380CC4-5D6E-409C-BE32-E72D297353CC}">
              <c16:uniqueId val="{00000000-1FB9-4A00-89CE-FB8DB8EDF974}"/>
            </c:ext>
          </c:extLst>
        </c:ser>
        <c:ser>
          <c:idx val="1"/>
          <c:order val="1"/>
          <c:tx>
            <c:strRef>
              <c:f>'2_1 Figure 3'!$D$22</c:f>
              <c:strCache>
                <c:ptCount val="1"/>
                <c:pt idx="0">
                  <c:v>Single-parent household</c:v>
                </c:pt>
              </c:strCache>
            </c:strRef>
          </c:tx>
          <c:spPr>
            <a:solidFill>
              <a:srgbClr val="0085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9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3'!$B$23:$B$29</c:f>
              <c:strCache>
                <c:ptCount val="7"/>
                <c:pt idx="0">
                  <c:v>Year 9 or below</c:v>
                </c:pt>
                <c:pt idx="1">
                  <c:v>Year 10</c:v>
                </c:pt>
                <c:pt idx="2">
                  <c:v>Year 11</c:v>
                </c:pt>
                <c:pt idx="3">
                  <c:v>Year 12</c:v>
                </c:pt>
                <c:pt idx="4">
                  <c:v>Certificate level I to IV</c:v>
                </c:pt>
                <c:pt idx="5">
                  <c:v>Advanced Diploma or Diploma</c:v>
                </c:pt>
                <c:pt idx="6">
                  <c:v>Bachelor degree or above</c:v>
                </c:pt>
              </c:strCache>
            </c:strRef>
          </c:cat>
          <c:val>
            <c:numRef>
              <c:f>'2_1 Figure 3'!$D$23:$D$29</c:f>
              <c:numCache>
                <c:formatCode>0%</c:formatCode>
                <c:ptCount val="7"/>
                <c:pt idx="0">
                  <c:v>0.48280802292263608</c:v>
                </c:pt>
                <c:pt idx="1">
                  <c:v>0.42897669706180347</c:v>
                </c:pt>
                <c:pt idx="2">
                  <c:v>0.41413753361505956</c:v>
                </c:pt>
                <c:pt idx="3">
                  <c:v>0.32748948106591863</c:v>
                </c:pt>
                <c:pt idx="4">
                  <c:v>0.30798479087452474</c:v>
                </c:pt>
                <c:pt idx="5">
                  <c:v>0.26603847663918334</c:v>
                </c:pt>
                <c:pt idx="6">
                  <c:v>0.17845630897263084</c:v>
                </c:pt>
              </c:numCache>
            </c:numRef>
          </c:val>
          <c:extLst>
            <c:ext xmlns:c16="http://schemas.microsoft.com/office/drawing/2014/chart" uri="{C3380CC4-5D6E-409C-BE32-E72D297353CC}">
              <c16:uniqueId val="{00000001-1FB9-4A00-89CE-FB8DB8EDF974}"/>
            </c:ext>
          </c:extLst>
        </c:ser>
        <c:dLbls>
          <c:showLegendKey val="0"/>
          <c:showVal val="0"/>
          <c:showCatName val="0"/>
          <c:showSerName val="0"/>
          <c:showPercent val="0"/>
          <c:showBubbleSize val="0"/>
        </c:dLbls>
        <c:gapWidth val="50"/>
        <c:overlap val="-18"/>
        <c:axId val="929130287"/>
        <c:axId val="1654792575"/>
      </c:barChart>
      <c:catAx>
        <c:axId val="929130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654792575"/>
        <c:crosses val="autoZero"/>
        <c:auto val="1"/>
        <c:lblAlgn val="ctr"/>
        <c:lblOffset val="100"/>
        <c:noMultiLvlLbl val="0"/>
      </c:catAx>
      <c:valAx>
        <c:axId val="1654792575"/>
        <c:scaling>
          <c:orientation val="minMax"/>
        </c:scaling>
        <c:delete val="1"/>
        <c:axPos val="l"/>
        <c:numFmt formatCode="0%" sourceLinked="1"/>
        <c:majorTickMark val="none"/>
        <c:minorTickMark val="none"/>
        <c:tickLblPos val="nextTo"/>
        <c:crossAx val="929130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050" b="1"/>
              <a:t>B.</a:t>
            </a:r>
            <a:r>
              <a:rPr lang="en-AU" sz="1050" b="1" baseline="0"/>
              <a:t> </a:t>
            </a:r>
            <a:r>
              <a:rPr lang="en-AU" sz="1050" b="1"/>
              <a:t>By country of parents' birth</a:t>
            </a:r>
          </a:p>
        </c:rich>
      </c:tx>
      <c:layout>
        <c:manualLayout>
          <c:xMode val="edge"/>
          <c:yMode val="edge"/>
          <c:x val="0.41713188976377952"/>
          <c:y val="1.97287223011457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7569358948241708"/>
          <c:y val="8.3033823616913791E-2"/>
          <c:w val="0.48250218722659666"/>
          <c:h val="0.79342824775440646"/>
        </c:manualLayout>
      </c:layout>
      <c:barChart>
        <c:barDir val="bar"/>
        <c:grouping val="clustered"/>
        <c:varyColors val="0"/>
        <c:ser>
          <c:idx val="0"/>
          <c:order val="0"/>
          <c:tx>
            <c:strRef>
              <c:f>'2_1 Figure 5'!$K$85</c:f>
              <c:strCache>
                <c:ptCount val="1"/>
                <c:pt idx="0">
                  <c:v>Australia</c:v>
                </c:pt>
              </c:strCache>
            </c:strRef>
          </c:tx>
          <c:spPr>
            <a:solidFill>
              <a:schemeClr val="accent5"/>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5'!$L$84:$R$84</c:f>
              <c:strCache>
                <c:ptCount val="7"/>
                <c:pt idx="0">
                  <c:v>Physical health and wellbeing</c:v>
                </c:pt>
                <c:pt idx="1">
                  <c:v>Social competence</c:v>
                </c:pt>
                <c:pt idx="2">
                  <c:v>Emotional maturity</c:v>
                </c:pt>
                <c:pt idx="3">
                  <c:v>Language and cognitive skills (school-based)</c:v>
                </c:pt>
                <c:pt idx="4">
                  <c:v>Communication skills and general knowledge</c:v>
                </c:pt>
                <c:pt idx="6">
                  <c:v>DV1</c:v>
                </c:pt>
              </c:strCache>
            </c:strRef>
          </c:cat>
          <c:val>
            <c:numRef>
              <c:f>'2_1 Figure 5'!$L$85:$R$85</c:f>
              <c:numCache>
                <c:formatCode>General</c:formatCode>
                <c:ptCount val="7"/>
                <c:pt idx="0">
                  <c:v>0.10357969895793101</c:v>
                </c:pt>
                <c:pt idx="1">
                  <c:v>9.9896870533318E-2</c:v>
                </c:pt>
                <c:pt idx="2">
                  <c:v>9.0923390585203198E-2</c:v>
                </c:pt>
                <c:pt idx="3">
                  <c:v>6.7835798370057404E-2</c:v>
                </c:pt>
                <c:pt idx="4">
                  <c:v>6.5453251554461994E-2</c:v>
                </c:pt>
                <c:pt idx="6">
                  <c:v>0.21394963471866099</c:v>
                </c:pt>
              </c:numCache>
            </c:numRef>
          </c:val>
          <c:extLst>
            <c:ext xmlns:c16="http://schemas.microsoft.com/office/drawing/2014/chart" uri="{C3380CC4-5D6E-409C-BE32-E72D297353CC}">
              <c16:uniqueId val="{00000000-3D29-4F86-96BE-0EFDDD867F5D}"/>
            </c:ext>
          </c:extLst>
        </c:ser>
        <c:ser>
          <c:idx val="1"/>
          <c:order val="1"/>
          <c:tx>
            <c:strRef>
              <c:f>'2_1 Figure 5'!$K$86</c:f>
              <c:strCache>
                <c:ptCount val="1"/>
                <c:pt idx="0">
                  <c:v>Other OECD</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5'!$L$84:$R$84</c:f>
              <c:strCache>
                <c:ptCount val="7"/>
                <c:pt idx="0">
                  <c:v>Physical health and wellbeing</c:v>
                </c:pt>
                <c:pt idx="1">
                  <c:v>Social competence</c:v>
                </c:pt>
                <c:pt idx="2">
                  <c:v>Emotional maturity</c:v>
                </c:pt>
                <c:pt idx="3">
                  <c:v>Language and cognitive skills (school-based)</c:v>
                </c:pt>
                <c:pt idx="4">
                  <c:v>Communication skills and general knowledge</c:v>
                </c:pt>
                <c:pt idx="6">
                  <c:v>DV1</c:v>
                </c:pt>
              </c:strCache>
            </c:strRef>
          </c:cat>
          <c:val>
            <c:numRef>
              <c:f>'2_1 Figure 5'!$L$86:$R$86</c:f>
              <c:numCache>
                <c:formatCode>General</c:formatCode>
                <c:ptCount val="7"/>
                <c:pt idx="0">
                  <c:v>8.00517157786996E-2</c:v>
                </c:pt>
                <c:pt idx="1">
                  <c:v>8.0345839954749892E-2</c:v>
                </c:pt>
                <c:pt idx="2">
                  <c:v>7.389295652878719E-2</c:v>
                </c:pt>
                <c:pt idx="3">
                  <c:v>4.66596542330825E-2</c:v>
                </c:pt>
                <c:pt idx="4">
                  <c:v>5.9469941822883003E-2</c:v>
                </c:pt>
                <c:pt idx="6">
                  <c:v>0.18452847528178001</c:v>
                </c:pt>
              </c:numCache>
            </c:numRef>
          </c:val>
          <c:extLst>
            <c:ext xmlns:c16="http://schemas.microsoft.com/office/drawing/2014/chart" uri="{C3380CC4-5D6E-409C-BE32-E72D297353CC}">
              <c16:uniqueId val="{00000001-3D29-4F86-96BE-0EFDDD867F5D}"/>
            </c:ext>
          </c:extLst>
        </c:ser>
        <c:ser>
          <c:idx val="2"/>
          <c:order val="2"/>
          <c:tx>
            <c:strRef>
              <c:f>'2_1 Figure 5'!$K$87</c:f>
              <c:strCache>
                <c:ptCount val="1"/>
                <c:pt idx="0">
                  <c:v>Non-OECD</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5'!$L$84:$R$84</c:f>
              <c:strCache>
                <c:ptCount val="7"/>
                <c:pt idx="0">
                  <c:v>Physical health and wellbeing</c:v>
                </c:pt>
                <c:pt idx="1">
                  <c:v>Social competence</c:v>
                </c:pt>
                <c:pt idx="2">
                  <c:v>Emotional maturity</c:v>
                </c:pt>
                <c:pt idx="3">
                  <c:v>Language and cognitive skills (school-based)</c:v>
                </c:pt>
                <c:pt idx="4">
                  <c:v>Communication skills and general knowledge</c:v>
                </c:pt>
                <c:pt idx="6">
                  <c:v>DV1</c:v>
                </c:pt>
              </c:strCache>
            </c:strRef>
          </c:cat>
          <c:val>
            <c:numRef>
              <c:f>'2_1 Figure 5'!$L$87:$R$87</c:f>
              <c:numCache>
                <c:formatCode>General</c:formatCode>
                <c:ptCount val="7"/>
                <c:pt idx="0">
                  <c:v>8.0292488996166395E-2</c:v>
                </c:pt>
                <c:pt idx="1">
                  <c:v>9.0958141648208105E-2</c:v>
                </c:pt>
                <c:pt idx="2">
                  <c:v>6.7856327741640993E-2</c:v>
                </c:pt>
                <c:pt idx="3">
                  <c:v>5.8023533424283798E-2</c:v>
                </c:pt>
                <c:pt idx="4">
                  <c:v>0.107137785099554</c:v>
                </c:pt>
                <c:pt idx="6">
                  <c:v>0.21112251004531099</c:v>
                </c:pt>
              </c:numCache>
            </c:numRef>
          </c:val>
          <c:extLst>
            <c:ext xmlns:c16="http://schemas.microsoft.com/office/drawing/2014/chart" uri="{C3380CC4-5D6E-409C-BE32-E72D297353CC}">
              <c16:uniqueId val="{00000002-3D29-4F86-96BE-0EFDDD867F5D}"/>
            </c:ext>
          </c:extLst>
        </c:ser>
        <c:dLbls>
          <c:showLegendKey val="0"/>
          <c:showVal val="0"/>
          <c:showCatName val="0"/>
          <c:showSerName val="0"/>
          <c:showPercent val="0"/>
          <c:showBubbleSize val="0"/>
        </c:dLbls>
        <c:gapWidth val="75"/>
        <c:axId val="1752609856"/>
        <c:axId val="1752619424"/>
      </c:barChart>
      <c:catAx>
        <c:axId val="1752609856"/>
        <c:scaling>
          <c:orientation val="maxMin"/>
        </c:scaling>
        <c:delete val="1"/>
        <c:axPos val="l"/>
        <c:numFmt formatCode="General" sourceLinked="1"/>
        <c:majorTickMark val="none"/>
        <c:minorTickMark val="none"/>
        <c:tickLblPos val="nextTo"/>
        <c:crossAx val="1752619424"/>
        <c:crosses val="autoZero"/>
        <c:auto val="1"/>
        <c:lblAlgn val="ctr"/>
        <c:lblOffset val="100"/>
        <c:noMultiLvlLbl val="0"/>
      </c:catAx>
      <c:valAx>
        <c:axId val="1752619424"/>
        <c:scaling>
          <c:orientation val="minMax"/>
        </c:scaling>
        <c:delete val="1"/>
        <c:axPos val="t"/>
        <c:numFmt formatCode="General" sourceLinked="1"/>
        <c:majorTickMark val="none"/>
        <c:minorTickMark val="none"/>
        <c:tickLblPos val="nextTo"/>
        <c:crossAx val="1752609856"/>
        <c:crosses val="autoZero"/>
        <c:crossBetween val="between"/>
      </c:valAx>
      <c:spPr>
        <a:noFill/>
        <a:ln>
          <a:noFill/>
        </a:ln>
        <a:effectLst/>
      </c:spPr>
    </c:plotArea>
    <c:legend>
      <c:legendPos val="b"/>
      <c:layout>
        <c:manualLayout>
          <c:xMode val="edge"/>
          <c:yMode val="edge"/>
          <c:x val="0.2027865972398612"/>
          <c:y val="0.91920908714525718"/>
          <c:w val="0.79721340276013886"/>
          <c:h val="6.14606659246388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050" b="1"/>
              <a:t>A.</a:t>
            </a:r>
            <a:r>
              <a:rPr lang="en-AU" sz="1050" b="1" baseline="0"/>
              <a:t> </a:t>
            </a:r>
            <a:r>
              <a:rPr lang="en-AU" sz="1050" b="1"/>
              <a:t>By language background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694237862104217"/>
          <c:y val="8.0503134022927553E-2"/>
          <c:w val="0.51305772785918269"/>
          <c:h val="0.82996563537575252"/>
        </c:manualLayout>
      </c:layout>
      <c:barChart>
        <c:barDir val="bar"/>
        <c:grouping val="clustered"/>
        <c:varyColors val="0"/>
        <c:ser>
          <c:idx val="0"/>
          <c:order val="0"/>
          <c:tx>
            <c:strRef>
              <c:f>'2_1 Figure 5'!$H$52</c:f>
              <c:strCache>
                <c:ptCount val="1"/>
                <c:pt idx="0">
                  <c:v>English</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5'!$I$51:$O$51</c:f>
              <c:strCache>
                <c:ptCount val="7"/>
                <c:pt idx="0">
                  <c:v>Physical health and wellbeing</c:v>
                </c:pt>
                <c:pt idx="1">
                  <c:v>Social competence</c:v>
                </c:pt>
                <c:pt idx="2">
                  <c:v>Emotional maturity</c:v>
                </c:pt>
                <c:pt idx="3">
                  <c:v>Language and cognitive skills (school-based)</c:v>
                </c:pt>
                <c:pt idx="4">
                  <c:v>Communication skills and general knowledge</c:v>
                </c:pt>
                <c:pt idx="6">
                  <c:v>Developmentally Vulnerable on one or more domains</c:v>
                </c:pt>
              </c:strCache>
            </c:strRef>
          </c:cat>
          <c:val>
            <c:numRef>
              <c:f>'2_1 Figure 5'!$I$52:$O$52</c:f>
              <c:numCache>
                <c:formatCode>General</c:formatCode>
                <c:ptCount val="7"/>
                <c:pt idx="0">
                  <c:v>9.5265503774563207E-2</c:v>
                </c:pt>
                <c:pt idx="1">
                  <c:v>9.2400637442618297E-2</c:v>
                </c:pt>
                <c:pt idx="2">
                  <c:v>8.5311855866860103E-2</c:v>
                </c:pt>
                <c:pt idx="3">
                  <c:v>5.8181281426177102E-2</c:v>
                </c:pt>
                <c:pt idx="4">
                  <c:v>5.8735104535832396E-2</c:v>
                </c:pt>
                <c:pt idx="6">
                  <c:v>0.19985021370783101</c:v>
                </c:pt>
              </c:numCache>
            </c:numRef>
          </c:val>
          <c:extLst>
            <c:ext xmlns:c16="http://schemas.microsoft.com/office/drawing/2014/chart" uri="{C3380CC4-5D6E-409C-BE32-E72D297353CC}">
              <c16:uniqueId val="{00000000-64A8-47E2-AAEF-C53E85A293BE}"/>
            </c:ext>
          </c:extLst>
        </c:ser>
        <c:ser>
          <c:idx val="1"/>
          <c:order val="1"/>
          <c:tx>
            <c:strRef>
              <c:f>'2_1 Figure 5'!$H$53</c:f>
              <c:strCache>
                <c:ptCount val="1"/>
                <c:pt idx="0">
                  <c:v>LBOTE</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5'!$I$51:$O$51</c:f>
              <c:strCache>
                <c:ptCount val="7"/>
                <c:pt idx="0">
                  <c:v>Physical health and wellbeing</c:v>
                </c:pt>
                <c:pt idx="1">
                  <c:v>Social competence</c:v>
                </c:pt>
                <c:pt idx="2">
                  <c:v>Emotional maturity</c:v>
                </c:pt>
                <c:pt idx="3">
                  <c:v>Language and cognitive skills (school-based)</c:v>
                </c:pt>
                <c:pt idx="4">
                  <c:v>Communication skills and general knowledge</c:v>
                </c:pt>
                <c:pt idx="6">
                  <c:v>Developmentally Vulnerable on one or more domains</c:v>
                </c:pt>
              </c:strCache>
            </c:strRef>
          </c:cat>
          <c:val>
            <c:numRef>
              <c:f>'2_1 Figure 5'!$I$53:$O$53</c:f>
              <c:numCache>
                <c:formatCode>General</c:formatCode>
                <c:ptCount val="7"/>
                <c:pt idx="0">
                  <c:v>9.1522797698096514E-2</c:v>
                </c:pt>
                <c:pt idx="1">
                  <c:v>0.10350061663978699</c:v>
                </c:pt>
                <c:pt idx="2">
                  <c:v>7.3838623035234696E-2</c:v>
                </c:pt>
                <c:pt idx="3">
                  <c:v>7.6708772596321306E-2</c:v>
                </c:pt>
                <c:pt idx="4">
                  <c:v>0.130908515853562</c:v>
                </c:pt>
                <c:pt idx="6">
                  <c:v>0.24057846779058298</c:v>
                </c:pt>
              </c:numCache>
            </c:numRef>
          </c:val>
          <c:extLst>
            <c:ext xmlns:c16="http://schemas.microsoft.com/office/drawing/2014/chart" uri="{C3380CC4-5D6E-409C-BE32-E72D297353CC}">
              <c16:uniqueId val="{00000001-64A8-47E2-AAEF-C53E85A293BE}"/>
            </c:ext>
          </c:extLst>
        </c:ser>
        <c:dLbls>
          <c:showLegendKey val="0"/>
          <c:showVal val="0"/>
          <c:showCatName val="0"/>
          <c:showSerName val="0"/>
          <c:showPercent val="0"/>
          <c:showBubbleSize val="0"/>
        </c:dLbls>
        <c:gapWidth val="75"/>
        <c:axId val="1743674544"/>
        <c:axId val="1743681200"/>
      </c:barChart>
      <c:catAx>
        <c:axId val="1743674544"/>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743681200"/>
        <c:crosses val="autoZero"/>
        <c:auto val="1"/>
        <c:lblAlgn val="ctr"/>
        <c:lblOffset val="100"/>
        <c:noMultiLvlLbl val="0"/>
      </c:catAx>
      <c:valAx>
        <c:axId val="1743681200"/>
        <c:scaling>
          <c:orientation val="minMax"/>
        </c:scaling>
        <c:delete val="1"/>
        <c:axPos val="t"/>
        <c:numFmt formatCode="General" sourceLinked="1"/>
        <c:majorTickMark val="none"/>
        <c:minorTickMark val="none"/>
        <c:tickLblPos val="nextTo"/>
        <c:crossAx val="1743674544"/>
        <c:crosses val="autoZero"/>
        <c:crossBetween val="between"/>
      </c:valAx>
      <c:spPr>
        <a:noFill/>
        <a:ln w="25400">
          <a:noFill/>
        </a:ln>
        <a:effectLst/>
      </c:spPr>
    </c:plotArea>
    <c:legend>
      <c:legendPos val="b"/>
      <c:layout>
        <c:manualLayout>
          <c:xMode val="edge"/>
          <c:yMode val="edge"/>
          <c:x val="0.34336009447476928"/>
          <c:y val="0.94408814882708603"/>
          <c:w val="0.31327981105046149"/>
          <c:h val="5.25572721725785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1073191706698"/>
          <c:y val="5.0925925925925923E-2"/>
          <c:w val="0.83796706862738168"/>
          <c:h val="0.78611913094196562"/>
        </c:manualLayout>
      </c:layout>
      <c:barChart>
        <c:barDir val="col"/>
        <c:grouping val="clustered"/>
        <c:varyColors val="0"/>
        <c:ser>
          <c:idx val="0"/>
          <c:order val="0"/>
          <c:spPr>
            <a:solidFill>
              <a:schemeClr val="accent1"/>
            </a:solidFill>
            <a:ln>
              <a:noFill/>
            </a:ln>
            <a:effectLst/>
          </c:spPr>
          <c:invertIfNegative val="0"/>
          <c:cat>
            <c:numRef>
              <c:f>'[2018 FFY visualisations - updated for consistency_2023.xlsx]Maternal age'!$B$2:$B$37</c:f>
              <c:numCache>
                <c:formatCode>0</c:formatCode>
                <c:ptCount val="36"/>
                <c:pt idx="0" formatCode="General">
                  <c:v>15</c:v>
                </c:pt>
                <c:pt idx="1">
                  <c:v>16</c:v>
                </c:pt>
                <c:pt idx="2" formatCode="General">
                  <c:v>17</c:v>
                </c:pt>
                <c:pt idx="3">
                  <c:v>18</c:v>
                </c:pt>
                <c:pt idx="4" formatCode="General">
                  <c:v>19</c:v>
                </c:pt>
                <c:pt idx="5">
                  <c:v>20</c:v>
                </c:pt>
                <c:pt idx="6" formatCode="General">
                  <c:v>21</c:v>
                </c:pt>
                <c:pt idx="7">
                  <c:v>22</c:v>
                </c:pt>
                <c:pt idx="8" formatCode="General">
                  <c:v>23</c:v>
                </c:pt>
                <c:pt idx="9">
                  <c:v>24</c:v>
                </c:pt>
                <c:pt idx="10" formatCode="General">
                  <c:v>25</c:v>
                </c:pt>
                <c:pt idx="11">
                  <c:v>26</c:v>
                </c:pt>
                <c:pt idx="12" formatCode="General">
                  <c:v>27</c:v>
                </c:pt>
                <c:pt idx="13">
                  <c:v>28</c:v>
                </c:pt>
                <c:pt idx="14" formatCode="General">
                  <c:v>29</c:v>
                </c:pt>
                <c:pt idx="15">
                  <c:v>30</c:v>
                </c:pt>
                <c:pt idx="16" formatCode="General">
                  <c:v>31</c:v>
                </c:pt>
                <c:pt idx="17">
                  <c:v>32</c:v>
                </c:pt>
                <c:pt idx="18" formatCode="General">
                  <c:v>33</c:v>
                </c:pt>
                <c:pt idx="19">
                  <c:v>34</c:v>
                </c:pt>
                <c:pt idx="20" formatCode="General">
                  <c:v>35</c:v>
                </c:pt>
                <c:pt idx="21">
                  <c:v>36</c:v>
                </c:pt>
                <c:pt idx="22" formatCode="General">
                  <c:v>37</c:v>
                </c:pt>
                <c:pt idx="23">
                  <c:v>38</c:v>
                </c:pt>
                <c:pt idx="24" formatCode="General">
                  <c:v>39</c:v>
                </c:pt>
                <c:pt idx="25">
                  <c:v>40</c:v>
                </c:pt>
                <c:pt idx="26" formatCode="General">
                  <c:v>41</c:v>
                </c:pt>
                <c:pt idx="27">
                  <c:v>42</c:v>
                </c:pt>
                <c:pt idx="28" formatCode="General">
                  <c:v>43</c:v>
                </c:pt>
                <c:pt idx="29">
                  <c:v>44</c:v>
                </c:pt>
                <c:pt idx="30" formatCode="General">
                  <c:v>45</c:v>
                </c:pt>
                <c:pt idx="31">
                  <c:v>46</c:v>
                </c:pt>
                <c:pt idx="32" formatCode="General">
                  <c:v>47</c:v>
                </c:pt>
                <c:pt idx="33">
                  <c:v>48</c:v>
                </c:pt>
                <c:pt idx="34" formatCode="General">
                  <c:v>49</c:v>
                </c:pt>
                <c:pt idx="35" formatCode="General">
                  <c:v>50</c:v>
                </c:pt>
              </c:numCache>
            </c:numRef>
          </c:cat>
          <c:val>
            <c:numRef>
              <c:f>'[2018 FFY visualisations - updated for consistency_2023.xlsx]Maternal age'!$E$2:$E$37</c:f>
              <c:numCache>
                <c:formatCode>General</c:formatCode>
                <c:ptCount val="36"/>
                <c:pt idx="0">
                  <c:v>0.51351351351351349</c:v>
                </c:pt>
                <c:pt idx="1">
                  <c:v>0.42363112391930835</c:v>
                </c:pt>
                <c:pt idx="2">
                  <c:v>0.42142857142857143</c:v>
                </c:pt>
                <c:pt idx="3">
                  <c:v>0.40676229508196721</c:v>
                </c:pt>
                <c:pt idx="4">
                  <c:v>0.38331741483603948</c:v>
                </c:pt>
                <c:pt idx="5">
                  <c:v>0.35664819944598336</c:v>
                </c:pt>
                <c:pt idx="6">
                  <c:v>0.33813917723952325</c:v>
                </c:pt>
                <c:pt idx="7">
                  <c:v>0.3097817793377079</c:v>
                </c:pt>
                <c:pt idx="8">
                  <c:v>0.29546659597030756</c:v>
                </c:pt>
                <c:pt idx="9">
                  <c:v>0.27944920157370978</c:v>
                </c:pt>
                <c:pt idx="10">
                  <c:v>0.24883579671998379</c:v>
                </c:pt>
                <c:pt idx="11">
                  <c:v>0.23114071606994172</c:v>
                </c:pt>
                <c:pt idx="12">
                  <c:v>0.2134387351778656</c:v>
                </c:pt>
                <c:pt idx="13">
                  <c:v>0.19799389446140428</c:v>
                </c:pt>
                <c:pt idx="14">
                  <c:v>0.18552885943109637</c:v>
                </c:pt>
                <c:pt idx="15">
                  <c:v>0.18203297280268824</c:v>
                </c:pt>
                <c:pt idx="16">
                  <c:v>0.17616449429119935</c:v>
                </c:pt>
                <c:pt idx="17">
                  <c:v>0.17043635975674812</c:v>
                </c:pt>
                <c:pt idx="18">
                  <c:v>0.17497149372862031</c:v>
                </c:pt>
                <c:pt idx="19">
                  <c:v>0.17090335497178913</c:v>
                </c:pt>
                <c:pt idx="20">
                  <c:v>0.16745590556584997</c:v>
                </c:pt>
                <c:pt idx="21">
                  <c:v>0.17109121166494967</c:v>
                </c:pt>
                <c:pt idx="22">
                  <c:v>0.18265577507598785</c:v>
                </c:pt>
                <c:pt idx="23">
                  <c:v>0.18465909090909091</c:v>
                </c:pt>
                <c:pt idx="24">
                  <c:v>0.19673295454545456</c:v>
                </c:pt>
                <c:pt idx="25">
                  <c:v>0.20301732166138947</c:v>
                </c:pt>
                <c:pt idx="26">
                  <c:v>0.20074846297781343</c:v>
                </c:pt>
                <c:pt idx="27">
                  <c:v>0.21673306772908366</c:v>
                </c:pt>
                <c:pt idx="28">
                  <c:v>0.22151450813871196</c:v>
                </c:pt>
                <c:pt idx="29">
                  <c:v>0.22948870392390011</c:v>
                </c:pt>
                <c:pt idx="30">
                  <c:v>0.21212121212121213</c:v>
                </c:pt>
                <c:pt idx="31">
                  <c:v>0.2606837606837607</c:v>
                </c:pt>
                <c:pt idx="32">
                  <c:v>0.19696969696969696</c:v>
                </c:pt>
                <c:pt idx="33">
                  <c:v>0.2638888888888889</c:v>
                </c:pt>
                <c:pt idx="34">
                  <c:v>0.38181818181818183</c:v>
                </c:pt>
                <c:pt idx="35">
                  <c:v>0.42384105960264901</c:v>
                </c:pt>
              </c:numCache>
            </c:numRef>
          </c:val>
          <c:extLst>
            <c:ext xmlns:c16="http://schemas.microsoft.com/office/drawing/2014/chart" uri="{C3380CC4-5D6E-409C-BE32-E72D297353CC}">
              <c16:uniqueId val="{00000000-B738-455C-B1AB-81CCD01A08D9}"/>
            </c:ext>
          </c:extLst>
        </c:ser>
        <c:dLbls>
          <c:showLegendKey val="0"/>
          <c:showVal val="0"/>
          <c:showCatName val="0"/>
          <c:showSerName val="0"/>
          <c:showPercent val="0"/>
          <c:showBubbleSize val="0"/>
        </c:dLbls>
        <c:gapWidth val="150"/>
        <c:axId val="766946895"/>
        <c:axId val="766948335"/>
      </c:barChart>
      <c:catAx>
        <c:axId val="7669468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Maternal age at birth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948335"/>
        <c:crosses val="autoZero"/>
        <c:auto val="1"/>
        <c:lblAlgn val="ctr"/>
        <c:lblOffset val="100"/>
        <c:tickLblSkip val="5"/>
        <c:tickMarkSkip val="5"/>
        <c:noMultiLvlLbl val="1"/>
      </c:catAx>
      <c:valAx>
        <c:axId val="766948335"/>
        <c:scaling>
          <c:orientation val="minMax"/>
          <c:max val="0.60000000000000009"/>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946895"/>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3908644171035"/>
          <c:y val="4.1538395601671572E-2"/>
          <c:w val="0.67480821236575284"/>
          <c:h val="0.75651622815440756"/>
        </c:manualLayout>
      </c:layout>
      <c:barChart>
        <c:barDir val="bar"/>
        <c:grouping val="clustered"/>
        <c:varyColors val="0"/>
        <c:ser>
          <c:idx val="0"/>
          <c:order val="0"/>
          <c:tx>
            <c:strRef>
              <c:f>'[2_2_Health and Mental Health.xlsx]2_2 Figure 4'!$E$27</c:f>
              <c:strCache>
                <c:ptCount val="1"/>
                <c:pt idx="0">
                  <c:v>No parental mental ill-health</c:v>
                </c:pt>
              </c:strCache>
            </c:strRef>
          </c:tx>
          <c:spPr>
            <a:solidFill>
              <a:srgbClr val="00254A"/>
            </a:solidFill>
            <a:ln>
              <a:noFill/>
            </a:ln>
            <a:effectLst/>
          </c:spPr>
          <c:invertIfNegative val="0"/>
          <c:dLbls>
            <c:dLbl>
              <c:idx val="0"/>
              <c:layout>
                <c:manualLayout>
                  <c:x val="-6.940057910765859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9E-4C81-8B47-A174AD884E88}"/>
                </c:ext>
              </c:extLst>
            </c:dLbl>
            <c:dLbl>
              <c:idx val="1"/>
              <c:layout>
                <c:manualLayout>
                  <c:x val="-7.263712439845421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9E-4C81-8B47-A174AD884E88}"/>
                </c:ext>
              </c:extLst>
            </c:dLbl>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'[2_2_Health and Mental Health.xlsx]2_2 Figure 4'!$F$26:$G$26</c:f>
              <c:strCache>
                <c:ptCount val="2"/>
                <c:pt idx="0">
                  <c:v>Boys</c:v>
                </c:pt>
                <c:pt idx="1">
                  <c:v>Girls</c:v>
                </c:pt>
              </c:strCache>
            </c:strRef>
          </c:cat>
          <c:val>
            <c:numRef>
              <c:f>'[2_2_Health and Mental Health.xlsx]2_2 Figure 4'!$F$27:$G$27</c:f>
              <c:numCache>
                <c:formatCode>0%</c:formatCode>
                <c:ptCount val="2"/>
                <c:pt idx="0">
                  <c:v>0.24204759034008297</c:v>
                </c:pt>
                <c:pt idx="1">
                  <c:v>0.12691741207745089</c:v>
                </c:pt>
              </c:numCache>
            </c:numRef>
          </c:val>
          <c:extLst>
            <c:ext xmlns:c16="http://schemas.microsoft.com/office/drawing/2014/chart" uri="{C3380CC4-5D6E-409C-BE32-E72D297353CC}">
              <c16:uniqueId val="{00000002-FF9E-4C81-8B47-A174AD884E88}"/>
            </c:ext>
          </c:extLst>
        </c:ser>
        <c:ser>
          <c:idx val="1"/>
          <c:order val="1"/>
          <c:tx>
            <c:strRef>
              <c:f>'[2_2_Health and Mental Health.xlsx]2_2 Figure 4'!$E$28</c:f>
              <c:strCache>
                <c:ptCount val="1"/>
                <c:pt idx="0">
                  <c:v>Parental mental ill-health</c:v>
                </c:pt>
              </c:strCache>
            </c:strRef>
          </c:tx>
          <c:spPr>
            <a:solidFill>
              <a:srgbClr val="00859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'[2_2_Health and Mental Health.xlsx]2_2 Figure 4'!$F$26:$G$26</c:f>
              <c:strCache>
                <c:ptCount val="2"/>
                <c:pt idx="0">
                  <c:v>Boys</c:v>
                </c:pt>
                <c:pt idx="1">
                  <c:v>Girls</c:v>
                </c:pt>
              </c:strCache>
            </c:strRef>
          </c:cat>
          <c:val>
            <c:numRef>
              <c:f>'[2_2_Health and Mental Health.xlsx]2_2 Figure 4'!$F$28:$G$28</c:f>
              <c:numCache>
                <c:formatCode>0%</c:formatCode>
                <c:ptCount val="2"/>
                <c:pt idx="0">
                  <c:v>0.29062132921174655</c:v>
                </c:pt>
                <c:pt idx="1">
                  <c:v>0.15978632856403197</c:v>
                </c:pt>
              </c:numCache>
            </c:numRef>
          </c:val>
          <c:extLst>
            <c:ext xmlns:c16="http://schemas.microsoft.com/office/drawing/2014/chart" uri="{C3380CC4-5D6E-409C-BE32-E72D297353CC}">
              <c16:uniqueId val="{00000003-FF9E-4C81-8B47-A174AD884E88}"/>
            </c:ext>
          </c:extLst>
        </c:ser>
        <c:dLbls>
          <c:showLegendKey val="0"/>
          <c:showVal val="0"/>
          <c:showCatName val="0"/>
          <c:showSerName val="0"/>
          <c:showPercent val="0"/>
          <c:showBubbleSize val="0"/>
        </c:dLbls>
        <c:gapWidth val="76"/>
        <c:axId val="1969411759"/>
        <c:axId val="1962515631"/>
      </c:barChart>
      <c:catAx>
        <c:axId val="1969411759"/>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62515631"/>
        <c:crosses val="autoZero"/>
        <c:auto val="1"/>
        <c:lblAlgn val="ctr"/>
        <c:lblOffset val="100"/>
        <c:noMultiLvlLbl val="0"/>
      </c:catAx>
      <c:valAx>
        <c:axId val="1962515631"/>
        <c:scaling>
          <c:orientation val="minMax"/>
          <c:min val="0"/>
        </c:scaling>
        <c:delete val="1"/>
        <c:axPos val="t"/>
        <c:numFmt formatCode="0%" sourceLinked="1"/>
        <c:majorTickMark val="none"/>
        <c:minorTickMark val="none"/>
        <c:tickLblPos val="nextTo"/>
        <c:crossAx val="1969411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200"/>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805554522698642E-2"/>
          <c:y val="6.8498154668539049E-2"/>
          <c:w val="0.97166666914552324"/>
          <c:h val="0.66269112916715056"/>
        </c:manualLayout>
      </c:layout>
      <c:barChart>
        <c:barDir val="col"/>
        <c:grouping val="clustered"/>
        <c:varyColors val="0"/>
        <c:ser>
          <c:idx val="0"/>
          <c:order val="0"/>
          <c:tx>
            <c:strRef>
              <c:f>'[2_2_Health and Mental Health.xlsx]2_2 Figure 4'!$H$30</c:f>
              <c:strCache>
                <c:ptCount val="1"/>
                <c:pt idx="0">
                  <c:v>Boys</c:v>
                </c:pt>
              </c:strCache>
            </c:strRef>
          </c:tx>
          <c:spPr>
            <a:solidFill>
              <a:srgbClr val="00254A"/>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'[2_2_Health and Mental Health.xlsx]2_2 Figure 4'!$G$31:$G$39</c:f>
              <c:numCache>
                <c:formatCode>General</c:formatCode>
                <c:ptCount val="9"/>
                <c:pt idx="0">
                  <c:v>0</c:v>
                </c:pt>
                <c:pt idx="1">
                  <c:v>1</c:v>
                </c:pt>
                <c:pt idx="2">
                  <c:v>2</c:v>
                </c:pt>
                <c:pt idx="3">
                  <c:v>3</c:v>
                </c:pt>
                <c:pt idx="4">
                  <c:v>4</c:v>
                </c:pt>
                <c:pt idx="5">
                  <c:v>5</c:v>
                </c:pt>
                <c:pt idx="6">
                  <c:v>6</c:v>
                </c:pt>
                <c:pt idx="7">
                  <c:v>7</c:v>
                </c:pt>
                <c:pt idx="8">
                  <c:v>8</c:v>
                </c:pt>
              </c:numCache>
            </c:numRef>
          </c:cat>
          <c:val>
            <c:numRef>
              <c:f>'[2_2_Health and Mental Health.xlsx]2_2 Figure 4'!$H$31:$H$39</c:f>
              <c:numCache>
                <c:formatCode>0%</c:formatCode>
                <c:ptCount val="9"/>
                <c:pt idx="0">
                  <c:v>0.24204759034008297</c:v>
                </c:pt>
                <c:pt idx="1">
                  <c:v>0.26259332023575638</c:v>
                </c:pt>
                <c:pt idx="2">
                  <c:v>0.27489701170470149</c:v>
                </c:pt>
                <c:pt idx="3">
                  <c:v>0.29307062630877595</c:v>
                </c:pt>
                <c:pt idx="4">
                  <c:v>0.31109979633401225</c:v>
                </c:pt>
                <c:pt idx="5">
                  <c:v>0.31421686746987953</c:v>
                </c:pt>
                <c:pt idx="6">
                  <c:v>0.32894496251599925</c:v>
                </c:pt>
                <c:pt idx="7">
                  <c:v>0.32992327365728902</c:v>
                </c:pt>
                <c:pt idx="8">
                  <c:v>0.33376963350785338</c:v>
                </c:pt>
              </c:numCache>
            </c:numRef>
          </c:val>
          <c:extLst>
            <c:ext xmlns:c16="http://schemas.microsoft.com/office/drawing/2014/chart" uri="{C3380CC4-5D6E-409C-BE32-E72D297353CC}">
              <c16:uniqueId val="{00000000-1C0C-4D34-9826-7140A5D4B7A5}"/>
            </c:ext>
          </c:extLst>
        </c:ser>
        <c:ser>
          <c:idx val="1"/>
          <c:order val="1"/>
          <c:tx>
            <c:strRef>
              <c:f>'[2_2_Health and Mental Health.xlsx]2_2 Figure 4'!$I$30</c:f>
              <c:strCache>
                <c:ptCount val="1"/>
                <c:pt idx="0">
                  <c:v>Girls</c:v>
                </c:pt>
              </c:strCache>
            </c:strRef>
          </c:tx>
          <c:spPr>
            <a:solidFill>
              <a:srgbClr val="008599"/>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'[2_2_Health and Mental Health.xlsx]2_2 Figure 4'!$G$31:$G$39</c:f>
              <c:numCache>
                <c:formatCode>General</c:formatCode>
                <c:ptCount val="9"/>
                <c:pt idx="0">
                  <c:v>0</c:v>
                </c:pt>
                <c:pt idx="1">
                  <c:v>1</c:v>
                </c:pt>
                <c:pt idx="2">
                  <c:v>2</c:v>
                </c:pt>
                <c:pt idx="3">
                  <c:v>3</c:v>
                </c:pt>
                <c:pt idx="4">
                  <c:v>4</c:v>
                </c:pt>
                <c:pt idx="5">
                  <c:v>5</c:v>
                </c:pt>
                <c:pt idx="6">
                  <c:v>6</c:v>
                </c:pt>
                <c:pt idx="7">
                  <c:v>7</c:v>
                </c:pt>
                <c:pt idx="8">
                  <c:v>8</c:v>
                </c:pt>
              </c:numCache>
            </c:numRef>
          </c:cat>
          <c:val>
            <c:numRef>
              <c:f>'[2_2_Health and Mental Health.xlsx]2_2 Figure 4'!$I$31:$I$39</c:f>
              <c:numCache>
                <c:formatCode>0%</c:formatCode>
                <c:ptCount val="9"/>
                <c:pt idx="0">
                  <c:v>0.12691741207745089</c:v>
                </c:pt>
                <c:pt idx="1">
                  <c:v>0.14061748195669607</c:v>
                </c:pt>
                <c:pt idx="2">
                  <c:v>0.15029690806088322</c:v>
                </c:pt>
                <c:pt idx="3">
                  <c:v>0.16449543068248104</c:v>
                </c:pt>
                <c:pt idx="4">
                  <c:v>0.16655865197666883</c:v>
                </c:pt>
                <c:pt idx="5">
                  <c:v>0.18022589621869373</c:v>
                </c:pt>
                <c:pt idx="6">
                  <c:v>0.17444806369887803</c:v>
                </c:pt>
                <c:pt idx="7">
                  <c:v>0.18763591177384281</c:v>
                </c:pt>
                <c:pt idx="8">
                  <c:v>0.19704713231118681</c:v>
                </c:pt>
              </c:numCache>
            </c:numRef>
          </c:val>
          <c:extLst>
            <c:ext xmlns:c16="http://schemas.microsoft.com/office/drawing/2014/chart" uri="{C3380CC4-5D6E-409C-BE32-E72D297353CC}">
              <c16:uniqueId val="{00000001-1C0C-4D34-9826-7140A5D4B7A5}"/>
            </c:ext>
          </c:extLst>
        </c:ser>
        <c:dLbls>
          <c:showLegendKey val="0"/>
          <c:showVal val="0"/>
          <c:showCatName val="0"/>
          <c:showSerName val="0"/>
          <c:showPercent val="0"/>
          <c:showBubbleSize val="0"/>
        </c:dLbls>
        <c:gapWidth val="100"/>
        <c:overlap val="-18"/>
        <c:axId val="1408360991"/>
        <c:axId val="893432607"/>
      </c:barChart>
      <c:catAx>
        <c:axId val="1408360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Years</a:t>
                </a:r>
                <a:r>
                  <a:rPr lang="en-AU" baseline="0"/>
                  <a:t> parent had a mental ill-health</a:t>
                </a:r>
                <a:endParaRPr lang="en-AU"/>
              </a:p>
            </c:rich>
          </c:tx>
          <c:layout>
            <c:manualLayout>
              <c:xMode val="edge"/>
              <c:yMode val="edge"/>
              <c:x val="0.27181124234470694"/>
              <c:y val="0.824090478273548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432607"/>
        <c:crosses val="autoZero"/>
        <c:auto val="1"/>
        <c:lblAlgn val="ctr"/>
        <c:lblOffset val="100"/>
        <c:noMultiLvlLbl val="0"/>
      </c:catAx>
      <c:valAx>
        <c:axId val="893432607"/>
        <c:scaling>
          <c:orientation val="minMax"/>
        </c:scaling>
        <c:delete val="1"/>
        <c:axPos val="l"/>
        <c:numFmt formatCode="0%" sourceLinked="1"/>
        <c:majorTickMark val="none"/>
        <c:minorTickMark val="none"/>
        <c:tickLblPos val="nextTo"/>
        <c:crossAx val="1408360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805649507206754E-2"/>
          <c:y val="7.7612854006578302E-2"/>
          <c:w val="0.97166666914552324"/>
          <c:h val="0.66269112916715056"/>
        </c:manualLayout>
      </c:layout>
      <c:barChart>
        <c:barDir val="col"/>
        <c:grouping val="clustered"/>
        <c:varyColors val="0"/>
        <c:ser>
          <c:idx val="0"/>
          <c:order val="0"/>
          <c:tx>
            <c:strRef>
              <c:f>'2_1 Figure 9'!$V$5</c:f>
              <c:strCache>
                <c:ptCount val="1"/>
                <c:pt idx="0">
                  <c:v>Parent first accessed services</c:v>
                </c:pt>
              </c:strCache>
            </c:strRef>
          </c:tx>
          <c:spPr>
            <a:solidFill>
              <a:srgbClr val="00254A"/>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'2_1 Figure 9'!$U$6:$U$13</c:f>
              <c:strCache>
                <c:ptCount val="8"/>
                <c:pt idx="0">
                  <c:v>Under 0</c:v>
                </c:pt>
                <c:pt idx="1">
                  <c:v>0</c:v>
                </c:pt>
                <c:pt idx="2">
                  <c:v>1</c:v>
                </c:pt>
                <c:pt idx="3">
                  <c:v>2</c:v>
                </c:pt>
                <c:pt idx="4">
                  <c:v>3</c:v>
                </c:pt>
                <c:pt idx="5">
                  <c:v>4</c:v>
                </c:pt>
                <c:pt idx="6">
                  <c:v>5</c:v>
                </c:pt>
                <c:pt idx="7">
                  <c:v>6+</c:v>
                </c:pt>
              </c:strCache>
            </c:strRef>
          </c:cat>
          <c:val>
            <c:numRef>
              <c:f>'2_1 Figure 9'!$V$6:$V$13</c:f>
              <c:numCache>
                <c:formatCode>0%</c:formatCode>
                <c:ptCount val="8"/>
                <c:pt idx="0">
                  <c:v>0.25578936667683239</c:v>
                </c:pt>
                <c:pt idx="1">
                  <c:v>0.22713287609768604</c:v>
                </c:pt>
                <c:pt idx="2">
                  <c:v>0.21927561162079512</c:v>
                </c:pt>
                <c:pt idx="3">
                  <c:v>0.20813383653467019</c:v>
                </c:pt>
                <c:pt idx="4">
                  <c:v>0.20528646182745203</c:v>
                </c:pt>
                <c:pt idx="5">
                  <c:v>0.20349684312773192</c:v>
                </c:pt>
                <c:pt idx="6">
                  <c:v>0.19043808761752351</c:v>
                </c:pt>
                <c:pt idx="7">
                  <c:v>0.1836612999403697</c:v>
                </c:pt>
              </c:numCache>
            </c:numRef>
          </c:val>
          <c:extLst>
            <c:ext xmlns:c16="http://schemas.microsoft.com/office/drawing/2014/chart" uri="{C3380CC4-5D6E-409C-BE32-E72D297353CC}">
              <c16:uniqueId val="{00000000-E896-4E27-BC1B-9F6AC97BBE24}"/>
            </c:ext>
          </c:extLst>
        </c:ser>
        <c:ser>
          <c:idx val="1"/>
          <c:order val="1"/>
          <c:tx>
            <c:strRef>
              <c:f>'2_1 Figure 9'!$W$5</c:f>
              <c:strCache>
                <c:ptCount val="1"/>
                <c:pt idx="0">
                  <c:v>Child first accessed services</c:v>
                </c:pt>
              </c:strCache>
            </c:strRef>
          </c:tx>
          <c:spPr>
            <a:solidFill>
              <a:srgbClr val="008599"/>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'2_1 Figure 9'!$U$6:$U$13</c:f>
              <c:strCache>
                <c:ptCount val="8"/>
                <c:pt idx="0">
                  <c:v>Under 0</c:v>
                </c:pt>
                <c:pt idx="1">
                  <c:v>0</c:v>
                </c:pt>
                <c:pt idx="2">
                  <c:v>1</c:v>
                </c:pt>
                <c:pt idx="3">
                  <c:v>2</c:v>
                </c:pt>
                <c:pt idx="4">
                  <c:v>3</c:v>
                </c:pt>
                <c:pt idx="5">
                  <c:v>4</c:v>
                </c:pt>
                <c:pt idx="6">
                  <c:v>5</c:v>
                </c:pt>
                <c:pt idx="7">
                  <c:v>6+</c:v>
                </c:pt>
              </c:strCache>
            </c:strRef>
          </c:cat>
          <c:val>
            <c:numRef>
              <c:f>'2_1 Figure 9'!$W$6:$W$13</c:f>
              <c:numCache>
                <c:formatCode>0%</c:formatCode>
                <c:ptCount val="8"/>
                <c:pt idx="1">
                  <c:v>0.24754098360655738</c:v>
                </c:pt>
                <c:pt idx="2">
                  <c:v>0.23884197828709289</c:v>
                </c:pt>
                <c:pt idx="3">
                  <c:v>0.28242424242424241</c:v>
                </c:pt>
                <c:pt idx="4">
                  <c:v>0.29777070063694266</c:v>
                </c:pt>
                <c:pt idx="5">
                  <c:v>0.35181741335587491</c:v>
                </c:pt>
                <c:pt idx="6">
                  <c:v>0.41669032074936135</c:v>
                </c:pt>
                <c:pt idx="7">
                  <c:v>0.42090234151913192</c:v>
                </c:pt>
              </c:numCache>
            </c:numRef>
          </c:val>
          <c:extLst>
            <c:ext xmlns:c16="http://schemas.microsoft.com/office/drawing/2014/chart" uri="{C3380CC4-5D6E-409C-BE32-E72D297353CC}">
              <c16:uniqueId val="{00000001-E896-4E27-BC1B-9F6AC97BBE24}"/>
            </c:ext>
          </c:extLst>
        </c:ser>
        <c:dLbls>
          <c:showLegendKey val="0"/>
          <c:showVal val="0"/>
          <c:showCatName val="0"/>
          <c:showSerName val="0"/>
          <c:showPercent val="0"/>
          <c:showBubbleSize val="0"/>
        </c:dLbls>
        <c:gapWidth val="100"/>
        <c:overlap val="-18"/>
        <c:axId val="1408360991"/>
        <c:axId val="893432607"/>
      </c:barChart>
      <c:catAx>
        <c:axId val="1408360991"/>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a:t>Child age</a:t>
                </a:r>
              </a:p>
            </c:rich>
          </c:tx>
          <c:layout>
            <c:manualLayout>
              <c:xMode val="edge"/>
              <c:yMode val="edge"/>
              <c:x val="0.44958899287035964"/>
              <c:y val="0.810201716578321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93432607"/>
        <c:crosses val="autoZero"/>
        <c:auto val="1"/>
        <c:lblAlgn val="ctr"/>
        <c:lblOffset val="100"/>
        <c:noMultiLvlLbl val="0"/>
      </c:catAx>
      <c:valAx>
        <c:axId val="893432607"/>
        <c:scaling>
          <c:orientation val="minMax"/>
        </c:scaling>
        <c:delete val="1"/>
        <c:axPos val="l"/>
        <c:numFmt formatCode="0%" sourceLinked="1"/>
        <c:majorTickMark val="none"/>
        <c:minorTickMark val="none"/>
        <c:tickLblPos val="nextTo"/>
        <c:crossAx val="1408360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001D-541D-4538-BDED-65ABA9E16F24}">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89FD4450-BD7A-47B5-A0B6-1764EFE34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BC9B8-CAB6-4AE5-9273-CF69C54C89FE}">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5377</Words>
  <Characters>30650</Characters>
  <Application>Microsoft Office Word</Application>
  <DocSecurity>4</DocSecurity>
  <Lines>255</Lines>
  <Paragraphs>71</Paragraphs>
  <ScaleCrop>false</ScaleCrop>
  <Company/>
  <LinksUpToDate>false</LinksUpToDate>
  <CharactersWithSpaces>35956</CharactersWithSpaces>
  <SharedDoc>false</SharedDoc>
  <HLinks>
    <vt:vector size="54" baseType="variant">
      <vt:variant>
        <vt:i4>6291573</vt:i4>
      </vt:variant>
      <vt:variant>
        <vt:i4>24</vt:i4>
      </vt:variant>
      <vt:variant>
        <vt:i4>0</vt:i4>
      </vt:variant>
      <vt:variant>
        <vt:i4>5</vt:i4>
      </vt:variant>
      <vt:variant>
        <vt:lpwstr>https://data.worldbank.org/indicator/NY.GDP.PCAP.CD</vt:lpwstr>
      </vt:variant>
      <vt:variant>
        <vt:lpwstr/>
      </vt:variant>
      <vt:variant>
        <vt:i4>4128819</vt:i4>
      </vt:variant>
      <vt:variant>
        <vt:i4>21</vt:i4>
      </vt:variant>
      <vt:variant>
        <vt:i4>0</vt:i4>
      </vt:variant>
      <vt:variant>
        <vt:i4>5</vt:i4>
      </vt:variant>
      <vt:variant>
        <vt:lpwstr>https://www.aedc.gov.au/resources/detail/2018-aedc-data-collection-technical-report</vt:lpwstr>
      </vt:variant>
      <vt:variant>
        <vt:lpwstr/>
      </vt:variant>
      <vt:variant>
        <vt:i4>720984</vt:i4>
      </vt:variant>
      <vt:variant>
        <vt:i4>18</vt:i4>
      </vt:variant>
      <vt:variant>
        <vt:i4>0</vt:i4>
      </vt:variant>
      <vt:variant>
        <vt:i4>5</vt:i4>
      </vt:variant>
      <vt:variant>
        <vt:lpwstr>https://www.childrens.health.qld.gov.au/chq/health-professionals/qcyc-network/resources/</vt:lpwstr>
      </vt:variant>
      <vt:variant>
        <vt:lpwstr>b436e85cc99acff38</vt:lpwstr>
      </vt:variant>
      <vt:variant>
        <vt:i4>4456522</vt:i4>
      </vt:variant>
      <vt:variant>
        <vt:i4>15</vt:i4>
      </vt:variant>
      <vt:variant>
        <vt:i4>0</vt:i4>
      </vt:variant>
      <vt:variant>
        <vt:i4>5</vt:i4>
      </vt:variant>
      <vt:variant>
        <vt:lpwstr>https://www.tcsisupport.gov.au/support/appendices</vt:lpwstr>
      </vt:variant>
      <vt:variant>
        <vt:lpwstr/>
      </vt:variant>
      <vt:variant>
        <vt:i4>8126515</vt:i4>
      </vt:variant>
      <vt:variant>
        <vt:i4>12</vt:i4>
      </vt:variant>
      <vt:variant>
        <vt:i4>0</vt:i4>
      </vt:variant>
      <vt:variant>
        <vt:i4>5</vt:i4>
      </vt:variant>
      <vt:variant>
        <vt:lpwstr>https://www.aihw.gov.au/reports/children-youth/australias-children</vt:lpwstr>
      </vt:variant>
      <vt:variant>
        <vt:lpwstr/>
      </vt:variant>
      <vt:variant>
        <vt:i4>5242897</vt:i4>
      </vt:variant>
      <vt:variant>
        <vt:i4>9</vt:i4>
      </vt:variant>
      <vt:variant>
        <vt:i4>0</vt:i4>
      </vt:variant>
      <vt:variant>
        <vt:i4>5</vt:i4>
      </vt:variant>
      <vt:variant>
        <vt:lpwstr>https://www.aihw.gov.au/reports/children-youth/learning-development-impact-of-early-childhood-edu/summary</vt:lpwstr>
      </vt:variant>
      <vt:variant>
        <vt:lpwstr/>
      </vt:variant>
      <vt:variant>
        <vt:i4>4915207</vt:i4>
      </vt:variant>
      <vt:variant>
        <vt:i4>6</vt:i4>
      </vt:variant>
      <vt:variant>
        <vt:i4>0</vt:i4>
      </vt:variant>
      <vt:variant>
        <vt:i4>5</vt:i4>
      </vt:variant>
      <vt:variant>
        <vt:lpwstr>https://www.aedc.gov.au/about-the-aedc/about-the-aedc-domains</vt:lpwstr>
      </vt:variant>
      <vt:variant>
        <vt:lpwstr/>
      </vt:variant>
      <vt:variant>
        <vt:i4>3080248</vt:i4>
      </vt:variant>
      <vt:variant>
        <vt:i4>3</vt:i4>
      </vt:variant>
      <vt:variant>
        <vt:i4>0</vt:i4>
      </vt:variant>
      <vt:variant>
        <vt:i4>5</vt:i4>
      </vt:variant>
      <vt:variant>
        <vt:lpwstr>https://www.abs.gov.au/statistics/economy/finance/household-income-and-wealth-australia/latest-release</vt:lpwstr>
      </vt:variant>
      <vt:variant>
        <vt:lpwstr/>
      </vt:variant>
      <vt:variant>
        <vt:i4>8126474</vt:i4>
      </vt:variant>
      <vt:variant>
        <vt:i4>0</vt:i4>
      </vt:variant>
      <vt:variant>
        <vt:i4>0</vt:i4>
      </vt:variant>
      <vt:variant>
        <vt:i4>5</vt:i4>
      </vt:variant>
      <vt:variant>
        <vt:lpwstr>https://www.abs.gov.au/AUSSTATS/abs@.nsf/Lookup/6523.0Main+Features62011-12?OpenDocument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XIA,Hua</cp:lastModifiedBy>
  <cp:revision>141</cp:revision>
  <cp:lastPrinted>2025-05-19T16:50:00Z</cp:lastPrinted>
  <dcterms:created xsi:type="dcterms:W3CDTF">2024-08-11T10:09:00Z</dcterms:created>
  <dcterms:modified xsi:type="dcterms:W3CDTF">2025-11-24T03:27:00Z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