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5828" w14:textId="77777777" w:rsidR="00D045E9" w:rsidRPr="008403BD" w:rsidRDefault="00727EB1" w:rsidP="003725F1">
      <w:pPr>
        <w:pStyle w:val="RecipientSenderdetails"/>
        <w:rPr>
          <w:rFonts w:cstheme="minorHAnsi"/>
          <w:sz w:val="22"/>
          <w:szCs w:val="22"/>
        </w:rPr>
      </w:pPr>
      <w:r w:rsidRPr="008403BD">
        <w:rPr>
          <w:rFonts w:cstheme="minorHAnsi"/>
          <w:noProof/>
          <w:sz w:val="22"/>
          <w:szCs w:val="22"/>
          <w:lang w:eastAsia="en-AU"/>
        </w:rPr>
        <w:drawing>
          <wp:inline distT="0" distB="0" distL="0" distR="0" wp14:anchorId="27B83864" wp14:editId="531A8802">
            <wp:extent cx="2948354" cy="703932"/>
            <wp:effectExtent l="0" t="0" r="4445" b="1270"/>
            <wp:docPr id="5" name="Graphic 5"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crest and Tuition Protection Service logo."/>
                    <pic:cNvPicPr/>
                  </pic:nvPicPr>
                  <pic:blipFill>
                    <a:blip r:embed="rId8">
                      <a:extLst>
                        <a:ext uri="{96DAC541-7B7A-43D3-8B79-37D633B846F1}">
                          <asvg:svgBlip xmlns:asvg="http://schemas.microsoft.com/office/drawing/2016/SVG/main" r:embed="rId9"/>
                        </a:ext>
                      </a:extLst>
                    </a:blip>
                    <a:stretch>
                      <a:fillRect/>
                    </a:stretch>
                  </pic:blipFill>
                  <pic:spPr>
                    <a:xfrm>
                      <a:off x="0" y="0"/>
                      <a:ext cx="2948354" cy="703932"/>
                    </a:xfrm>
                    <a:prstGeom prst="rect">
                      <a:avLst/>
                    </a:prstGeom>
                  </pic:spPr>
                </pic:pic>
              </a:graphicData>
            </a:graphic>
          </wp:inline>
        </w:drawing>
      </w:r>
    </w:p>
    <w:p w14:paraId="35BCCB0D" w14:textId="77777777" w:rsidR="00727EB1" w:rsidRPr="008403BD" w:rsidRDefault="00727EB1" w:rsidP="003725F1">
      <w:pPr>
        <w:pStyle w:val="RecipientSenderdetails"/>
        <w:rPr>
          <w:rFonts w:cstheme="minorHAnsi"/>
          <w:sz w:val="22"/>
          <w:szCs w:val="22"/>
        </w:rPr>
      </w:pPr>
    </w:p>
    <w:p w14:paraId="26C6875E" w14:textId="194619A5" w:rsidR="00727EB1" w:rsidRPr="008403BD" w:rsidRDefault="000D2E57" w:rsidP="003725F1">
      <w:pPr>
        <w:pStyle w:val="RecipientSenderdetails"/>
        <w:rPr>
          <w:rFonts w:cstheme="minorHAnsi"/>
          <w:sz w:val="22"/>
          <w:szCs w:val="22"/>
        </w:rPr>
      </w:pPr>
      <w:r>
        <w:rPr>
          <w:noProof/>
          <w:color w:val="002D3F"/>
          <w:lang w:eastAsia="en-AU"/>
        </w:rPr>
        <mc:AlternateContent>
          <mc:Choice Requires="wps">
            <w:drawing>
              <wp:anchor distT="0" distB="0" distL="114300" distR="114300" simplePos="0" relativeHeight="251658240" behindDoc="1" locked="1" layoutInCell="1" allowOverlap="1" wp14:anchorId="31528FFB" wp14:editId="05B504CA">
                <wp:simplePos x="0" y="0"/>
                <wp:positionH relativeFrom="page">
                  <wp:posOffset>0</wp:posOffset>
                </wp:positionH>
                <wp:positionV relativeFrom="page">
                  <wp:posOffset>1137920</wp:posOffset>
                </wp:positionV>
                <wp:extent cx="7729200" cy="68400"/>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9200" cy="68400"/>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C5872" id="Rectangle 3" o:spid="_x0000_s1026" alt="&quot;&quot;" style="position:absolute;margin-left:0;margin-top:89.6pt;width:608.6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" fillcolor="#4897a2" stroked="f" strokeweight="1pt">
                <w10:wrap anchorx="page" anchory="page"/>
                <w10:anchorlock/>
              </v:rect>
            </w:pict>
          </mc:Fallback>
        </mc:AlternateContent>
      </w:r>
    </w:p>
    <w:p w14:paraId="2943EC3A" w14:textId="2324CB73" w:rsidR="00D74E97" w:rsidRPr="008403BD" w:rsidRDefault="000A6AF9" w:rsidP="0023240C">
      <w:pPr>
        <w:pStyle w:val="RecipientSenderdetails"/>
        <w:spacing w:line="240" w:lineRule="auto"/>
        <w:rPr>
          <w:rFonts w:cstheme="minorHAnsi"/>
          <w:sz w:val="22"/>
          <w:szCs w:val="22"/>
        </w:rPr>
      </w:pPr>
      <w:r w:rsidRPr="008403BD">
        <w:rPr>
          <w:rFonts w:cstheme="minorHAnsi"/>
          <w:sz w:val="22"/>
          <w:szCs w:val="22"/>
        </w:rPr>
        <w:t>Ms Melinda Hatton</w:t>
      </w:r>
    </w:p>
    <w:p w14:paraId="666B80D7" w14:textId="4201661C" w:rsidR="000A6AF9" w:rsidRPr="008403BD" w:rsidRDefault="001A678B" w:rsidP="00DF280F">
      <w:pPr>
        <w:pStyle w:val="RecipientSenderdetails"/>
        <w:spacing w:before="0" w:line="240" w:lineRule="auto"/>
        <w:rPr>
          <w:rFonts w:cstheme="minorHAnsi"/>
          <w:sz w:val="22"/>
          <w:szCs w:val="22"/>
        </w:rPr>
      </w:pPr>
      <w:r>
        <w:rPr>
          <w:rFonts w:cstheme="minorHAnsi"/>
          <w:sz w:val="22"/>
          <w:szCs w:val="22"/>
        </w:rPr>
        <w:t xml:space="preserve">TPS </w:t>
      </w:r>
      <w:r w:rsidR="000A6AF9" w:rsidRPr="008403BD">
        <w:rPr>
          <w:rFonts w:cstheme="minorHAnsi"/>
          <w:sz w:val="22"/>
          <w:szCs w:val="22"/>
        </w:rPr>
        <w:t xml:space="preserve">Director </w:t>
      </w:r>
    </w:p>
    <w:p w14:paraId="2DCA4710" w14:textId="11EA592B" w:rsidR="00D74E97" w:rsidRPr="008403BD" w:rsidRDefault="000A6AF9" w:rsidP="00DF280F">
      <w:pPr>
        <w:pStyle w:val="RecipientSenderdetails"/>
        <w:spacing w:before="0" w:line="240" w:lineRule="auto"/>
        <w:rPr>
          <w:rFonts w:cstheme="minorHAnsi"/>
          <w:sz w:val="22"/>
          <w:szCs w:val="22"/>
        </w:rPr>
      </w:pPr>
      <w:r w:rsidRPr="008403BD">
        <w:rPr>
          <w:rFonts w:cstheme="minorHAnsi"/>
          <w:sz w:val="22"/>
          <w:szCs w:val="22"/>
        </w:rPr>
        <w:t xml:space="preserve">Tuition Protection Service </w:t>
      </w:r>
    </w:p>
    <w:p w14:paraId="16157732" w14:textId="77777777" w:rsidR="000A6AF9" w:rsidRPr="008403BD" w:rsidRDefault="000A6AF9" w:rsidP="0023240C">
      <w:pPr>
        <w:spacing w:before="0" w:after="0" w:line="240" w:lineRule="auto"/>
        <w:rPr>
          <w:rFonts w:cstheme="minorHAnsi"/>
          <w:sz w:val="22"/>
          <w:szCs w:val="22"/>
        </w:rPr>
      </w:pPr>
      <w:r w:rsidRPr="008403BD">
        <w:rPr>
          <w:rFonts w:cstheme="minorHAnsi"/>
          <w:sz w:val="22"/>
          <w:szCs w:val="22"/>
        </w:rPr>
        <w:t>c/o Department of Education</w:t>
      </w:r>
    </w:p>
    <w:p w14:paraId="508A86F0" w14:textId="77777777" w:rsidR="000A6AF9" w:rsidRPr="008403BD" w:rsidRDefault="000A6AF9" w:rsidP="0023240C">
      <w:pPr>
        <w:spacing w:before="0" w:after="0" w:line="240" w:lineRule="auto"/>
        <w:rPr>
          <w:rFonts w:cstheme="minorHAnsi"/>
          <w:sz w:val="22"/>
          <w:szCs w:val="22"/>
        </w:rPr>
      </w:pPr>
      <w:r w:rsidRPr="008403BD">
        <w:rPr>
          <w:rFonts w:cstheme="minorHAnsi"/>
          <w:sz w:val="22"/>
          <w:szCs w:val="22"/>
        </w:rPr>
        <w:t>GPO Box 9880</w:t>
      </w:r>
    </w:p>
    <w:p w14:paraId="1BE1A0D0" w14:textId="32BE4B59" w:rsidR="00082E1E" w:rsidRPr="008403BD" w:rsidRDefault="000A6AF9" w:rsidP="0023240C">
      <w:pPr>
        <w:spacing w:before="0" w:after="0" w:line="240" w:lineRule="auto"/>
        <w:rPr>
          <w:rFonts w:cstheme="minorHAnsi"/>
          <w:sz w:val="22"/>
          <w:szCs w:val="22"/>
        </w:rPr>
      </w:pPr>
      <w:r w:rsidRPr="008403BD">
        <w:rPr>
          <w:rFonts w:cstheme="minorHAnsi"/>
          <w:sz w:val="22"/>
          <w:szCs w:val="22"/>
        </w:rPr>
        <w:t>Canberra ACT 2601</w:t>
      </w:r>
    </w:p>
    <w:p w14:paraId="7E772C99" w14:textId="77777777" w:rsidR="000A6AF9" w:rsidRPr="008403BD" w:rsidRDefault="000A6AF9" w:rsidP="003725F1">
      <w:pPr>
        <w:rPr>
          <w:rFonts w:cstheme="minorHAnsi"/>
          <w:sz w:val="22"/>
          <w:szCs w:val="22"/>
        </w:rPr>
      </w:pPr>
    </w:p>
    <w:p w14:paraId="39E2FC44" w14:textId="528CE13E" w:rsidR="00082E1E" w:rsidRPr="008403BD" w:rsidRDefault="00082E1E" w:rsidP="00E03A3A">
      <w:pPr>
        <w:spacing w:before="0" w:after="120"/>
        <w:rPr>
          <w:rFonts w:cstheme="minorHAnsi"/>
          <w:sz w:val="22"/>
          <w:szCs w:val="22"/>
        </w:rPr>
      </w:pPr>
      <w:r w:rsidRPr="008403BD">
        <w:rPr>
          <w:rFonts w:cstheme="minorHAnsi"/>
          <w:sz w:val="22"/>
          <w:szCs w:val="22"/>
        </w:rPr>
        <w:t xml:space="preserve">Dear </w:t>
      </w:r>
      <w:r w:rsidR="000A6AF9" w:rsidRPr="008403BD">
        <w:rPr>
          <w:rFonts w:cstheme="minorHAnsi"/>
          <w:sz w:val="22"/>
          <w:szCs w:val="22"/>
        </w:rPr>
        <w:t>Ms Hatton</w:t>
      </w:r>
      <w:r w:rsidRPr="008403BD">
        <w:rPr>
          <w:rFonts w:cstheme="minorHAnsi"/>
          <w:sz w:val="22"/>
          <w:szCs w:val="22"/>
        </w:rPr>
        <w:t>,</w:t>
      </w:r>
      <w:r w:rsidR="00AF4BF2">
        <w:rPr>
          <w:rFonts w:cstheme="minorHAnsi"/>
          <w:sz w:val="22"/>
          <w:szCs w:val="22"/>
        </w:rPr>
        <w:t xml:space="preserve"> </w:t>
      </w:r>
    </w:p>
    <w:p w14:paraId="53F49917" w14:textId="6DD7A442" w:rsidR="00730064" w:rsidRPr="00D9311D" w:rsidRDefault="000A6AF9" w:rsidP="00E03A3A">
      <w:pPr>
        <w:pStyle w:val="Subjectline"/>
        <w:spacing w:before="0" w:after="120"/>
        <w:rPr>
          <w:rFonts w:cstheme="minorHAnsi"/>
          <w:sz w:val="22"/>
          <w:szCs w:val="22"/>
        </w:rPr>
      </w:pPr>
      <w:r w:rsidRPr="008403BD">
        <w:rPr>
          <w:rFonts w:cstheme="minorHAnsi"/>
          <w:sz w:val="22"/>
          <w:szCs w:val="22"/>
        </w:rPr>
        <w:t xml:space="preserve">TPS Advisory Board’s </w:t>
      </w:r>
      <w:r w:rsidR="00046C8C">
        <w:rPr>
          <w:rFonts w:cstheme="minorHAnsi"/>
          <w:sz w:val="22"/>
          <w:szCs w:val="22"/>
        </w:rPr>
        <w:t>final</w:t>
      </w:r>
      <w:r w:rsidRPr="008403BD">
        <w:rPr>
          <w:rFonts w:cstheme="minorHAnsi"/>
          <w:sz w:val="22"/>
          <w:szCs w:val="22"/>
        </w:rPr>
        <w:t xml:space="preserve"> advice on 202</w:t>
      </w:r>
      <w:r w:rsidR="00955CAF">
        <w:rPr>
          <w:rFonts w:cstheme="minorHAnsi"/>
          <w:sz w:val="22"/>
          <w:szCs w:val="22"/>
        </w:rPr>
        <w:t>6</w:t>
      </w:r>
      <w:r w:rsidRPr="008403BD">
        <w:rPr>
          <w:rFonts w:cstheme="minorHAnsi"/>
          <w:sz w:val="22"/>
          <w:szCs w:val="22"/>
        </w:rPr>
        <w:t xml:space="preserve"> </w:t>
      </w:r>
      <w:r w:rsidR="003E20B9" w:rsidRPr="00D9311D">
        <w:rPr>
          <w:rFonts w:cstheme="minorHAnsi"/>
          <w:sz w:val="22"/>
          <w:szCs w:val="22"/>
        </w:rPr>
        <w:t>I</w:t>
      </w:r>
      <w:r w:rsidRPr="00D9311D">
        <w:rPr>
          <w:rFonts w:cstheme="minorHAnsi"/>
          <w:sz w:val="22"/>
          <w:szCs w:val="22"/>
        </w:rPr>
        <w:t>nternational TPS Levy</w:t>
      </w:r>
    </w:p>
    <w:p w14:paraId="159D4DFC" w14:textId="45D199EF" w:rsidR="0050492B" w:rsidRPr="00D9311D" w:rsidRDefault="0050492B" w:rsidP="003725F1">
      <w:pPr>
        <w:rPr>
          <w:rFonts w:cstheme="minorHAnsi"/>
          <w:sz w:val="22"/>
          <w:szCs w:val="22"/>
        </w:rPr>
      </w:pPr>
      <w:r w:rsidRPr="00D9311D">
        <w:rPr>
          <w:rFonts w:cstheme="minorHAnsi"/>
          <w:sz w:val="22"/>
          <w:szCs w:val="22"/>
        </w:rPr>
        <w:t>I am writing to you in my capacity as</w:t>
      </w:r>
      <w:r w:rsidR="000A6A49">
        <w:rPr>
          <w:rFonts w:cstheme="minorHAnsi"/>
          <w:sz w:val="22"/>
          <w:szCs w:val="22"/>
        </w:rPr>
        <w:t xml:space="preserve"> acting</w:t>
      </w:r>
      <w:r w:rsidRPr="00D9311D">
        <w:rPr>
          <w:rFonts w:cstheme="minorHAnsi"/>
          <w:sz w:val="22"/>
          <w:szCs w:val="22"/>
        </w:rPr>
        <w:t xml:space="preserve"> Chair of the Tuition Protection Service (TPS) Advisory Board (the Board), in accordance with section 55B of the </w:t>
      </w:r>
      <w:r w:rsidRPr="00D9311D">
        <w:rPr>
          <w:rFonts w:cstheme="minorHAnsi"/>
          <w:i/>
          <w:iCs/>
          <w:sz w:val="22"/>
          <w:szCs w:val="22"/>
        </w:rPr>
        <w:t>Education Services for Overseas Students Act 2000</w:t>
      </w:r>
      <w:r w:rsidRPr="00D9311D">
        <w:rPr>
          <w:rFonts w:cstheme="minorHAnsi"/>
          <w:sz w:val="22"/>
          <w:szCs w:val="22"/>
        </w:rPr>
        <w:t xml:space="preserve">, to </w:t>
      </w:r>
      <w:r w:rsidRPr="004D7538">
        <w:rPr>
          <w:rFonts w:cstheme="minorHAnsi"/>
          <w:sz w:val="22"/>
          <w:szCs w:val="22"/>
        </w:rPr>
        <w:t>provide the Board’s</w:t>
      </w:r>
      <w:r w:rsidR="00046C8C" w:rsidRPr="004D7538">
        <w:rPr>
          <w:rFonts w:cstheme="minorHAnsi"/>
          <w:sz w:val="22"/>
          <w:szCs w:val="22"/>
        </w:rPr>
        <w:t xml:space="preserve"> final </w:t>
      </w:r>
      <w:r w:rsidRPr="004D7538">
        <w:rPr>
          <w:rFonts w:cstheme="minorHAnsi"/>
          <w:sz w:val="22"/>
          <w:szCs w:val="22"/>
        </w:rPr>
        <w:t>advice</w:t>
      </w:r>
      <w:r w:rsidR="00517B9B" w:rsidRPr="004D7538">
        <w:rPr>
          <w:rFonts w:cstheme="minorHAnsi"/>
          <w:sz w:val="22"/>
          <w:szCs w:val="22"/>
        </w:rPr>
        <w:t xml:space="preserve"> on the</w:t>
      </w:r>
      <w:r w:rsidR="004D7538" w:rsidRPr="00712F39">
        <w:rPr>
          <w:sz w:val="22"/>
          <w:szCs w:val="22"/>
        </w:rPr>
        <w:t xml:space="preserve"> Risk </w:t>
      </w:r>
      <w:r w:rsidR="00712F39">
        <w:rPr>
          <w:sz w:val="22"/>
          <w:szCs w:val="22"/>
        </w:rPr>
        <w:t>R</w:t>
      </w:r>
      <w:r w:rsidR="004D7538" w:rsidRPr="00712F39">
        <w:rPr>
          <w:sz w:val="22"/>
          <w:szCs w:val="22"/>
        </w:rPr>
        <w:t>ated Premium and Special Tuition Protection components of the</w:t>
      </w:r>
      <w:r w:rsidR="00517B9B" w:rsidRPr="004D7538">
        <w:rPr>
          <w:rFonts w:cstheme="minorHAnsi"/>
          <w:sz w:val="22"/>
          <w:szCs w:val="22"/>
        </w:rPr>
        <w:t xml:space="preserve"> 202</w:t>
      </w:r>
      <w:r w:rsidR="004819EF" w:rsidRPr="004D7538">
        <w:rPr>
          <w:rFonts w:cstheme="minorHAnsi"/>
          <w:sz w:val="22"/>
          <w:szCs w:val="22"/>
        </w:rPr>
        <w:t>6</w:t>
      </w:r>
      <w:r w:rsidR="00517B9B" w:rsidRPr="00D9311D">
        <w:rPr>
          <w:rFonts w:cstheme="minorHAnsi"/>
          <w:sz w:val="22"/>
          <w:szCs w:val="22"/>
        </w:rPr>
        <w:t xml:space="preserve"> </w:t>
      </w:r>
      <w:r w:rsidR="005C43B9" w:rsidRPr="00D9311D">
        <w:rPr>
          <w:rFonts w:cstheme="minorHAnsi"/>
          <w:sz w:val="22"/>
          <w:szCs w:val="22"/>
        </w:rPr>
        <w:t>I</w:t>
      </w:r>
      <w:r w:rsidR="00517B9B" w:rsidRPr="00D9311D">
        <w:rPr>
          <w:rFonts w:cstheme="minorHAnsi"/>
          <w:sz w:val="22"/>
          <w:szCs w:val="22"/>
        </w:rPr>
        <w:t xml:space="preserve">nternational TPS Levy. This is </w:t>
      </w:r>
      <w:r w:rsidRPr="00D9311D">
        <w:rPr>
          <w:rFonts w:cstheme="minorHAnsi"/>
          <w:sz w:val="22"/>
          <w:szCs w:val="22"/>
        </w:rPr>
        <w:t xml:space="preserve">for the purpose of your </w:t>
      </w:r>
      <w:r w:rsidR="00517B9B" w:rsidRPr="00D9311D">
        <w:rPr>
          <w:rFonts w:cstheme="minorHAnsi"/>
          <w:sz w:val="22"/>
          <w:szCs w:val="22"/>
        </w:rPr>
        <w:t>drafting of</w:t>
      </w:r>
      <w:r w:rsidRPr="00D9311D">
        <w:rPr>
          <w:rFonts w:cstheme="minorHAnsi"/>
          <w:sz w:val="22"/>
          <w:szCs w:val="22"/>
        </w:rPr>
        <w:t xml:space="preserve"> the </w:t>
      </w:r>
      <w:r w:rsidR="00595F3E" w:rsidRPr="00D9311D">
        <w:rPr>
          <w:rFonts w:cstheme="minorHAnsi"/>
          <w:sz w:val="22"/>
          <w:szCs w:val="22"/>
        </w:rPr>
        <w:t xml:space="preserve">annual </w:t>
      </w:r>
      <w:r w:rsidRPr="00D9311D">
        <w:rPr>
          <w:rFonts w:cstheme="minorHAnsi"/>
          <w:sz w:val="22"/>
          <w:szCs w:val="22"/>
        </w:rPr>
        <w:t xml:space="preserve">legislative instrument </w:t>
      </w:r>
      <w:r w:rsidR="00517B9B" w:rsidRPr="00D9311D">
        <w:rPr>
          <w:rFonts w:cstheme="minorHAnsi"/>
          <w:sz w:val="22"/>
          <w:szCs w:val="22"/>
        </w:rPr>
        <w:t>to enact</w:t>
      </w:r>
      <w:r w:rsidRPr="00D9311D">
        <w:rPr>
          <w:rFonts w:cstheme="minorHAnsi"/>
          <w:sz w:val="22"/>
          <w:szCs w:val="22"/>
        </w:rPr>
        <w:t xml:space="preserve"> the </w:t>
      </w:r>
      <w:r w:rsidR="00C27613">
        <w:rPr>
          <w:rFonts w:cstheme="minorHAnsi"/>
          <w:sz w:val="22"/>
          <w:szCs w:val="22"/>
        </w:rPr>
        <w:t>R</w:t>
      </w:r>
      <w:r w:rsidR="0010764A" w:rsidRPr="00D9311D">
        <w:rPr>
          <w:rFonts w:cstheme="minorHAnsi"/>
          <w:sz w:val="22"/>
          <w:szCs w:val="22"/>
        </w:rPr>
        <w:t>isk</w:t>
      </w:r>
      <w:r w:rsidR="0010764A">
        <w:rPr>
          <w:rFonts w:cstheme="minorHAnsi"/>
          <w:sz w:val="22"/>
          <w:szCs w:val="22"/>
        </w:rPr>
        <w:t xml:space="preserve"> </w:t>
      </w:r>
      <w:r w:rsidR="00C27613">
        <w:rPr>
          <w:rFonts w:cstheme="minorHAnsi"/>
          <w:sz w:val="22"/>
          <w:szCs w:val="22"/>
        </w:rPr>
        <w:t>R</w:t>
      </w:r>
      <w:r w:rsidR="0010764A" w:rsidRPr="00D9311D">
        <w:rPr>
          <w:rFonts w:cstheme="minorHAnsi"/>
          <w:sz w:val="22"/>
          <w:szCs w:val="22"/>
        </w:rPr>
        <w:t xml:space="preserve">ated </w:t>
      </w:r>
      <w:r w:rsidR="00C27613">
        <w:rPr>
          <w:rFonts w:cstheme="minorHAnsi"/>
          <w:sz w:val="22"/>
          <w:szCs w:val="22"/>
        </w:rPr>
        <w:t>P</w:t>
      </w:r>
      <w:r w:rsidR="0010764A" w:rsidRPr="00D9311D">
        <w:rPr>
          <w:rFonts w:cstheme="minorHAnsi"/>
          <w:sz w:val="22"/>
          <w:szCs w:val="22"/>
        </w:rPr>
        <w:t xml:space="preserve">remium </w:t>
      </w:r>
      <w:r w:rsidRPr="00D9311D">
        <w:rPr>
          <w:rFonts w:cstheme="minorHAnsi"/>
          <w:sz w:val="22"/>
          <w:szCs w:val="22"/>
        </w:rPr>
        <w:t xml:space="preserve">and </w:t>
      </w:r>
      <w:r w:rsidR="00C27613">
        <w:rPr>
          <w:rFonts w:cstheme="minorHAnsi"/>
          <w:sz w:val="22"/>
          <w:szCs w:val="22"/>
        </w:rPr>
        <w:t>S</w:t>
      </w:r>
      <w:r w:rsidR="0010764A" w:rsidRPr="00D9311D">
        <w:rPr>
          <w:rFonts w:cstheme="minorHAnsi"/>
          <w:sz w:val="22"/>
          <w:szCs w:val="22"/>
        </w:rPr>
        <w:t xml:space="preserve">pecial </w:t>
      </w:r>
      <w:r w:rsidR="00C27613">
        <w:rPr>
          <w:rFonts w:cstheme="minorHAnsi"/>
          <w:sz w:val="22"/>
          <w:szCs w:val="22"/>
        </w:rPr>
        <w:t>T</w:t>
      </w:r>
      <w:r w:rsidR="0010764A" w:rsidRPr="00D9311D">
        <w:rPr>
          <w:rFonts w:cstheme="minorHAnsi"/>
          <w:sz w:val="22"/>
          <w:szCs w:val="22"/>
        </w:rPr>
        <w:t xml:space="preserve">uition </w:t>
      </w:r>
      <w:r w:rsidR="00C27613">
        <w:rPr>
          <w:rFonts w:cstheme="minorHAnsi"/>
          <w:sz w:val="22"/>
          <w:szCs w:val="22"/>
        </w:rPr>
        <w:t>P</w:t>
      </w:r>
      <w:r w:rsidR="0010764A" w:rsidRPr="00D9311D">
        <w:rPr>
          <w:rFonts w:cstheme="minorHAnsi"/>
          <w:sz w:val="22"/>
          <w:szCs w:val="22"/>
        </w:rPr>
        <w:t xml:space="preserve">rotection </w:t>
      </w:r>
      <w:r w:rsidRPr="00D9311D">
        <w:rPr>
          <w:rFonts w:cstheme="minorHAnsi"/>
          <w:sz w:val="22"/>
          <w:szCs w:val="22"/>
        </w:rPr>
        <w:t>components of the</w:t>
      </w:r>
      <w:r w:rsidR="00517B9B" w:rsidRPr="00D9311D">
        <w:rPr>
          <w:rFonts w:cstheme="minorHAnsi"/>
          <w:sz w:val="22"/>
          <w:szCs w:val="22"/>
        </w:rPr>
        <w:t xml:space="preserve"> Levy</w:t>
      </w:r>
      <w:r w:rsidRPr="00D9311D">
        <w:rPr>
          <w:rFonts w:cstheme="minorHAnsi"/>
          <w:sz w:val="22"/>
          <w:szCs w:val="22"/>
        </w:rPr>
        <w:t>.</w:t>
      </w:r>
    </w:p>
    <w:p w14:paraId="7FF6E005" w14:textId="7CF6F0EC" w:rsidR="00AC55E5" w:rsidRDefault="0050492B" w:rsidP="00E03A3A">
      <w:pPr>
        <w:spacing w:after="120"/>
        <w:rPr>
          <w:rFonts w:cstheme="minorHAnsi"/>
          <w:sz w:val="22"/>
          <w:szCs w:val="22"/>
        </w:rPr>
      </w:pPr>
      <w:r w:rsidRPr="00D9311D">
        <w:rPr>
          <w:rFonts w:cstheme="minorHAnsi"/>
          <w:sz w:val="22"/>
          <w:szCs w:val="22"/>
        </w:rPr>
        <w:t>In formulating its advice, the Board has considered</w:t>
      </w:r>
      <w:r w:rsidR="000076FA">
        <w:rPr>
          <w:rFonts w:cstheme="minorHAnsi"/>
          <w:sz w:val="22"/>
          <w:szCs w:val="22"/>
        </w:rPr>
        <w:t xml:space="preserve"> several</w:t>
      </w:r>
      <w:r w:rsidRPr="00D9311D">
        <w:rPr>
          <w:rFonts w:cstheme="minorHAnsi"/>
          <w:sz w:val="22"/>
          <w:szCs w:val="22"/>
        </w:rPr>
        <w:t xml:space="preserve"> </w:t>
      </w:r>
      <w:r w:rsidR="00D62A8B">
        <w:rPr>
          <w:rFonts w:cstheme="minorHAnsi"/>
          <w:sz w:val="22"/>
          <w:szCs w:val="22"/>
        </w:rPr>
        <w:t>factors</w:t>
      </w:r>
      <w:r w:rsidR="00D62A8B" w:rsidRPr="00D9311D">
        <w:rPr>
          <w:rFonts w:cstheme="minorHAnsi"/>
          <w:sz w:val="22"/>
          <w:szCs w:val="22"/>
        </w:rPr>
        <w:t xml:space="preserve"> </w:t>
      </w:r>
      <w:r w:rsidRPr="00D9311D">
        <w:rPr>
          <w:rFonts w:cstheme="minorHAnsi"/>
          <w:sz w:val="22"/>
          <w:szCs w:val="22"/>
        </w:rPr>
        <w:t xml:space="preserve">including </w:t>
      </w:r>
      <w:r w:rsidR="009F4A00" w:rsidRPr="00D9311D">
        <w:rPr>
          <w:rFonts w:cstheme="minorHAnsi"/>
          <w:sz w:val="22"/>
          <w:szCs w:val="22"/>
        </w:rPr>
        <w:t xml:space="preserve">the advice of the Australian Government Actuary (AGA), </w:t>
      </w:r>
      <w:r w:rsidRPr="00D9311D">
        <w:rPr>
          <w:rFonts w:cstheme="minorHAnsi"/>
          <w:sz w:val="22"/>
          <w:szCs w:val="22"/>
        </w:rPr>
        <w:t>the strategic risk environment, the views of relevant sector regulators</w:t>
      </w:r>
      <w:r w:rsidR="001E5D23">
        <w:rPr>
          <w:rFonts w:cstheme="minorHAnsi"/>
          <w:sz w:val="22"/>
          <w:szCs w:val="22"/>
        </w:rPr>
        <w:t>, providers</w:t>
      </w:r>
      <w:r w:rsidRPr="00D9311D">
        <w:rPr>
          <w:rFonts w:cstheme="minorHAnsi"/>
          <w:sz w:val="22"/>
          <w:szCs w:val="22"/>
        </w:rPr>
        <w:t xml:space="preserve"> and industry peak bodies, and the quantum of funds required for the long-term sustainability of the Overseas Students Tuition Fund (the Fund). </w:t>
      </w:r>
    </w:p>
    <w:p w14:paraId="0F9328B3" w14:textId="136BCB81" w:rsidR="0050492B" w:rsidRPr="002E3A35" w:rsidRDefault="0050492B" w:rsidP="003725F1">
      <w:pPr>
        <w:spacing w:after="0"/>
        <w:rPr>
          <w:rFonts w:cstheme="minorHAnsi"/>
          <w:sz w:val="22"/>
          <w:szCs w:val="22"/>
        </w:rPr>
      </w:pPr>
      <w:r w:rsidRPr="002E3A35">
        <w:rPr>
          <w:rFonts w:cstheme="minorHAnsi"/>
          <w:sz w:val="22"/>
          <w:szCs w:val="22"/>
        </w:rPr>
        <w:t xml:space="preserve">The Board has been assisted in its deliberations by the following guiding principles: </w:t>
      </w:r>
    </w:p>
    <w:p w14:paraId="0C0DCC93" w14:textId="01359132" w:rsidR="0050492B" w:rsidRPr="002E3A35" w:rsidRDefault="0050492B" w:rsidP="009F766D">
      <w:pPr>
        <w:pStyle w:val="ListParagraph"/>
        <w:numPr>
          <w:ilvl w:val="0"/>
          <w:numId w:val="9"/>
        </w:numPr>
        <w:spacing w:before="0"/>
        <w:ind w:left="851" w:hanging="425"/>
        <w:rPr>
          <w:rFonts w:cstheme="minorHAnsi"/>
          <w:sz w:val="22"/>
          <w:szCs w:val="22"/>
        </w:rPr>
      </w:pPr>
      <w:r w:rsidRPr="002E3A35">
        <w:rPr>
          <w:rFonts w:cstheme="minorHAnsi"/>
          <w:sz w:val="22"/>
          <w:szCs w:val="22"/>
        </w:rPr>
        <w:t xml:space="preserve">Advice provided to the TPS Director should reflect the overall risk environment and ensure that revenue matches what is needed to sustain the </w:t>
      </w:r>
      <w:r w:rsidR="00CB0BC9" w:rsidRPr="002E3A35">
        <w:rPr>
          <w:rFonts w:cstheme="minorHAnsi"/>
          <w:sz w:val="22"/>
          <w:szCs w:val="22"/>
        </w:rPr>
        <w:t>F</w:t>
      </w:r>
      <w:r w:rsidRPr="002E3A35">
        <w:rPr>
          <w:rFonts w:cstheme="minorHAnsi"/>
          <w:sz w:val="22"/>
          <w:szCs w:val="22"/>
        </w:rPr>
        <w:t>und, while also being sustainable for the industry.</w:t>
      </w:r>
    </w:p>
    <w:p w14:paraId="086DE2B8" w14:textId="130421DD" w:rsidR="0050492B" w:rsidRPr="002E3A35" w:rsidRDefault="0050492B" w:rsidP="009F766D">
      <w:pPr>
        <w:pStyle w:val="ListParagraph"/>
        <w:numPr>
          <w:ilvl w:val="0"/>
          <w:numId w:val="9"/>
        </w:numPr>
        <w:spacing w:before="0"/>
        <w:ind w:left="851" w:hanging="425"/>
        <w:rPr>
          <w:rFonts w:cstheme="minorHAnsi"/>
          <w:sz w:val="22"/>
          <w:szCs w:val="22"/>
        </w:rPr>
      </w:pPr>
      <w:r w:rsidRPr="002E3A35">
        <w:rPr>
          <w:rFonts w:cstheme="minorHAnsi"/>
          <w:sz w:val="22"/>
          <w:szCs w:val="22"/>
        </w:rPr>
        <w:t>The model for each levy should, as far as possible, reflect gradual change and assist the industry with business planning by providing a stable regulatory environment.</w:t>
      </w:r>
    </w:p>
    <w:p w14:paraId="7A9F72F9" w14:textId="79E24488" w:rsidR="0050492B" w:rsidRPr="002E3A35" w:rsidRDefault="0050492B" w:rsidP="009F766D">
      <w:pPr>
        <w:pStyle w:val="ListParagraph"/>
        <w:numPr>
          <w:ilvl w:val="0"/>
          <w:numId w:val="9"/>
        </w:numPr>
        <w:spacing w:before="0"/>
        <w:ind w:left="851" w:hanging="425"/>
        <w:rPr>
          <w:rFonts w:cstheme="minorHAnsi"/>
          <w:sz w:val="22"/>
          <w:szCs w:val="22"/>
        </w:rPr>
      </w:pPr>
      <w:r w:rsidRPr="002E3A35">
        <w:rPr>
          <w:rFonts w:cstheme="minorHAnsi"/>
          <w:sz w:val="22"/>
          <w:szCs w:val="22"/>
        </w:rPr>
        <w:t>The model should be as simple and transparent as possible, preferably based on a small number of risk factors.</w:t>
      </w:r>
    </w:p>
    <w:p w14:paraId="520ABB42" w14:textId="71265FFD" w:rsidR="0050492B" w:rsidRPr="002E3A35" w:rsidRDefault="0050492B" w:rsidP="009F766D">
      <w:pPr>
        <w:pStyle w:val="ListParagraph"/>
        <w:numPr>
          <w:ilvl w:val="0"/>
          <w:numId w:val="9"/>
        </w:numPr>
        <w:spacing w:before="0"/>
        <w:ind w:left="851" w:hanging="425"/>
        <w:rPr>
          <w:rFonts w:cstheme="minorHAnsi"/>
          <w:sz w:val="22"/>
          <w:szCs w:val="22"/>
        </w:rPr>
      </w:pPr>
      <w:r w:rsidRPr="002E3A35">
        <w:rPr>
          <w:rFonts w:cstheme="minorHAnsi"/>
          <w:sz w:val="22"/>
          <w:szCs w:val="22"/>
        </w:rPr>
        <w:t>Risk premiums imposed should provide incentives for providers to adopt positive behaviours.</w:t>
      </w:r>
    </w:p>
    <w:p w14:paraId="00BEB61C" w14:textId="51779FC9" w:rsidR="0050492B" w:rsidRPr="002E3A35" w:rsidRDefault="0050492B" w:rsidP="009F766D">
      <w:pPr>
        <w:pStyle w:val="ListParagraph"/>
        <w:numPr>
          <w:ilvl w:val="0"/>
          <w:numId w:val="9"/>
        </w:numPr>
        <w:spacing w:before="0"/>
        <w:ind w:left="851" w:hanging="425"/>
        <w:rPr>
          <w:rFonts w:cstheme="minorHAnsi"/>
          <w:sz w:val="22"/>
          <w:szCs w:val="22"/>
        </w:rPr>
      </w:pPr>
      <w:r w:rsidRPr="002E3A35">
        <w:rPr>
          <w:rFonts w:cstheme="minorHAnsi"/>
          <w:sz w:val="22"/>
          <w:szCs w:val="22"/>
        </w:rPr>
        <w:t>Additional imposts on industry, such as data collection, should be minimised as far as possible, consistent with the ability to set sound risk-based levies.</w:t>
      </w:r>
    </w:p>
    <w:p w14:paraId="58915827" w14:textId="04B31F79" w:rsidR="00B20FBD" w:rsidRDefault="0050492B" w:rsidP="00E03A3A">
      <w:pPr>
        <w:spacing w:after="120"/>
        <w:rPr>
          <w:rFonts w:cstheme="minorHAnsi"/>
          <w:sz w:val="22"/>
          <w:szCs w:val="22"/>
        </w:rPr>
      </w:pPr>
      <w:r w:rsidRPr="002E3A35">
        <w:rPr>
          <w:rFonts w:cstheme="minorHAnsi"/>
          <w:sz w:val="22"/>
          <w:szCs w:val="22"/>
        </w:rPr>
        <w:t>The AGA’s</w:t>
      </w:r>
      <w:r w:rsidR="009531BE" w:rsidRPr="002E3A35">
        <w:rPr>
          <w:rFonts w:cstheme="minorHAnsi"/>
          <w:sz w:val="22"/>
          <w:szCs w:val="22"/>
        </w:rPr>
        <w:t xml:space="preserve"> </w:t>
      </w:r>
      <w:r w:rsidR="003725F1" w:rsidRPr="002E3A35">
        <w:rPr>
          <w:rFonts w:cstheme="minorHAnsi"/>
          <w:sz w:val="22"/>
          <w:szCs w:val="22"/>
        </w:rPr>
        <w:t>r</w:t>
      </w:r>
      <w:r w:rsidRPr="002E3A35">
        <w:rPr>
          <w:rFonts w:cstheme="minorHAnsi"/>
          <w:sz w:val="22"/>
          <w:szCs w:val="22"/>
        </w:rPr>
        <w:t>eport</w:t>
      </w:r>
      <w:r w:rsidR="00CB0BC9" w:rsidRPr="002E3A35">
        <w:rPr>
          <w:rFonts w:cstheme="minorHAnsi"/>
          <w:sz w:val="22"/>
          <w:szCs w:val="22"/>
        </w:rPr>
        <w:t xml:space="preserve"> to the Board on the health of the Fund, and actuarial modelling </w:t>
      </w:r>
      <w:r w:rsidR="003725F1" w:rsidRPr="002E3A35">
        <w:rPr>
          <w:rFonts w:cstheme="minorHAnsi"/>
          <w:sz w:val="22"/>
          <w:szCs w:val="22"/>
        </w:rPr>
        <w:t xml:space="preserve">of </w:t>
      </w:r>
      <w:r w:rsidR="00CB0BC9" w:rsidRPr="002E3A35">
        <w:rPr>
          <w:rFonts w:cstheme="minorHAnsi"/>
          <w:sz w:val="22"/>
          <w:szCs w:val="22"/>
        </w:rPr>
        <w:t>risk factors and values,</w:t>
      </w:r>
      <w:r w:rsidRPr="002E3A35">
        <w:rPr>
          <w:rFonts w:cstheme="minorHAnsi"/>
          <w:sz w:val="22"/>
          <w:szCs w:val="22"/>
        </w:rPr>
        <w:t xml:space="preserve"> is a key document on which the Board relies</w:t>
      </w:r>
      <w:r w:rsidR="002220B8">
        <w:rPr>
          <w:rFonts w:cstheme="minorHAnsi"/>
          <w:sz w:val="22"/>
          <w:szCs w:val="22"/>
        </w:rPr>
        <w:t xml:space="preserve"> on</w:t>
      </w:r>
      <w:r w:rsidRPr="002E3A35">
        <w:rPr>
          <w:rFonts w:cstheme="minorHAnsi"/>
          <w:sz w:val="22"/>
          <w:szCs w:val="22"/>
        </w:rPr>
        <w:t xml:space="preserve"> </w:t>
      </w:r>
      <w:r w:rsidR="002220B8">
        <w:rPr>
          <w:rFonts w:cstheme="minorHAnsi"/>
          <w:sz w:val="22"/>
          <w:szCs w:val="22"/>
        </w:rPr>
        <w:t>when</w:t>
      </w:r>
      <w:r w:rsidRPr="002E3A35">
        <w:rPr>
          <w:rFonts w:cstheme="minorHAnsi"/>
          <w:sz w:val="22"/>
          <w:szCs w:val="22"/>
        </w:rPr>
        <w:t xml:space="preserve"> </w:t>
      </w:r>
      <w:r w:rsidR="00220523" w:rsidRPr="002E3A35">
        <w:rPr>
          <w:rFonts w:cstheme="minorHAnsi"/>
          <w:sz w:val="22"/>
          <w:szCs w:val="22"/>
        </w:rPr>
        <w:t>considering</w:t>
      </w:r>
      <w:r w:rsidRPr="002E3A35">
        <w:rPr>
          <w:rFonts w:cstheme="minorHAnsi"/>
          <w:sz w:val="22"/>
          <w:szCs w:val="22"/>
        </w:rPr>
        <w:t xml:space="preserve"> its advice</w:t>
      </w:r>
      <w:r w:rsidR="00B20FBD" w:rsidRPr="002E3A35">
        <w:rPr>
          <w:rFonts w:cstheme="minorHAnsi"/>
          <w:sz w:val="22"/>
          <w:szCs w:val="22"/>
        </w:rPr>
        <w:t xml:space="preserve"> to the </w:t>
      </w:r>
      <w:r w:rsidR="00A74E61" w:rsidRPr="002E3A35">
        <w:rPr>
          <w:rFonts w:cstheme="minorHAnsi"/>
          <w:sz w:val="22"/>
          <w:szCs w:val="22"/>
        </w:rPr>
        <w:t xml:space="preserve">TPS </w:t>
      </w:r>
      <w:r w:rsidR="00B20FBD" w:rsidRPr="002E3A35">
        <w:rPr>
          <w:rFonts w:cstheme="minorHAnsi"/>
          <w:sz w:val="22"/>
          <w:szCs w:val="22"/>
        </w:rPr>
        <w:t>Director</w:t>
      </w:r>
      <w:r w:rsidRPr="002E3A35">
        <w:rPr>
          <w:rFonts w:cstheme="minorHAnsi"/>
          <w:sz w:val="22"/>
          <w:szCs w:val="22"/>
        </w:rPr>
        <w:t xml:space="preserve">.  </w:t>
      </w:r>
    </w:p>
    <w:p w14:paraId="1972E71C" w14:textId="77777777" w:rsidR="003F61B5" w:rsidRPr="00C3399C" w:rsidRDefault="003F61B5" w:rsidP="00C3399C">
      <w:pPr>
        <w:spacing w:before="0" w:after="120" w:line="240" w:lineRule="auto"/>
        <w:rPr>
          <w:iCs/>
          <w:sz w:val="22"/>
          <w:szCs w:val="22"/>
        </w:rPr>
      </w:pPr>
      <w:r w:rsidRPr="00C3399C">
        <w:rPr>
          <w:sz w:val="22"/>
          <w:szCs w:val="22"/>
        </w:rPr>
        <w:t>The Board acknowledged the consultation undertaken by the TPS Director with international education providers, regulators and peak bodies that supported the proposed 2026 International TPS Levy settings.</w:t>
      </w:r>
    </w:p>
    <w:p w14:paraId="3231BFE0" w14:textId="3FE230E7" w:rsidR="00B20FBD" w:rsidRPr="002E3A35" w:rsidRDefault="00CE3327" w:rsidP="00127281">
      <w:pPr>
        <w:spacing w:before="0" w:after="120"/>
        <w:rPr>
          <w:rFonts w:cstheme="minorHAnsi"/>
          <w:b/>
          <w:bCs/>
          <w:sz w:val="22"/>
          <w:szCs w:val="22"/>
        </w:rPr>
      </w:pPr>
      <w:r>
        <w:rPr>
          <w:rFonts w:cstheme="minorHAnsi"/>
          <w:b/>
          <w:bCs/>
          <w:sz w:val="22"/>
          <w:szCs w:val="22"/>
        </w:rPr>
        <w:t>T</w:t>
      </w:r>
      <w:r w:rsidR="00B20FBD" w:rsidRPr="002E3A35">
        <w:rPr>
          <w:rFonts w:cstheme="minorHAnsi"/>
          <w:b/>
          <w:bCs/>
          <w:sz w:val="22"/>
          <w:szCs w:val="22"/>
        </w:rPr>
        <w:t>he Fund</w:t>
      </w:r>
    </w:p>
    <w:p w14:paraId="2A7BB4C0" w14:textId="4CD953E8" w:rsidR="00C3399C" w:rsidRDefault="0050492B" w:rsidP="00127281">
      <w:pPr>
        <w:spacing w:after="120"/>
        <w:rPr>
          <w:rFonts w:cstheme="minorHAnsi"/>
          <w:sz w:val="22"/>
          <w:szCs w:val="22"/>
        </w:rPr>
      </w:pPr>
      <w:r w:rsidRPr="002E3A35">
        <w:rPr>
          <w:rFonts w:cstheme="minorHAnsi"/>
          <w:sz w:val="22"/>
          <w:szCs w:val="22"/>
        </w:rPr>
        <w:t xml:space="preserve">The Board </w:t>
      </w:r>
      <w:r w:rsidR="00987CC9" w:rsidRPr="002E3A35">
        <w:rPr>
          <w:rFonts w:cstheme="minorHAnsi"/>
          <w:sz w:val="22"/>
          <w:szCs w:val="22"/>
        </w:rPr>
        <w:t>agrees</w:t>
      </w:r>
      <w:r w:rsidR="00D94802" w:rsidRPr="002E3A35">
        <w:rPr>
          <w:rFonts w:cstheme="minorHAnsi"/>
          <w:sz w:val="22"/>
          <w:szCs w:val="22"/>
        </w:rPr>
        <w:t xml:space="preserve"> with </w:t>
      </w:r>
      <w:r w:rsidRPr="002E3A35">
        <w:rPr>
          <w:rFonts w:cstheme="minorHAnsi"/>
          <w:sz w:val="22"/>
          <w:szCs w:val="22"/>
        </w:rPr>
        <w:t xml:space="preserve">the AGA’s recommendation for the target </w:t>
      </w:r>
      <w:r w:rsidR="006A505C" w:rsidRPr="002E3A35">
        <w:rPr>
          <w:rFonts w:cstheme="minorHAnsi"/>
          <w:sz w:val="22"/>
          <w:szCs w:val="22"/>
        </w:rPr>
        <w:t xml:space="preserve">size </w:t>
      </w:r>
      <w:r w:rsidRPr="002E3A35">
        <w:rPr>
          <w:rFonts w:cstheme="minorHAnsi"/>
          <w:sz w:val="22"/>
          <w:szCs w:val="22"/>
        </w:rPr>
        <w:t xml:space="preserve">of the </w:t>
      </w:r>
      <w:r w:rsidR="00D94802" w:rsidRPr="002E3A35">
        <w:rPr>
          <w:rFonts w:cstheme="minorHAnsi"/>
          <w:sz w:val="22"/>
          <w:szCs w:val="22"/>
        </w:rPr>
        <w:t>Fund</w:t>
      </w:r>
      <w:r w:rsidRPr="002E3A35">
        <w:rPr>
          <w:rFonts w:cstheme="minorHAnsi"/>
          <w:sz w:val="22"/>
          <w:szCs w:val="22"/>
        </w:rPr>
        <w:t xml:space="preserve"> to </w:t>
      </w:r>
      <w:r w:rsidR="0074086E" w:rsidRPr="002E3A35">
        <w:rPr>
          <w:rFonts w:cstheme="minorHAnsi"/>
          <w:sz w:val="22"/>
          <w:szCs w:val="22"/>
        </w:rPr>
        <w:t>increase</w:t>
      </w:r>
      <w:r w:rsidR="001E40AE" w:rsidRPr="002E3A35">
        <w:rPr>
          <w:rFonts w:cstheme="minorHAnsi"/>
          <w:sz w:val="22"/>
          <w:szCs w:val="22"/>
        </w:rPr>
        <w:t xml:space="preserve"> to</w:t>
      </w:r>
      <w:r w:rsidR="00B20FBD" w:rsidRPr="002E3A35">
        <w:rPr>
          <w:rFonts w:cstheme="minorHAnsi"/>
          <w:sz w:val="22"/>
          <w:szCs w:val="22"/>
        </w:rPr>
        <w:t xml:space="preserve"> the </w:t>
      </w:r>
      <w:r w:rsidR="0037615C" w:rsidRPr="002E3A35">
        <w:rPr>
          <w:rFonts w:cstheme="minorHAnsi"/>
          <w:sz w:val="22"/>
          <w:szCs w:val="22"/>
        </w:rPr>
        <w:t xml:space="preserve">range </w:t>
      </w:r>
      <w:r w:rsidR="0037615C" w:rsidRPr="00261F15">
        <w:rPr>
          <w:rFonts w:cstheme="minorHAnsi"/>
          <w:sz w:val="22"/>
          <w:szCs w:val="22"/>
        </w:rPr>
        <w:t xml:space="preserve">of </w:t>
      </w:r>
      <w:r w:rsidRPr="00261F15">
        <w:rPr>
          <w:rFonts w:cstheme="minorHAnsi"/>
          <w:sz w:val="22"/>
          <w:szCs w:val="22"/>
        </w:rPr>
        <w:t>$</w:t>
      </w:r>
      <w:r w:rsidR="007D6BFA" w:rsidRPr="00261F15">
        <w:rPr>
          <w:rFonts w:cstheme="minorHAnsi"/>
          <w:sz w:val="22"/>
          <w:szCs w:val="22"/>
        </w:rPr>
        <w:t>50</w:t>
      </w:r>
      <w:r w:rsidRPr="00261F15">
        <w:rPr>
          <w:rFonts w:cstheme="minorHAnsi"/>
          <w:sz w:val="22"/>
          <w:szCs w:val="22"/>
        </w:rPr>
        <w:t xml:space="preserve"> to $</w:t>
      </w:r>
      <w:r w:rsidR="00231B43" w:rsidRPr="00261F15">
        <w:rPr>
          <w:rFonts w:cstheme="minorHAnsi"/>
          <w:sz w:val="22"/>
          <w:szCs w:val="22"/>
        </w:rPr>
        <w:t>7</w:t>
      </w:r>
      <w:r w:rsidRPr="00261F15">
        <w:rPr>
          <w:rFonts w:cstheme="minorHAnsi"/>
          <w:sz w:val="22"/>
          <w:szCs w:val="22"/>
        </w:rPr>
        <w:t>0</w:t>
      </w:r>
      <w:r w:rsidRPr="002E3A35">
        <w:rPr>
          <w:rFonts w:cstheme="minorHAnsi"/>
          <w:sz w:val="22"/>
          <w:szCs w:val="22"/>
        </w:rPr>
        <w:t xml:space="preserve"> million</w:t>
      </w:r>
      <w:r w:rsidR="00A74E61" w:rsidRPr="002E3A35">
        <w:rPr>
          <w:rFonts w:cstheme="minorHAnsi"/>
          <w:sz w:val="22"/>
          <w:szCs w:val="22"/>
        </w:rPr>
        <w:t xml:space="preserve">, up from the </w:t>
      </w:r>
      <w:r w:rsidR="00A74E61" w:rsidRPr="00C43954">
        <w:rPr>
          <w:rFonts w:cstheme="minorHAnsi"/>
          <w:sz w:val="22"/>
          <w:szCs w:val="22"/>
        </w:rPr>
        <w:t xml:space="preserve">previous range of </w:t>
      </w:r>
      <w:r w:rsidR="00A74E61" w:rsidRPr="00261F15">
        <w:rPr>
          <w:rFonts w:cstheme="minorHAnsi"/>
          <w:sz w:val="22"/>
          <w:szCs w:val="22"/>
        </w:rPr>
        <w:t>$</w:t>
      </w:r>
      <w:r w:rsidR="007D6BFA" w:rsidRPr="00261F15">
        <w:rPr>
          <w:rFonts w:cstheme="minorHAnsi"/>
          <w:sz w:val="22"/>
          <w:szCs w:val="22"/>
        </w:rPr>
        <w:t>40</w:t>
      </w:r>
      <w:r w:rsidR="00A74E61" w:rsidRPr="00261F15">
        <w:rPr>
          <w:rFonts w:cstheme="minorHAnsi"/>
          <w:sz w:val="22"/>
          <w:szCs w:val="22"/>
        </w:rPr>
        <w:t xml:space="preserve"> to $60</w:t>
      </w:r>
      <w:r w:rsidR="00A74E61" w:rsidRPr="00C43954">
        <w:rPr>
          <w:rFonts w:cstheme="minorHAnsi"/>
          <w:sz w:val="22"/>
          <w:szCs w:val="22"/>
        </w:rPr>
        <w:t> million</w:t>
      </w:r>
      <w:r w:rsidRPr="00C43954">
        <w:rPr>
          <w:rFonts w:cstheme="minorHAnsi"/>
          <w:sz w:val="22"/>
          <w:szCs w:val="22"/>
        </w:rPr>
        <w:t>.</w:t>
      </w:r>
      <w:r w:rsidR="0037615C" w:rsidRPr="00C43954">
        <w:rPr>
          <w:rFonts w:cstheme="minorHAnsi"/>
          <w:sz w:val="22"/>
          <w:szCs w:val="22"/>
        </w:rPr>
        <w:t xml:space="preserve"> The Fund balance </w:t>
      </w:r>
      <w:bookmarkStart w:id="0" w:name="_Int_8g5Y4lt7"/>
      <w:r w:rsidR="0037615C" w:rsidRPr="00C43954">
        <w:rPr>
          <w:rFonts w:cstheme="minorHAnsi"/>
          <w:sz w:val="22"/>
          <w:szCs w:val="22"/>
        </w:rPr>
        <w:t>a</w:t>
      </w:r>
      <w:bookmarkEnd w:id="0"/>
      <w:r w:rsidR="0077700E">
        <w:rPr>
          <w:rFonts w:cstheme="minorHAnsi"/>
          <w:sz w:val="22"/>
          <w:szCs w:val="22"/>
        </w:rPr>
        <w:t xml:space="preserve">t </w:t>
      </w:r>
      <w:r w:rsidR="0077700E">
        <w:rPr>
          <w:rFonts w:cstheme="minorHAnsi"/>
          <w:sz w:val="22"/>
          <w:szCs w:val="22"/>
        </w:rPr>
        <w:br/>
      </w:r>
      <w:r w:rsidR="00601A00" w:rsidRPr="00625A7C">
        <w:rPr>
          <w:rFonts w:cstheme="minorHAnsi"/>
          <w:sz w:val="22"/>
          <w:szCs w:val="22"/>
        </w:rPr>
        <w:t>3</w:t>
      </w:r>
      <w:r w:rsidR="00CC2D0B" w:rsidRPr="00625A7C">
        <w:rPr>
          <w:rFonts w:cstheme="minorHAnsi"/>
          <w:sz w:val="22"/>
          <w:szCs w:val="22"/>
        </w:rPr>
        <w:t>0</w:t>
      </w:r>
      <w:r w:rsidR="00601A00" w:rsidRPr="00625A7C">
        <w:rPr>
          <w:rFonts w:cstheme="minorHAnsi"/>
          <w:sz w:val="22"/>
          <w:szCs w:val="22"/>
        </w:rPr>
        <w:t xml:space="preserve"> June 2025</w:t>
      </w:r>
      <w:r w:rsidR="0037615C" w:rsidRPr="00625A7C">
        <w:rPr>
          <w:rFonts w:cstheme="minorHAnsi"/>
          <w:sz w:val="22"/>
          <w:szCs w:val="22"/>
        </w:rPr>
        <w:t xml:space="preserve"> was $</w:t>
      </w:r>
      <w:r w:rsidR="00CC6D03" w:rsidRPr="00625A7C">
        <w:rPr>
          <w:rFonts w:cstheme="minorHAnsi"/>
          <w:sz w:val="22"/>
          <w:szCs w:val="22"/>
        </w:rPr>
        <w:t>50</w:t>
      </w:r>
      <w:r w:rsidR="00CC2D0B" w:rsidRPr="00625A7C">
        <w:rPr>
          <w:rFonts w:cstheme="minorHAnsi"/>
          <w:sz w:val="22"/>
          <w:szCs w:val="22"/>
        </w:rPr>
        <w:t>.4</w:t>
      </w:r>
      <w:r w:rsidR="00F10F0A" w:rsidRPr="00625A7C">
        <w:rPr>
          <w:rFonts w:cstheme="minorHAnsi"/>
          <w:sz w:val="22"/>
          <w:szCs w:val="22"/>
        </w:rPr>
        <w:t>6</w:t>
      </w:r>
      <w:r w:rsidR="00407C5A" w:rsidRPr="00625A7C">
        <w:rPr>
          <w:rFonts w:cstheme="minorHAnsi"/>
          <w:sz w:val="22"/>
          <w:szCs w:val="22"/>
        </w:rPr>
        <w:t xml:space="preserve"> </w:t>
      </w:r>
      <w:r w:rsidR="0037615C" w:rsidRPr="00625A7C">
        <w:rPr>
          <w:rFonts w:cstheme="minorHAnsi"/>
          <w:sz w:val="22"/>
          <w:szCs w:val="22"/>
        </w:rPr>
        <w:t>million.</w:t>
      </w:r>
    </w:p>
    <w:p w14:paraId="7871A651" w14:textId="77777777" w:rsidR="00DE6A03" w:rsidRDefault="00DE6A03" w:rsidP="00127281">
      <w:pPr>
        <w:spacing w:after="120"/>
        <w:rPr>
          <w:rFonts w:cstheme="minorHAnsi"/>
          <w:b/>
          <w:bCs/>
          <w:sz w:val="22"/>
          <w:szCs w:val="22"/>
        </w:rPr>
      </w:pPr>
    </w:p>
    <w:p w14:paraId="3E51E970" w14:textId="4F6DE8AB" w:rsidR="0050492B" w:rsidRPr="00CB5EE2" w:rsidRDefault="0050492B" w:rsidP="00127281">
      <w:pPr>
        <w:spacing w:after="120"/>
        <w:rPr>
          <w:rFonts w:cstheme="minorHAnsi"/>
          <w:b/>
          <w:bCs/>
          <w:sz w:val="22"/>
          <w:szCs w:val="22"/>
        </w:rPr>
      </w:pPr>
      <w:r w:rsidRPr="002E3A35">
        <w:rPr>
          <w:rFonts w:cstheme="minorHAnsi"/>
          <w:b/>
          <w:bCs/>
          <w:sz w:val="22"/>
          <w:szCs w:val="22"/>
        </w:rPr>
        <w:lastRenderedPageBreak/>
        <w:t>Risk</w:t>
      </w:r>
      <w:r w:rsidR="00A645C1">
        <w:rPr>
          <w:rFonts w:cstheme="minorHAnsi"/>
          <w:b/>
          <w:bCs/>
          <w:sz w:val="22"/>
          <w:szCs w:val="22"/>
        </w:rPr>
        <w:t xml:space="preserve"> </w:t>
      </w:r>
      <w:r w:rsidR="00883AE3">
        <w:rPr>
          <w:rFonts w:cstheme="minorHAnsi"/>
          <w:b/>
          <w:bCs/>
          <w:sz w:val="22"/>
          <w:szCs w:val="22"/>
        </w:rPr>
        <w:t>R</w:t>
      </w:r>
      <w:r w:rsidR="00CE1CE0" w:rsidRPr="00CB5EE2">
        <w:rPr>
          <w:rFonts w:cstheme="minorHAnsi"/>
          <w:b/>
          <w:bCs/>
          <w:sz w:val="22"/>
          <w:szCs w:val="22"/>
        </w:rPr>
        <w:t xml:space="preserve">ated </w:t>
      </w:r>
      <w:r w:rsidR="00883AE3">
        <w:rPr>
          <w:rFonts w:cstheme="minorHAnsi"/>
          <w:b/>
          <w:bCs/>
          <w:sz w:val="22"/>
          <w:szCs w:val="22"/>
        </w:rPr>
        <w:t>P</w:t>
      </w:r>
      <w:r w:rsidR="00CE1CE0" w:rsidRPr="00CB5EE2">
        <w:rPr>
          <w:rFonts w:cstheme="minorHAnsi"/>
          <w:b/>
          <w:bCs/>
          <w:sz w:val="22"/>
          <w:szCs w:val="22"/>
        </w:rPr>
        <w:t xml:space="preserve">remium </w:t>
      </w:r>
      <w:r w:rsidR="00FD0900" w:rsidRPr="00CB5EE2">
        <w:rPr>
          <w:rFonts w:cstheme="minorHAnsi"/>
          <w:b/>
          <w:bCs/>
          <w:sz w:val="22"/>
          <w:szCs w:val="22"/>
        </w:rPr>
        <w:t>c</w:t>
      </w:r>
      <w:r w:rsidRPr="00CB5EE2">
        <w:rPr>
          <w:rFonts w:cstheme="minorHAnsi"/>
          <w:b/>
          <w:bCs/>
          <w:sz w:val="22"/>
          <w:szCs w:val="22"/>
        </w:rPr>
        <w:t xml:space="preserve">omponent </w:t>
      </w:r>
    </w:p>
    <w:p w14:paraId="180E3569" w14:textId="5F878DBE" w:rsidR="00FD0900" w:rsidRPr="00CB5EE2" w:rsidRDefault="0050492B" w:rsidP="003725F1">
      <w:pPr>
        <w:spacing w:before="0" w:after="0"/>
        <w:rPr>
          <w:rFonts w:cstheme="minorHAnsi"/>
          <w:sz w:val="22"/>
          <w:szCs w:val="22"/>
        </w:rPr>
      </w:pPr>
      <w:r w:rsidRPr="00CB5EE2">
        <w:rPr>
          <w:rFonts w:cstheme="minorHAnsi"/>
          <w:sz w:val="22"/>
          <w:szCs w:val="22"/>
        </w:rPr>
        <w:t>The Board agrees with the AGA’s recommendation</w:t>
      </w:r>
      <w:r w:rsidR="003725F1" w:rsidRPr="00CB5EE2">
        <w:rPr>
          <w:rFonts w:cstheme="minorHAnsi"/>
          <w:sz w:val="22"/>
          <w:szCs w:val="22"/>
        </w:rPr>
        <w:t xml:space="preserve"> that the following risk factors </w:t>
      </w:r>
      <w:r w:rsidR="00B20FBD" w:rsidRPr="00CB5EE2">
        <w:rPr>
          <w:rFonts w:cstheme="minorHAnsi"/>
          <w:sz w:val="22"/>
          <w:szCs w:val="22"/>
        </w:rPr>
        <w:t xml:space="preserve">should </w:t>
      </w:r>
      <w:r w:rsidR="003725F1" w:rsidRPr="00CB5EE2">
        <w:rPr>
          <w:rFonts w:cstheme="minorHAnsi"/>
          <w:sz w:val="22"/>
          <w:szCs w:val="22"/>
        </w:rPr>
        <w:t>remain unchanged from their 202</w:t>
      </w:r>
      <w:r w:rsidR="0059568C">
        <w:rPr>
          <w:rFonts w:cstheme="minorHAnsi"/>
          <w:sz w:val="22"/>
          <w:szCs w:val="22"/>
        </w:rPr>
        <w:t>5</w:t>
      </w:r>
      <w:r w:rsidR="003725F1" w:rsidRPr="00CB5EE2">
        <w:rPr>
          <w:rFonts w:cstheme="minorHAnsi"/>
          <w:sz w:val="22"/>
          <w:szCs w:val="22"/>
        </w:rPr>
        <w:t xml:space="preserve"> settings in 202</w:t>
      </w:r>
      <w:r w:rsidR="0059568C">
        <w:rPr>
          <w:rFonts w:cstheme="minorHAnsi"/>
          <w:sz w:val="22"/>
          <w:szCs w:val="22"/>
        </w:rPr>
        <w:t>6</w:t>
      </w:r>
      <w:r w:rsidR="003725F1" w:rsidRPr="00CB5EE2">
        <w:rPr>
          <w:rFonts w:cstheme="minorHAnsi"/>
          <w:sz w:val="22"/>
          <w:szCs w:val="22"/>
        </w:rPr>
        <w:t>:</w:t>
      </w:r>
    </w:p>
    <w:p w14:paraId="5EF2171C" w14:textId="5EBF23A8" w:rsidR="00953A24" w:rsidRPr="009F766D" w:rsidRDefault="001F1379" w:rsidP="009F766D">
      <w:pPr>
        <w:pStyle w:val="ListParagraph"/>
        <w:numPr>
          <w:ilvl w:val="0"/>
          <w:numId w:val="13"/>
        </w:numPr>
        <w:ind w:left="426"/>
        <w:rPr>
          <w:sz w:val="22"/>
          <w:szCs w:val="22"/>
        </w:rPr>
      </w:pPr>
      <w:r w:rsidRPr="009F766D">
        <w:rPr>
          <w:sz w:val="22"/>
          <w:szCs w:val="22"/>
        </w:rPr>
        <w:t>b</w:t>
      </w:r>
      <w:r w:rsidR="00953A24" w:rsidRPr="009F766D">
        <w:rPr>
          <w:sz w:val="22"/>
          <w:szCs w:val="22"/>
        </w:rPr>
        <w:t>ase risk factor</w:t>
      </w:r>
      <w:r w:rsidRPr="009F766D">
        <w:rPr>
          <w:sz w:val="22"/>
          <w:szCs w:val="22"/>
        </w:rPr>
        <w:t>,</w:t>
      </w:r>
    </w:p>
    <w:p w14:paraId="1835F70D" w14:textId="65C7BEB1" w:rsidR="0015047C" w:rsidRPr="009F766D" w:rsidRDefault="001F1379" w:rsidP="009F766D">
      <w:pPr>
        <w:pStyle w:val="ListParagraph"/>
        <w:numPr>
          <w:ilvl w:val="0"/>
          <w:numId w:val="13"/>
        </w:numPr>
        <w:ind w:left="426"/>
        <w:rPr>
          <w:sz w:val="22"/>
          <w:szCs w:val="22"/>
        </w:rPr>
      </w:pPr>
      <w:r w:rsidRPr="009F766D">
        <w:rPr>
          <w:sz w:val="22"/>
          <w:szCs w:val="22"/>
        </w:rPr>
        <w:t>l</w:t>
      </w:r>
      <w:r w:rsidR="003725F1" w:rsidRPr="009F766D">
        <w:rPr>
          <w:sz w:val="22"/>
          <w:szCs w:val="22"/>
        </w:rPr>
        <w:t>ength of operation</w:t>
      </w:r>
      <w:r w:rsidRPr="009F766D">
        <w:rPr>
          <w:sz w:val="22"/>
          <w:szCs w:val="22"/>
        </w:rPr>
        <w:t>,</w:t>
      </w:r>
      <w:r w:rsidR="003725F1" w:rsidRPr="009F766D">
        <w:rPr>
          <w:sz w:val="22"/>
          <w:szCs w:val="22"/>
        </w:rPr>
        <w:t xml:space="preserve"> </w:t>
      </w:r>
    </w:p>
    <w:p w14:paraId="1EDD8F13" w14:textId="3AEB8443" w:rsidR="00A50111" w:rsidRPr="009F766D" w:rsidRDefault="001F1379" w:rsidP="009F766D">
      <w:pPr>
        <w:pStyle w:val="ListParagraph"/>
        <w:numPr>
          <w:ilvl w:val="0"/>
          <w:numId w:val="13"/>
        </w:numPr>
        <w:ind w:left="426"/>
        <w:rPr>
          <w:sz w:val="22"/>
          <w:szCs w:val="22"/>
        </w:rPr>
      </w:pPr>
      <w:r w:rsidRPr="009F766D">
        <w:rPr>
          <w:sz w:val="22"/>
          <w:szCs w:val="22"/>
        </w:rPr>
        <w:t>v</w:t>
      </w:r>
      <w:r w:rsidR="00A50111" w:rsidRPr="009F766D">
        <w:rPr>
          <w:sz w:val="22"/>
          <w:szCs w:val="22"/>
        </w:rPr>
        <w:t>olatility in overseas student enrolments</w:t>
      </w:r>
      <w:r w:rsidRPr="009F766D">
        <w:rPr>
          <w:sz w:val="22"/>
          <w:szCs w:val="22"/>
        </w:rPr>
        <w:t xml:space="preserve">, and </w:t>
      </w:r>
    </w:p>
    <w:p w14:paraId="1084EF0E" w14:textId="05998587" w:rsidR="0015047C" w:rsidRPr="009F766D" w:rsidRDefault="001F1379" w:rsidP="009F766D">
      <w:pPr>
        <w:pStyle w:val="ListParagraph"/>
        <w:numPr>
          <w:ilvl w:val="0"/>
          <w:numId w:val="13"/>
        </w:numPr>
        <w:ind w:left="426"/>
        <w:rPr>
          <w:sz w:val="22"/>
          <w:szCs w:val="22"/>
        </w:rPr>
      </w:pPr>
      <w:r w:rsidRPr="009F766D">
        <w:rPr>
          <w:sz w:val="22"/>
          <w:szCs w:val="22"/>
        </w:rPr>
        <w:t>m</w:t>
      </w:r>
      <w:r w:rsidR="00953A24" w:rsidRPr="009F766D">
        <w:rPr>
          <w:sz w:val="22"/>
          <w:szCs w:val="22"/>
        </w:rPr>
        <w:t>aximum overseas source country concentration</w:t>
      </w:r>
      <w:r w:rsidR="00025ECC" w:rsidRPr="009F766D">
        <w:rPr>
          <w:sz w:val="22"/>
          <w:szCs w:val="22"/>
        </w:rPr>
        <w:t>.</w:t>
      </w:r>
    </w:p>
    <w:p w14:paraId="33C5243D" w14:textId="4CE5ACA7" w:rsidR="00860CF8" w:rsidRDefault="00AD63FE" w:rsidP="00032AD4">
      <w:pPr>
        <w:spacing w:after="120"/>
        <w:rPr>
          <w:sz w:val="22"/>
          <w:szCs w:val="22"/>
        </w:rPr>
        <w:sectPr w:rsidR="00860CF8" w:rsidSect="00860CF8">
          <w:headerReference w:type="default" r:id="rId10"/>
          <w:footerReference w:type="first" r:id="rId11"/>
          <w:type w:val="continuous"/>
          <w:pgSz w:w="11906" w:h="16838"/>
          <w:pgMar w:top="284" w:right="1274" w:bottom="709" w:left="1276" w:header="709" w:footer="709" w:gutter="0"/>
          <w:cols w:space="708"/>
          <w:titlePg/>
          <w:docGrid w:linePitch="360"/>
        </w:sectPr>
      </w:pPr>
      <w:r w:rsidRPr="42884E11">
        <w:rPr>
          <w:sz w:val="22"/>
          <w:szCs w:val="22"/>
        </w:rPr>
        <w:t xml:space="preserve">The AGA </w:t>
      </w:r>
      <w:r w:rsidR="00553BB1" w:rsidRPr="42884E11">
        <w:rPr>
          <w:sz w:val="22"/>
          <w:szCs w:val="22"/>
        </w:rPr>
        <w:t>recommended</w:t>
      </w:r>
      <w:r w:rsidR="006F376C" w:rsidRPr="42884E11">
        <w:rPr>
          <w:sz w:val="22"/>
          <w:szCs w:val="22"/>
        </w:rPr>
        <w:t xml:space="preserve"> </w:t>
      </w:r>
      <w:r w:rsidR="003F7E05">
        <w:rPr>
          <w:sz w:val="22"/>
          <w:szCs w:val="22"/>
        </w:rPr>
        <w:t>introducing</w:t>
      </w:r>
      <w:r w:rsidR="00122DA4" w:rsidRPr="42884E11">
        <w:rPr>
          <w:sz w:val="22"/>
          <w:szCs w:val="22"/>
        </w:rPr>
        <w:t xml:space="preserve"> an additional </w:t>
      </w:r>
      <w:r w:rsidR="002B393E" w:rsidRPr="42884E11">
        <w:rPr>
          <w:sz w:val="22"/>
          <w:szCs w:val="22"/>
        </w:rPr>
        <w:t>factor</w:t>
      </w:r>
      <w:r w:rsidR="00122DA4" w:rsidRPr="42884E11">
        <w:rPr>
          <w:sz w:val="22"/>
          <w:szCs w:val="22"/>
        </w:rPr>
        <w:t xml:space="preserve"> </w:t>
      </w:r>
      <w:r w:rsidR="002417DF">
        <w:rPr>
          <w:sz w:val="22"/>
          <w:szCs w:val="22"/>
        </w:rPr>
        <w:t>within</w:t>
      </w:r>
      <w:r w:rsidR="004F6F39" w:rsidRPr="42884E11">
        <w:rPr>
          <w:sz w:val="22"/>
          <w:szCs w:val="22"/>
        </w:rPr>
        <w:t xml:space="preserve"> the non-compliance</w:t>
      </w:r>
      <w:r w:rsidR="002B393E" w:rsidRPr="42884E11">
        <w:rPr>
          <w:sz w:val="22"/>
          <w:szCs w:val="22"/>
        </w:rPr>
        <w:t xml:space="preserve"> risk factor</w:t>
      </w:r>
      <w:r w:rsidR="00FC3617">
        <w:rPr>
          <w:sz w:val="22"/>
          <w:szCs w:val="22"/>
        </w:rPr>
        <w:t xml:space="preserve"> of 1.0</w:t>
      </w:r>
      <w:r w:rsidR="002417DF">
        <w:rPr>
          <w:sz w:val="22"/>
          <w:szCs w:val="22"/>
        </w:rPr>
        <w:t xml:space="preserve"> that is applied</w:t>
      </w:r>
      <w:r w:rsidRPr="42884E11">
        <w:rPr>
          <w:sz w:val="22"/>
          <w:szCs w:val="22"/>
        </w:rPr>
        <w:t xml:space="preserve"> </w:t>
      </w:r>
      <w:r w:rsidR="00627073" w:rsidRPr="42884E11">
        <w:rPr>
          <w:sz w:val="22"/>
          <w:szCs w:val="22"/>
        </w:rPr>
        <w:t>to</w:t>
      </w:r>
      <w:r w:rsidRPr="42884E11">
        <w:rPr>
          <w:sz w:val="22"/>
          <w:szCs w:val="22"/>
        </w:rPr>
        <w:t xml:space="preserve"> providers</w:t>
      </w:r>
      <w:r w:rsidR="001C7F20" w:rsidRPr="42884E11">
        <w:rPr>
          <w:sz w:val="22"/>
          <w:szCs w:val="22"/>
        </w:rPr>
        <w:t xml:space="preserve"> </w:t>
      </w:r>
      <w:r w:rsidR="00CB2B75" w:rsidRPr="42884E11">
        <w:rPr>
          <w:sz w:val="22"/>
          <w:szCs w:val="22"/>
        </w:rPr>
        <w:t>that incurred a</w:t>
      </w:r>
      <w:r w:rsidR="002E6A13">
        <w:rPr>
          <w:sz w:val="22"/>
          <w:szCs w:val="22"/>
        </w:rPr>
        <w:t>t least one</w:t>
      </w:r>
      <w:r w:rsidR="00CB2B75" w:rsidRPr="42884E11">
        <w:rPr>
          <w:sz w:val="22"/>
          <w:szCs w:val="22"/>
        </w:rPr>
        <w:t xml:space="preserve"> student default </w:t>
      </w:r>
      <w:r w:rsidR="002E6A13">
        <w:rPr>
          <w:sz w:val="22"/>
          <w:szCs w:val="22"/>
        </w:rPr>
        <w:t>where the</w:t>
      </w:r>
      <w:r w:rsidR="003F0EE5">
        <w:rPr>
          <w:sz w:val="22"/>
          <w:szCs w:val="22"/>
        </w:rPr>
        <w:t xml:space="preserve"> refund amount was paid out by the TPS in the </w:t>
      </w:r>
      <w:r w:rsidR="00402203" w:rsidRPr="42884E11">
        <w:rPr>
          <w:sz w:val="22"/>
          <w:szCs w:val="22"/>
        </w:rPr>
        <w:t>previous calendar year.</w:t>
      </w:r>
      <w:r w:rsidR="002B197E">
        <w:rPr>
          <w:sz w:val="22"/>
          <w:szCs w:val="22"/>
        </w:rPr>
        <w:t xml:space="preserve"> </w:t>
      </w:r>
      <w:r w:rsidR="00601064" w:rsidRPr="00BF3050">
        <w:rPr>
          <w:rFonts w:cstheme="minorHAnsi"/>
          <w:sz w:val="22"/>
          <w:szCs w:val="22"/>
        </w:rPr>
        <w:t>The Board supports the AGA’s recommendation to enhance the non-compliance risk factor with a student default loading</w:t>
      </w:r>
      <w:r w:rsidR="00601064">
        <w:rPr>
          <w:rFonts w:cstheme="minorHAnsi"/>
          <w:sz w:val="22"/>
          <w:szCs w:val="22"/>
        </w:rPr>
        <w:t xml:space="preserve"> </w:t>
      </w:r>
      <w:r w:rsidR="00BA05F9">
        <w:rPr>
          <w:sz w:val="22"/>
          <w:szCs w:val="22"/>
        </w:rPr>
        <w:t>as a provider is required to refund tuition fees within a period of 4 weeks after a student default</w:t>
      </w:r>
      <w:r w:rsidR="00610208">
        <w:rPr>
          <w:sz w:val="22"/>
          <w:szCs w:val="22"/>
        </w:rPr>
        <w:t>.</w:t>
      </w:r>
      <w:r w:rsidR="00860CF8">
        <w:rPr>
          <w:rStyle w:val="FootnoteReference"/>
          <w:sz w:val="22"/>
          <w:szCs w:val="22"/>
        </w:rPr>
        <w:footnoteReference w:id="2"/>
      </w:r>
    </w:p>
    <w:p w14:paraId="752CD40E" w14:textId="6D123BDF" w:rsidR="00860CF8" w:rsidRDefault="00860CF8" w:rsidP="00164728">
      <w:pPr>
        <w:spacing w:after="120"/>
        <w:rPr>
          <w:rFonts w:cstheme="minorHAnsi"/>
          <w:sz w:val="22"/>
          <w:szCs w:val="22"/>
        </w:rPr>
      </w:pPr>
      <w:r w:rsidRPr="00C1336C">
        <w:rPr>
          <w:rFonts w:cstheme="minorHAnsi"/>
          <w:sz w:val="22"/>
          <w:szCs w:val="22"/>
        </w:rPr>
        <w:t xml:space="preserve">The Board also supports the AGA’s recommendation to </w:t>
      </w:r>
      <w:r>
        <w:rPr>
          <w:rFonts w:cstheme="minorHAnsi"/>
          <w:sz w:val="22"/>
          <w:szCs w:val="22"/>
        </w:rPr>
        <w:t>re</w:t>
      </w:r>
      <w:r w:rsidRPr="00C1336C">
        <w:rPr>
          <w:rFonts w:cstheme="minorHAnsi"/>
          <w:sz w:val="22"/>
          <w:szCs w:val="22"/>
        </w:rPr>
        <w:t xml:space="preserve">tain the specified percentage for the </w:t>
      </w:r>
      <w:r>
        <w:rPr>
          <w:rFonts w:cstheme="minorHAnsi"/>
          <w:sz w:val="22"/>
          <w:szCs w:val="22"/>
        </w:rPr>
        <w:br/>
        <w:t>R</w:t>
      </w:r>
      <w:r w:rsidRPr="00C1336C">
        <w:rPr>
          <w:rFonts w:cstheme="minorHAnsi"/>
          <w:sz w:val="22"/>
          <w:szCs w:val="22"/>
        </w:rPr>
        <w:t xml:space="preserve">isk </w:t>
      </w:r>
      <w:r>
        <w:rPr>
          <w:rFonts w:cstheme="minorHAnsi"/>
          <w:sz w:val="22"/>
          <w:szCs w:val="22"/>
        </w:rPr>
        <w:t>R</w:t>
      </w:r>
      <w:r w:rsidRPr="00C1336C">
        <w:rPr>
          <w:rFonts w:cstheme="minorHAnsi"/>
          <w:sz w:val="22"/>
          <w:szCs w:val="22"/>
        </w:rPr>
        <w:t xml:space="preserve">ated </w:t>
      </w:r>
      <w:r>
        <w:rPr>
          <w:rFonts w:cstheme="minorHAnsi"/>
          <w:sz w:val="22"/>
          <w:szCs w:val="22"/>
        </w:rPr>
        <w:t>P</w:t>
      </w:r>
      <w:r w:rsidRPr="00C1336C">
        <w:rPr>
          <w:rFonts w:cstheme="minorHAnsi"/>
          <w:sz w:val="22"/>
          <w:szCs w:val="22"/>
        </w:rPr>
        <w:t>remium component at 0.05% as it was in 202</w:t>
      </w:r>
      <w:r>
        <w:rPr>
          <w:rFonts w:cstheme="minorHAnsi"/>
          <w:sz w:val="22"/>
          <w:szCs w:val="22"/>
        </w:rPr>
        <w:t>5.</w:t>
      </w:r>
      <w:r w:rsidRPr="00C1336C">
        <w:rPr>
          <w:rFonts w:cstheme="minorHAnsi"/>
          <w:sz w:val="22"/>
          <w:szCs w:val="22"/>
        </w:rPr>
        <w:t xml:space="preserve"> </w:t>
      </w:r>
      <w:r>
        <w:rPr>
          <w:rFonts w:cstheme="minorHAnsi"/>
          <w:sz w:val="22"/>
          <w:szCs w:val="22"/>
        </w:rPr>
        <w:t xml:space="preserve">Further details on the Board’s </w:t>
      </w:r>
      <w:r w:rsidR="001665BF">
        <w:rPr>
          <w:rFonts w:cstheme="minorHAnsi"/>
          <w:sz w:val="22"/>
          <w:szCs w:val="22"/>
        </w:rPr>
        <w:t>final</w:t>
      </w:r>
      <w:r>
        <w:rPr>
          <w:rFonts w:cstheme="minorHAnsi"/>
          <w:sz w:val="22"/>
          <w:szCs w:val="22"/>
        </w:rPr>
        <w:t xml:space="preserve"> advice on the risk factors and values for the Risk Rated Premium component can be found at the end of this letter.</w:t>
      </w:r>
    </w:p>
    <w:p w14:paraId="2AA7A5E0" w14:textId="2F76A1E0" w:rsidR="00860CF8" w:rsidRPr="00C1336C" w:rsidRDefault="00860CF8" w:rsidP="00164728">
      <w:pPr>
        <w:spacing w:after="120"/>
        <w:rPr>
          <w:rFonts w:cstheme="minorHAnsi"/>
          <w:b/>
          <w:bCs/>
          <w:sz w:val="22"/>
          <w:szCs w:val="22"/>
        </w:rPr>
      </w:pPr>
      <w:r w:rsidRPr="00C1336C">
        <w:rPr>
          <w:rFonts w:cstheme="minorHAnsi"/>
          <w:b/>
          <w:bCs/>
          <w:sz w:val="22"/>
          <w:szCs w:val="22"/>
        </w:rPr>
        <w:t xml:space="preserve">Special </w:t>
      </w:r>
      <w:r>
        <w:rPr>
          <w:rFonts w:cstheme="minorHAnsi"/>
          <w:b/>
          <w:bCs/>
          <w:sz w:val="22"/>
          <w:szCs w:val="22"/>
        </w:rPr>
        <w:t>T</w:t>
      </w:r>
      <w:r w:rsidRPr="00C1336C">
        <w:rPr>
          <w:rFonts w:cstheme="minorHAnsi"/>
          <w:b/>
          <w:bCs/>
          <w:sz w:val="22"/>
          <w:szCs w:val="22"/>
        </w:rPr>
        <w:t xml:space="preserve">uition </w:t>
      </w:r>
      <w:r>
        <w:rPr>
          <w:rFonts w:cstheme="minorHAnsi"/>
          <w:b/>
          <w:bCs/>
          <w:sz w:val="22"/>
          <w:szCs w:val="22"/>
        </w:rPr>
        <w:t>P</w:t>
      </w:r>
      <w:r w:rsidRPr="00C1336C">
        <w:rPr>
          <w:rFonts w:cstheme="minorHAnsi"/>
          <w:b/>
          <w:bCs/>
          <w:sz w:val="22"/>
          <w:szCs w:val="22"/>
        </w:rPr>
        <w:t>rotection component</w:t>
      </w:r>
    </w:p>
    <w:p w14:paraId="7C9350D2" w14:textId="79BCBE85" w:rsidR="00860CF8" w:rsidRPr="00C1336C" w:rsidRDefault="00860CF8" w:rsidP="00E03A3A">
      <w:pPr>
        <w:spacing w:before="0" w:after="120"/>
        <w:rPr>
          <w:rFonts w:cstheme="minorHAnsi"/>
          <w:sz w:val="22"/>
          <w:szCs w:val="22"/>
        </w:rPr>
      </w:pPr>
      <w:r w:rsidRPr="00C1336C">
        <w:rPr>
          <w:rFonts w:cstheme="minorHAnsi"/>
          <w:sz w:val="22"/>
          <w:szCs w:val="22"/>
        </w:rPr>
        <w:t>The Board agrees with the AGA’s recommendation that the</w:t>
      </w:r>
      <w:r>
        <w:rPr>
          <w:rFonts w:cstheme="minorHAnsi"/>
          <w:sz w:val="22"/>
          <w:szCs w:val="22"/>
        </w:rPr>
        <w:t xml:space="preserve"> specified percentage for the</w:t>
      </w:r>
      <w:r w:rsidRPr="00C1336C">
        <w:rPr>
          <w:rFonts w:cstheme="minorHAnsi"/>
          <w:sz w:val="22"/>
          <w:szCs w:val="22"/>
        </w:rPr>
        <w:t xml:space="preserve"> </w:t>
      </w:r>
      <w:r>
        <w:rPr>
          <w:rFonts w:cstheme="minorHAnsi"/>
          <w:sz w:val="22"/>
          <w:szCs w:val="22"/>
        </w:rPr>
        <w:t>S</w:t>
      </w:r>
      <w:r w:rsidRPr="00C1336C">
        <w:rPr>
          <w:rFonts w:cstheme="minorHAnsi"/>
          <w:sz w:val="22"/>
          <w:szCs w:val="22"/>
        </w:rPr>
        <w:t xml:space="preserve">pecial </w:t>
      </w:r>
      <w:r>
        <w:rPr>
          <w:rFonts w:cstheme="minorHAnsi"/>
          <w:sz w:val="22"/>
          <w:szCs w:val="22"/>
        </w:rPr>
        <w:t>T</w:t>
      </w:r>
      <w:r w:rsidRPr="00C1336C">
        <w:rPr>
          <w:rFonts w:cstheme="minorHAnsi"/>
          <w:sz w:val="22"/>
          <w:szCs w:val="22"/>
        </w:rPr>
        <w:t xml:space="preserve">uition </w:t>
      </w:r>
      <w:r>
        <w:rPr>
          <w:rFonts w:cstheme="minorHAnsi"/>
          <w:sz w:val="22"/>
          <w:szCs w:val="22"/>
        </w:rPr>
        <w:t>P</w:t>
      </w:r>
      <w:r w:rsidRPr="00C1336C">
        <w:rPr>
          <w:rFonts w:cstheme="minorHAnsi"/>
          <w:sz w:val="22"/>
          <w:szCs w:val="22"/>
        </w:rPr>
        <w:t xml:space="preserve">rotection component </w:t>
      </w:r>
      <w:r>
        <w:rPr>
          <w:rFonts w:cstheme="minorHAnsi"/>
          <w:sz w:val="22"/>
          <w:szCs w:val="22"/>
        </w:rPr>
        <w:t>be retained at 0%</w:t>
      </w:r>
      <w:r w:rsidRPr="00C1336C">
        <w:rPr>
          <w:rFonts w:cstheme="minorHAnsi"/>
          <w:sz w:val="22"/>
          <w:szCs w:val="22"/>
        </w:rPr>
        <w:t xml:space="preserve">.  </w:t>
      </w:r>
    </w:p>
    <w:p w14:paraId="37864AD3" w14:textId="7F1B2E0E" w:rsidR="00860CF8" w:rsidRPr="00C1336C" w:rsidRDefault="00860CF8" w:rsidP="00E03A3A">
      <w:pPr>
        <w:spacing w:before="0" w:after="120"/>
        <w:rPr>
          <w:rFonts w:cstheme="minorHAnsi"/>
          <w:b/>
          <w:bCs/>
          <w:sz w:val="22"/>
          <w:szCs w:val="22"/>
        </w:rPr>
      </w:pPr>
      <w:r w:rsidRPr="00C1336C">
        <w:rPr>
          <w:rFonts w:cstheme="minorHAnsi"/>
          <w:b/>
          <w:bCs/>
          <w:sz w:val="22"/>
          <w:szCs w:val="22"/>
        </w:rPr>
        <w:t>In summary, the Board hereby recommends to you</w:t>
      </w:r>
      <w:r>
        <w:rPr>
          <w:rFonts w:cstheme="minorHAnsi"/>
          <w:b/>
          <w:bCs/>
          <w:sz w:val="22"/>
          <w:szCs w:val="22"/>
        </w:rPr>
        <w:t xml:space="preserve"> for the 2026 International TPS Levy: </w:t>
      </w:r>
    </w:p>
    <w:p w14:paraId="3CD730D2" w14:textId="15A70F7F" w:rsidR="00860CF8" w:rsidRPr="002417DF" w:rsidRDefault="00860CF8" w:rsidP="00140F2D">
      <w:pPr>
        <w:pStyle w:val="ListParagraph"/>
        <w:numPr>
          <w:ilvl w:val="0"/>
          <w:numId w:val="13"/>
        </w:numPr>
        <w:ind w:left="426"/>
        <w:rPr>
          <w:sz w:val="22"/>
          <w:szCs w:val="22"/>
        </w:rPr>
      </w:pPr>
      <w:r>
        <w:rPr>
          <w:sz w:val="22"/>
          <w:szCs w:val="22"/>
        </w:rPr>
        <w:t>Introduce</w:t>
      </w:r>
      <w:r w:rsidRPr="001434B7">
        <w:rPr>
          <w:sz w:val="22"/>
          <w:szCs w:val="22"/>
        </w:rPr>
        <w:t xml:space="preserve"> an additional loading factor within the non-compliance risk factor of 1.0 that is applied to providers that incurred at least one student default where the refund amount was paid out by the TPS in the previous calendar year.  </w:t>
      </w:r>
    </w:p>
    <w:p w14:paraId="65018B9E" w14:textId="27CA61A6" w:rsidR="00860CF8" w:rsidRDefault="00860CF8" w:rsidP="00140F2D">
      <w:pPr>
        <w:pStyle w:val="ListParagraph"/>
        <w:numPr>
          <w:ilvl w:val="0"/>
          <w:numId w:val="13"/>
        </w:numPr>
        <w:ind w:left="426"/>
        <w:rPr>
          <w:sz w:val="22"/>
          <w:szCs w:val="22"/>
        </w:rPr>
      </w:pPr>
      <w:r>
        <w:rPr>
          <w:sz w:val="22"/>
          <w:szCs w:val="22"/>
        </w:rPr>
        <w:t>All other settings are retained from 2025.</w:t>
      </w:r>
    </w:p>
    <w:p w14:paraId="176E40EA" w14:textId="2298CB70" w:rsidR="00860CF8" w:rsidRPr="008B3F3B" w:rsidRDefault="00860CF8" w:rsidP="00E03A3A">
      <w:pPr>
        <w:spacing w:after="120"/>
        <w:rPr>
          <w:sz w:val="22"/>
          <w:szCs w:val="22"/>
        </w:rPr>
      </w:pPr>
      <w:r w:rsidRPr="2A9D687F">
        <w:rPr>
          <w:sz w:val="22"/>
          <w:szCs w:val="22"/>
        </w:rPr>
        <w:t>Th</w:t>
      </w:r>
      <w:r>
        <w:rPr>
          <w:sz w:val="22"/>
          <w:szCs w:val="22"/>
        </w:rPr>
        <w:t>ese positions are</w:t>
      </w:r>
      <w:r w:rsidRPr="2A9D687F">
        <w:rPr>
          <w:sz w:val="22"/>
          <w:szCs w:val="22"/>
        </w:rPr>
        <w:t xml:space="preserve"> consistent with the AGA’s recommendation</w:t>
      </w:r>
      <w:r>
        <w:rPr>
          <w:sz w:val="22"/>
          <w:szCs w:val="22"/>
        </w:rPr>
        <w:t>s</w:t>
      </w:r>
      <w:r w:rsidRPr="2A9D687F">
        <w:rPr>
          <w:sz w:val="22"/>
          <w:szCs w:val="22"/>
        </w:rPr>
        <w:t>.</w:t>
      </w:r>
    </w:p>
    <w:p w14:paraId="68FB2E6C" w14:textId="77777777" w:rsidR="00860CF8" w:rsidRDefault="00860CF8" w:rsidP="00072A81">
      <w:pPr>
        <w:spacing w:after="0"/>
        <w:rPr>
          <w:rFonts w:cstheme="minorHAnsi"/>
          <w:sz w:val="22"/>
          <w:szCs w:val="22"/>
        </w:rPr>
      </w:pPr>
    </w:p>
    <w:p w14:paraId="32B8F394" w14:textId="585A3F0F" w:rsidR="00860CF8" w:rsidRPr="00E63456" w:rsidRDefault="00860CF8" w:rsidP="00072A81">
      <w:pPr>
        <w:spacing w:after="0"/>
        <w:rPr>
          <w:rFonts w:cstheme="minorHAnsi"/>
          <w:sz w:val="22"/>
          <w:szCs w:val="22"/>
        </w:rPr>
      </w:pPr>
      <w:r w:rsidRPr="00E63456">
        <w:rPr>
          <w:rFonts w:cstheme="minorHAnsi"/>
          <w:sz w:val="22"/>
          <w:szCs w:val="22"/>
        </w:rPr>
        <w:t>Yours sincerely,</w:t>
      </w:r>
    </w:p>
    <w:p w14:paraId="5FA43BE4" w14:textId="77777777" w:rsidR="00860CF8" w:rsidRDefault="00860CF8" w:rsidP="00072A81">
      <w:pPr>
        <w:spacing w:before="0" w:after="0"/>
        <w:rPr>
          <w:rFonts w:cstheme="minorHAnsi"/>
          <w:sz w:val="22"/>
          <w:szCs w:val="22"/>
        </w:rPr>
      </w:pPr>
    </w:p>
    <w:p w14:paraId="7FC94A87" w14:textId="77777777" w:rsidR="00860CF8" w:rsidRDefault="00860CF8" w:rsidP="00072A81">
      <w:pPr>
        <w:spacing w:before="0" w:after="0"/>
        <w:rPr>
          <w:rFonts w:cstheme="minorHAnsi"/>
          <w:sz w:val="22"/>
          <w:szCs w:val="22"/>
        </w:rPr>
      </w:pPr>
    </w:p>
    <w:p w14:paraId="0D74F62B" w14:textId="77777777" w:rsidR="00860CF8" w:rsidRPr="00E63456" w:rsidRDefault="00860CF8" w:rsidP="00072A81">
      <w:pPr>
        <w:spacing w:before="0" w:after="0"/>
        <w:rPr>
          <w:rFonts w:cstheme="minorHAnsi"/>
          <w:sz w:val="22"/>
          <w:szCs w:val="22"/>
        </w:rPr>
      </w:pPr>
    </w:p>
    <w:p w14:paraId="7C653B58" w14:textId="626797C0" w:rsidR="00860CF8" w:rsidRPr="00E63456" w:rsidRDefault="00860CF8" w:rsidP="00375418">
      <w:pPr>
        <w:pStyle w:val="RecipientSenderdetails"/>
        <w:spacing w:before="0"/>
        <w:rPr>
          <w:rFonts w:cstheme="minorHAnsi"/>
          <w:sz w:val="22"/>
          <w:szCs w:val="22"/>
        </w:rPr>
      </w:pPr>
      <w:r w:rsidRPr="00E63456">
        <w:rPr>
          <w:rFonts w:cstheme="minorHAnsi"/>
          <w:b/>
          <w:bCs/>
          <w:sz w:val="22"/>
          <w:szCs w:val="22"/>
        </w:rPr>
        <w:t>Sharon Robertson</w:t>
      </w:r>
      <w:r w:rsidRPr="00E63456">
        <w:rPr>
          <w:rFonts w:cstheme="minorHAnsi"/>
          <w:sz w:val="22"/>
          <w:szCs w:val="22"/>
        </w:rPr>
        <w:br/>
        <w:t>Chair</w:t>
      </w:r>
      <w:r w:rsidR="000A6A49">
        <w:rPr>
          <w:rFonts w:cstheme="minorHAnsi"/>
          <w:sz w:val="22"/>
          <w:szCs w:val="22"/>
        </w:rPr>
        <w:t xml:space="preserve"> (acting)</w:t>
      </w:r>
    </w:p>
    <w:p w14:paraId="6FC7DFC5" w14:textId="157B4DF2" w:rsidR="00860CF8" w:rsidRPr="00E63456" w:rsidRDefault="00860CF8" w:rsidP="00E63456">
      <w:pPr>
        <w:pStyle w:val="RecipientSenderdetails"/>
        <w:spacing w:before="0"/>
        <w:rPr>
          <w:rFonts w:cstheme="minorHAnsi"/>
          <w:sz w:val="22"/>
          <w:szCs w:val="22"/>
        </w:rPr>
      </w:pPr>
      <w:r w:rsidRPr="00E63456">
        <w:rPr>
          <w:rFonts w:cstheme="minorHAnsi"/>
          <w:sz w:val="22"/>
          <w:szCs w:val="22"/>
        </w:rPr>
        <w:t>Tuition Protection Service Advisory Board</w:t>
      </w:r>
    </w:p>
    <w:p w14:paraId="5C4D4DE3" w14:textId="1B147BF5" w:rsidR="00860CF8" w:rsidRDefault="00860CF8" w:rsidP="00541125">
      <w:pPr>
        <w:spacing w:before="0" w:after="0" w:line="259" w:lineRule="auto"/>
        <w:jc w:val="center"/>
        <w:rPr>
          <w:sz w:val="24"/>
          <w:szCs w:val="24"/>
        </w:rPr>
        <w:sectPr w:rsidR="00860CF8" w:rsidSect="00860CF8">
          <w:footnotePr>
            <w:numStart w:val="2"/>
          </w:footnotePr>
          <w:type w:val="continuous"/>
          <w:pgSz w:w="11906" w:h="16838"/>
          <w:pgMar w:top="284" w:right="1274" w:bottom="709" w:left="1276" w:header="709" w:footer="709" w:gutter="0"/>
          <w:cols w:space="708"/>
          <w:titlePg/>
          <w:docGrid w:linePitch="360"/>
        </w:sectPr>
      </w:pPr>
      <w:r w:rsidRPr="00E63456">
        <w:rPr>
          <w:rFonts w:cstheme="minorHAnsi"/>
          <w:sz w:val="22"/>
          <w:szCs w:val="22"/>
        </w:rPr>
        <w:br w:type="page"/>
      </w:r>
    </w:p>
    <w:p w14:paraId="1CB1EDB6" w14:textId="6F0E10E8" w:rsidR="00860CF8" w:rsidRPr="00154475" w:rsidRDefault="00860CF8" w:rsidP="00541125">
      <w:pPr>
        <w:spacing w:before="0" w:after="0" w:line="259" w:lineRule="auto"/>
        <w:rPr>
          <w:b/>
          <w:bCs/>
          <w:sz w:val="22"/>
          <w:szCs w:val="22"/>
        </w:rPr>
      </w:pPr>
      <w:r w:rsidRPr="00154475">
        <w:rPr>
          <w:b/>
          <w:bCs/>
          <w:sz w:val="22"/>
          <w:szCs w:val="22"/>
        </w:rPr>
        <w:lastRenderedPageBreak/>
        <w:t xml:space="preserve">Proposed risk factors and values for the </w:t>
      </w:r>
      <w:r>
        <w:rPr>
          <w:b/>
          <w:bCs/>
          <w:sz w:val="22"/>
          <w:szCs w:val="22"/>
        </w:rPr>
        <w:t>R</w:t>
      </w:r>
      <w:r w:rsidRPr="00154475">
        <w:rPr>
          <w:b/>
          <w:bCs/>
          <w:sz w:val="22"/>
          <w:szCs w:val="22"/>
        </w:rPr>
        <w:t xml:space="preserve">isk </w:t>
      </w:r>
      <w:r>
        <w:rPr>
          <w:b/>
          <w:bCs/>
          <w:sz w:val="22"/>
          <w:szCs w:val="22"/>
        </w:rPr>
        <w:t>R</w:t>
      </w:r>
      <w:r w:rsidRPr="00154475">
        <w:rPr>
          <w:b/>
          <w:bCs/>
          <w:sz w:val="22"/>
          <w:szCs w:val="22"/>
        </w:rPr>
        <w:t xml:space="preserve">ated </w:t>
      </w:r>
      <w:r>
        <w:rPr>
          <w:b/>
          <w:bCs/>
          <w:sz w:val="22"/>
          <w:szCs w:val="22"/>
        </w:rPr>
        <w:t>P</w:t>
      </w:r>
      <w:r w:rsidRPr="00154475">
        <w:rPr>
          <w:b/>
          <w:bCs/>
          <w:sz w:val="22"/>
          <w:szCs w:val="22"/>
        </w:rPr>
        <w:t xml:space="preserve">remium component of the </w:t>
      </w:r>
      <w:r>
        <w:rPr>
          <w:b/>
          <w:bCs/>
          <w:sz w:val="22"/>
          <w:szCs w:val="22"/>
        </w:rPr>
        <w:t xml:space="preserve">2026 </w:t>
      </w:r>
      <w:r w:rsidRPr="00154475">
        <w:rPr>
          <w:b/>
          <w:bCs/>
          <w:sz w:val="22"/>
          <w:szCs w:val="22"/>
        </w:rPr>
        <w:t>International TPS Levy</w:t>
      </w:r>
    </w:p>
    <w:p w14:paraId="70F91656" w14:textId="77777777" w:rsidR="00860CF8" w:rsidRPr="00522C71" w:rsidRDefault="00860CF8" w:rsidP="00541125">
      <w:pPr>
        <w:spacing w:before="0" w:after="0" w:line="259" w:lineRule="auto"/>
        <w:jc w:val="center"/>
        <w:rPr>
          <w:sz w:val="16"/>
          <w:szCs w:val="16"/>
        </w:rPr>
      </w:pPr>
    </w:p>
    <w:tbl>
      <w:tblPr>
        <w:tblW w:w="13740" w:type="dxa"/>
        <w:tblCellMar>
          <w:left w:w="0" w:type="dxa"/>
          <w:right w:w="0" w:type="dxa"/>
        </w:tblCellMar>
        <w:tblLook w:val="0420" w:firstRow="1" w:lastRow="0" w:firstColumn="0" w:lastColumn="0" w:noHBand="0" w:noVBand="1"/>
      </w:tblPr>
      <w:tblGrid>
        <w:gridCol w:w="5660"/>
        <w:gridCol w:w="4111"/>
        <w:gridCol w:w="1985"/>
        <w:gridCol w:w="1984"/>
      </w:tblGrid>
      <w:tr w:rsidR="00860CF8" w:rsidRPr="00A73069" w14:paraId="3CE2DD0C" w14:textId="77777777" w:rsidTr="00CC4571">
        <w:trPr>
          <w:trHeight w:val="384"/>
          <w:tblHeader/>
        </w:trPr>
        <w:tc>
          <w:tcPr>
            <w:tcW w:w="5660"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1EDADC6D" w14:textId="1F1D7E4F" w:rsidR="00860CF8" w:rsidRPr="000F1CBD" w:rsidRDefault="00860CF8">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Risk factor</w:t>
            </w:r>
          </w:p>
        </w:tc>
        <w:tc>
          <w:tcPr>
            <w:tcW w:w="4111"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4D470CC0" w14:textId="77777777" w:rsidR="00860CF8" w:rsidRPr="000F1CBD" w:rsidRDefault="00860CF8">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Category</w:t>
            </w:r>
          </w:p>
        </w:tc>
        <w:tc>
          <w:tcPr>
            <w:tcW w:w="1985"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39C102B5" w14:textId="23A6864D" w:rsidR="00860CF8" w:rsidRPr="000F1CBD" w:rsidRDefault="00860CF8">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202</w:t>
            </w:r>
            <w:r>
              <w:rPr>
                <w:rFonts w:ascii="Calibri" w:eastAsia="Times New Roman" w:hAnsi="Calibri" w:cs="Calibri"/>
                <w:b/>
                <w:bCs/>
                <w:color w:val="FFFFFF"/>
                <w:kern w:val="24"/>
                <w:sz w:val="22"/>
                <w:szCs w:val="22"/>
                <w:lang w:eastAsia="en-AU"/>
              </w:rPr>
              <w:t>5</w:t>
            </w:r>
            <w:r w:rsidRPr="000F1CBD">
              <w:rPr>
                <w:rFonts w:ascii="Calibri" w:eastAsia="Times New Roman" w:hAnsi="Calibri" w:cs="Calibri"/>
                <w:b/>
                <w:bCs/>
                <w:color w:val="FFFFFF"/>
                <w:kern w:val="24"/>
                <w:sz w:val="22"/>
                <w:szCs w:val="22"/>
                <w:lang w:eastAsia="en-AU"/>
              </w:rPr>
              <w:t xml:space="preserve"> values</w:t>
            </w:r>
          </w:p>
        </w:tc>
        <w:tc>
          <w:tcPr>
            <w:tcW w:w="1984"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3C91B53E" w14:textId="7681B71B" w:rsidR="00860CF8" w:rsidRPr="000F1CBD" w:rsidRDefault="00860CF8">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Proposed 202</w:t>
            </w:r>
            <w:r>
              <w:rPr>
                <w:rFonts w:ascii="Calibri" w:eastAsia="Times New Roman" w:hAnsi="Calibri" w:cs="Calibri"/>
                <w:b/>
                <w:bCs/>
                <w:color w:val="FFFFFF"/>
                <w:kern w:val="24"/>
                <w:sz w:val="22"/>
                <w:szCs w:val="22"/>
                <w:lang w:eastAsia="en-AU"/>
              </w:rPr>
              <w:t>6</w:t>
            </w:r>
            <w:r w:rsidRPr="000F1CBD">
              <w:rPr>
                <w:rFonts w:ascii="Calibri" w:eastAsia="Times New Roman" w:hAnsi="Calibri" w:cs="Calibri"/>
                <w:b/>
                <w:bCs/>
                <w:color w:val="FFFFFF"/>
                <w:kern w:val="24"/>
                <w:sz w:val="22"/>
                <w:szCs w:val="22"/>
                <w:lang w:eastAsia="en-AU"/>
              </w:rPr>
              <w:t xml:space="preserve"> values</w:t>
            </w:r>
          </w:p>
        </w:tc>
      </w:tr>
      <w:tr w:rsidR="00860CF8" w:rsidRPr="00A73069" w14:paraId="79B9957C" w14:textId="77777777" w:rsidTr="00CC4571">
        <w:trPr>
          <w:trHeight w:val="443"/>
        </w:trPr>
        <w:tc>
          <w:tcPr>
            <w:tcW w:w="5660"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6646E0CF" w14:textId="6A352B4C"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 xml:space="preserve">Base </w:t>
            </w:r>
          </w:p>
        </w:tc>
        <w:tc>
          <w:tcPr>
            <w:tcW w:w="4111"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482B6208"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All non-exempt providers</w:t>
            </w:r>
          </w:p>
        </w:tc>
        <w:tc>
          <w:tcPr>
            <w:tcW w:w="1985"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435C97E9"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c>
          <w:tcPr>
            <w:tcW w:w="1984"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523C98AA"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r>
      <w:tr w:rsidR="00860CF8" w:rsidRPr="00A73069" w14:paraId="66F7ADB4" w14:textId="77777777" w:rsidTr="00CC4571">
        <w:trPr>
          <w:trHeight w:val="402"/>
        </w:trPr>
        <w:tc>
          <w:tcPr>
            <w:tcW w:w="5660" w:type="dxa"/>
            <w:vMerge w:val="restart"/>
            <w:tcBorders>
              <w:top w:val="single" w:sz="8" w:space="0" w:color="FFFFFF"/>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FA8AD2E" w14:textId="1D0F0F96"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Length of operation</w:t>
            </w: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508B6B8"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Less than 1 year</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A569819"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715B61A"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r>
      <w:tr w:rsidR="00860CF8" w:rsidRPr="00A73069" w14:paraId="124B7800" w14:textId="77777777" w:rsidTr="00CC4571">
        <w:trPr>
          <w:trHeight w:val="402"/>
        </w:trPr>
        <w:tc>
          <w:tcPr>
            <w:tcW w:w="5660"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6CFBD50" w14:textId="12B46142" w:rsidR="00860CF8" w:rsidRPr="000F1CBD" w:rsidRDefault="00860CF8">
            <w:pPr>
              <w:spacing w:before="0" w:after="0" w:line="264" w:lineRule="auto"/>
              <w:jc w:val="center"/>
              <w:rPr>
                <w:rFonts w:ascii="Arial" w:eastAsia="Times New Roman" w:hAnsi="Arial" w:cs="Arial"/>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A9E879F"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 year to less than 2 years</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EC5A546"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0.5</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F621EFC"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0.5</w:t>
            </w:r>
          </w:p>
        </w:tc>
      </w:tr>
      <w:tr w:rsidR="00860CF8" w:rsidRPr="00A73069" w14:paraId="239CDBA4" w14:textId="77777777" w:rsidTr="00CC4571">
        <w:trPr>
          <w:trHeight w:val="402"/>
        </w:trPr>
        <w:tc>
          <w:tcPr>
            <w:tcW w:w="5660" w:type="dxa"/>
            <w:vMerge/>
            <w:tcBorders>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447524B" w14:textId="01619D72"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F2CED39"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 years or more</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99585CA"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83A6761"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860CF8" w:rsidRPr="00A73069" w14:paraId="378C790D" w14:textId="77777777" w:rsidTr="00CC4571">
        <w:trPr>
          <w:trHeight w:val="453"/>
        </w:trPr>
        <w:tc>
          <w:tcPr>
            <w:tcW w:w="5660" w:type="dxa"/>
            <w:vMerge w:val="restart"/>
            <w:tcBorders>
              <w:top w:val="single" w:sz="8" w:space="0" w:color="FFFFFF"/>
              <w:left w:val="single" w:sz="8" w:space="0" w:color="FFFFFF"/>
              <w:right w:val="single" w:sz="8" w:space="0" w:color="FFFFFF"/>
            </w:tcBorders>
            <w:shd w:val="clear" w:color="auto" w:fill="D5DDE1"/>
            <w:tcMar>
              <w:top w:w="72" w:type="dxa"/>
              <w:left w:w="144" w:type="dxa"/>
              <w:bottom w:w="72" w:type="dxa"/>
              <w:right w:w="144" w:type="dxa"/>
            </w:tcMar>
            <w:vAlign w:val="center"/>
          </w:tcPr>
          <w:p w14:paraId="53A2EF87" w14:textId="69DD809C" w:rsidR="00860CF8" w:rsidRDefault="00860CF8">
            <w:pPr>
              <w:spacing w:before="0" w:after="0" w:line="264" w:lineRule="auto"/>
              <w:jc w:val="center"/>
              <w:rPr>
                <w:rFonts w:ascii="Calibri" w:eastAsia="Times New Roman" w:hAnsi="Calibri" w:cs="Calibri"/>
                <w:color w:val="000000"/>
                <w:kern w:val="24"/>
                <w:sz w:val="22"/>
                <w:szCs w:val="22"/>
                <w:lang w:eastAsia="en-AU"/>
              </w:rPr>
            </w:pPr>
          </w:p>
          <w:p w14:paraId="2CCBFCCA" w14:textId="77777777" w:rsidR="00860CF8" w:rsidRDefault="00860CF8">
            <w:pPr>
              <w:spacing w:before="0" w:after="0" w:line="264" w:lineRule="auto"/>
              <w:jc w:val="center"/>
              <w:rPr>
                <w:rFonts w:ascii="Calibri" w:eastAsia="Times New Roman" w:hAnsi="Calibri" w:cs="Calibri"/>
                <w:color w:val="000000"/>
                <w:kern w:val="24"/>
                <w:sz w:val="22"/>
                <w:szCs w:val="22"/>
                <w:lang w:eastAsia="en-AU"/>
              </w:rPr>
            </w:pPr>
          </w:p>
          <w:p w14:paraId="28AD96B1" w14:textId="77777777" w:rsidR="00860CF8" w:rsidRDefault="00860CF8">
            <w:pPr>
              <w:spacing w:before="0" w:after="0" w:line="264" w:lineRule="auto"/>
              <w:jc w:val="center"/>
              <w:rPr>
                <w:rFonts w:ascii="Calibri" w:eastAsia="Times New Roman" w:hAnsi="Calibri" w:cs="Calibri"/>
                <w:color w:val="000000"/>
                <w:kern w:val="24"/>
                <w:sz w:val="22"/>
                <w:szCs w:val="22"/>
                <w:lang w:eastAsia="en-AU"/>
              </w:rPr>
            </w:pPr>
          </w:p>
          <w:p w14:paraId="267ADED1" w14:textId="09E4FA05"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r w:rsidRPr="000F1CBD">
              <w:rPr>
                <w:rFonts w:ascii="Calibri" w:eastAsia="Times New Roman" w:hAnsi="Calibri" w:cs="Calibri"/>
                <w:color w:val="000000"/>
                <w:kern w:val="24"/>
                <w:sz w:val="22"/>
                <w:szCs w:val="22"/>
                <w:lang w:eastAsia="en-AU"/>
              </w:rPr>
              <w:t>Volatility in overseas student enrolments</w:t>
            </w:r>
            <w:r w:rsidR="00B80711" w:rsidRPr="00513478">
              <w:rPr>
                <w:rStyle w:val="FootnoteReference"/>
                <w:rFonts w:ascii="Calibri" w:eastAsia="Times New Roman" w:hAnsi="Calibri" w:cs="Calibri"/>
                <w:color w:val="000000"/>
                <w:kern w:val="24"/>
                <w:sz w:val="22"/>
                <w:szCs w:val="22"/>
                <w:lang w:eastAsia="en-AU"/>
              </w:rPr>
              <w:footnoteReference w:customMarkFollows="1" w:id="3"/>
              <w:t>1</w:t>
            </w:r>
            <w:r w:rsidR="006A156F" w:rsidRPr="00513478">
              <w:rPr>
                <w:rStyle w:val="FootnoteReference"/>
                <w:rFonts w:ascii="Calibri" w:eastAsia="Times New Roman" w:hAnsi="Calibri" w:cs="Calibri"/>
                <w:color w:val="000000"/>
                <w:kern w:val="24"/>
                <w:sz w:val="22"/>
                <w:szCs w:val="22"/>
                <w:lang w:eastAsia="en-AU"/>
              </w:rPr>
              <w:t>,</w:t>
            </w:r>
            <w:r w:rsidR="006A156F" w:rsidRPr="00513478">
              <w:rPr>
                <w:rStyle w:val="FootnoteReference"/>
                <w:rFonts w:ascii="Calibri" w:eastAsia="Times New Roman" w:hAnsi="Calibri" w:cs="Calibri"/>
                <w:color w:val="000000"/>
                <w:kern w:val="24"/>
                <w:sz w:val="22"/>
                <w:szCs w:val="22"/>
                <w:lang w:eastAsia="en-AU"/>
              </w:rPr>
              <w:footnoteReference w:customMarkFollows="1" w:id="4"/>
              <w:t>2</w:t>
            </w:r>
          </w:p>
          <w:p w14:paraId="52C2BB96"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13A34429"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797A8420"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6C2BB868"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644E667D"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2EBEBB3A" w14:textId="77777777" w:rsidR="00860CF8" w:rsidRDefault="00860CF8">
            <w:pPr>
              <w:spacing w:before="0" w:after="0" w:line="264" w:lineRule="auto"/>
              <w:rPr>
                <w:rFonts w:ascii="Calibri" w:eastAsia="Times New Roman" w:hAnsi="Calibri" w:cs="Calibri"/>
                <w:b/>
                <w:bCs/>
                <w:color w:val="000000"/>
                <w:kern w:val="24"/>
                <w:sz w:val="22"/>
                <w:szCs w:val="22"/>
                <w:vertAlign w:val="superscript"/>
                <w:lang w:eastAsia="en-AU"/>
              </w:rPr>
            </w:pPr>
          </w:p>
          <w:p w14:paraId="66217689"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19B43243"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2CCD5723" w14:textId="77777777" w:rsidR="00860CF8"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Volatility in overseas student enrolments</w:t>
            </w:r>
          </w:p>
          <w:p w14:paraId="5C94ACBC"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(continued)</w:t>
            </w: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EB38C07"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lastRenderedPageBreak/>
              <w:t>120% or more</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90FB951" w14:textId="727CCB6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3.5</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B452AEC"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r>
      <w:tr w:rsidR="00860CF8" w:rsidRPr="00A73069" w14:paraId="6DCEA1BF"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230CAEFB" w14:textId="7A90ED2C"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8A1A30F"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105% to less than 120%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BF9420E" w14:textId="40329B8C"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3.0</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467D121"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r>
      <w:tr w:rsidR="00860CF8" w:rsidRPr="00A73069" w14:paraId="3520E27E"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2B201685" w14:textId="2F90AF16"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90CC928"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90% to less than 105%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A8DB908" w14:textId="100237AE"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2.5</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A0035E8"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2.5</w:t>
            </w:r>
          </w:p>
        </w:tc>
      </w:tr>
      <w:tr w:rsidR="00860CF8" w:rsidRPr="00A73069" w14:paraId="70B10B7E"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499DD41D" w14:textId="7A0D0E56"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6DF3C4B"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75% to less than 90%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D18E854" w14:textId="1B9456F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1.8</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95CB9D"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1.8</w:t>
            </w:r>
          </w:p>
        </w:tc>
      </w:tr>
      <w:tr w:rsidR="00860CF8" w:rsidRPr="00A73069" w14:paraId="68F0813B"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5312C939" w14:textId="5CA8576A"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themeColor="background1"/>
              <w:right w:val="single" w:sz="8" w:space="0" w:color="FFFFFF"/>
            </w:tcBorders>
            <w:shd w:val="clear" w:color="auto" w:fill="D5DDE1"/>
            <w:tcMar>
              <w:top w:w="72" w:type="dxa"/>
              <w:left w:w="144" w:type="dxa"/>
              <w:bottom w:w="72" w:type="dxa"/>
              <w:right w:w="144" w:type="dxa"/>
            </w:tcMar>
            <w:vAlign w:val="center"/>
          </w:tcPr>
          <w:p w14:paraId="12BE71A4"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60% to less than 75%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F1A6391" w14:textId="4A793DB1"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1.2</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26A73FD"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1.2</w:t>
            </w:r>
          </w:p>
        </w:tc>
      </w:tr>
      <w:tr w:rsidR="00860CF8" w:rsidRPr="00A73069" w14:paraId="2A430B6B"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6D9AA9D8" w14:textId="45590C59"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themeColor="background1"/>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172B582"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45% to less than 60%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8AA27C1" w14:textId="7847BF06"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0.6</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2C3BD55"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0.6</w:t>
            </w:r>
          </w:p>
        </w:tc>
      </w:tr>
      <w:tr w:rsidR="00860CF8" w:rsidRPr="00A73069" w14:paraId="752AD3E6"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6919E1C9" w14:textId="07B1B00F"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0F7CBAA"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 to less than 45%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D4D04F5" w14:textId="0F21C42D"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0.4</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EC420CA"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0.4</w:t>
            </w:r>
          </w:p>
        </w:tc>
      </w:tr>
      <w:tr w:rsidR="00860CF8" w:rsidRPr="00A73069" w14:paraId="44482286"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07101BC3" w14:textId="3ECF73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005CF66"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 to less than 30%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9F24170"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DC5472B"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860CF8" w:rsidRPr="00A73069" w14:paraId="471B7C2F" w14:textId="77777777" w:rsidTr="00CC4571">
        <w:trPr>
          <w:trHeight w:val="454"/>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hideMark/>
          </w:tcPr>
          <w:p w14:paraId="1E6149B8" w14:textId="7A15584F"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555E5EC"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 to less than -15%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B624C8E"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51F9172"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w:t>
            </w:r>
          </w:p>
        </w:tc>
      </w:tr>
      <w:tr w:rsidR="00860CF8" w:rsidRPr="00A73069" w14:paraId="22E17D3A" w14:textId="77777777" w:rsidTr="00CC4571">
        <w:trPr>
          <w:trHeight w:val="454"/>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0477F2A4" w14:textId="78A6A692"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8A42FB5"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-45% to less than -30%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DC6FA17"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574F4D5"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r>
      <w:tr w:rsidR="00860CF8" w:rsidRPr="00A73069" w14:paraId="7D48F49A" w14:textId="77777777" w:rsidTr="00CC4571">
        <w:trPr>
          <w:trHeight w:val="454"/>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3F8DD8A3" w14:textId="6486B759"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BCB264"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-60% to less than -45%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514839D"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09FD58"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r>
      <w:tr w:rsidR="00860CF8" w:rsidRPr="00A73069" w14:paraId="425C12B1" w14:textId="77777777" w:rsidTr="00CC4571">
        <w:trPr>
          <w:trHeight w:val="454"/>
        </w:trPr>
        <w:tc>
          <w:tcPr>
            <w:tcW w:w="5660" w:type="dxa"/>
            <w:vMerge/>
            <w:tcBorders>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2DCBDC4" w14:textId="038ABEE0"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968F1EE"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Less than -60%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A15F653"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797B733"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r>
      <w:tr w:rsidR="00860CF8" w:rsidRPr="00A73069" w14:paraId="4A8B2F68" w14:textId="77777777" w:rsidTr="00CC4571">
        <w:trPr>
          <w:trHeight w:val="454"/>
        </w:trPr>
        <w:tc>
          <w:tcPr>
            <w:tcW w:w="5660" w:type="dxa"/>
            <w:vMerge w:val="restart"/>
            <w:tcBorders>
              <w:top w:val="single" w:sz="8" w:space="0" w:color="FFFFFF"/>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145F11B" w14:textId="1EB48F5A"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Maximum overseas source country concentration</w:t>
            </w:r>
            <w:r w:rsidR="00B70153">
              <w:rPr>
                <w:rStyle w:val="FootnoteReference"/>
                <w:rFonts w:ascii="Calibri" w:eastAsia="Times New Roman" w:hAnsi="Calibri" w:cs="Calibri"/>
                <w:color w:val="000000"/>
                <w:kern w:val="24"/>
                <w:sz w:val="22"/>
                <w:szCs w:val="22"/>
                <w:lang w:eastAsia="en-AU"/>
              </w:rPr>
              <w:footnoteReference w:customMarkFollows="1" w:id="5"/>
              <w:t>3</w:t>
            </w: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33F8CB9"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80% or more</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8066EF9"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3.1</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9DC1129"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3.1</w:t>
            </w:r>
          </w:p>
        </w:tc>
      </w:tr>
      <w:tr w:rsidR="00860CF8" w:rsidRPr="00A73069" w14:paraId="65AC5078" w14:textId="77777777" w:rsidTr="00CC4571">
        <w:trPr>
          <w:trHeight w:val="454"/>
        </w:trPr>
        <w:tc>
          <w:tcPr>
            <w:tcW w:w="5660"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8A676A1" w14:textId="0A8E8A30"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521F421"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50% to less than 80%</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29F5036"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34D4E044"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r>
      <w:tr w:rsidR="00860CF8" w:rsidRPr="00A73069" w14:paraId="5991FE87" w14:textId="77777777" w:rsidTr="00CC4571">
        <w:trPr>
          <w:trHeight w:val="454"/>
        </w:trPr>
        <w:tc>
          <w:tcPr>
            <w:tcW w:w="5660"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E97EC2E" w14:textId="4916B648"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54C595B"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25% to less than 50%</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D0CDE30"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0.3</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1B4A105"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0.3</w:t>
            </w:r>
          </w:p>
        </w:tc>
      </w:tr>
      <w:tr w:rsidR="00860CF8" w:rsidRPr="00A73069" w14:paraId="0FD3E668" w14:textId="77777777" w:rsidTr="00CC4571">
        <w:trPr>
          <w:trHeight w:val="454"/>
        </w:trPr>
        <w:tc>
          <w:tcPr>
            <w:tcW w:w="5660" w:type="dxa"/>
            <w:vMerge/>
            <w:tcBorders>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0DE6658" w14:textId="41BDF98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F092DFC"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Less than 25%</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E360B98"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A678131"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bl>
    <w:p w14:paraId="0F6F85D4" w14:textId="77777777" w:rsidR="00860CF8" w:rsidRDefault="00860CF8" w:rsidP="00541125">
      <w:pPr>
        <w:spacing w:before="0" w:after="0" w:line="264" w:lineRule="auto"/>
        <w:jc w:val="center"/>
        <w:rPr>
          <w:rFonts w:ascii="Calibri" w:eastAsia="Times New Roman" w:hAnsi="Calibri" w:cs="Calibri"/>
          <w:color w:val="000000"/>
          <w:kern w:val="24"/>
          <w:sz w:val="24"/>
          <w:szCs w:val="24"/>
          <w:lang w:eastAsia="en-AU"/>
        </w:rPr>
      </w:pPr>
    </w:p>
    <w:p w14:paraId="78881404" w14:textId="77777777" w:rsidR="00860CF8" w:rsidRDefault="00860CF8" w:rsidP="00541125">
      <w:pPr>
        <w:spacing w:before="0" w:after="0" w:line="264" w:lineRule="auto"/>
        <w:jc w:val="center"/>
        <w:rPr>
          <w:rFonts w:ascii="Calibri" w:eastAsia="Times New Roman" w:hAnsi="Calibri" w:cs="Calibri"/>
          <w:color w:val="000000"/>
          <w:kern w:val="24"/>
          <w:sz w:val="24"/>
          <w:szCs w:val="24"/>
          <w:lang w:eastAsia="en-AU"/>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47"/>
        <w:gridCol w:w="3136"/>
        <w:gridCol w:w="4145"/>
        <w:gridCol w:w="1985"/>
        <w:gridCol w:w="1984"/>
      </w:tblGrid>
      <w:tr w:rsidR="00860CF8" w:rsidRPr="00FA59DC" w14:paraId="6327B130" w14:textId="77777777">
        <w:trPr>
          <w:trHeight w:val="698"/>
        </w:trPr>
        <w:tc>
          <w:tcPr>
            <w:tcW w:w="5683" w:type="dxa"/>
            <w:gridSpan w:val="2"/>
            <w:shd w:val="clear" w:color="auto" w:fill="3C7D86"/>
            <w:vAlign w:val="center"/>
          </w:tcPr>
          <w:p w14:paraId="21846906" w14:textId="1370F6AA" w:rsidR="00860CF8" w:rsidRPr="00FA59DC" w:rsidRDefault="00860CF8" w:rsidP="00DF43EE">
            <w:pPr>
              <w:spacing w:before="0" w:line="259" w:lineRule="auto"/>
              <w:jc w:val="center"/>
              <w:rPr>
                <w:rFonts w:cstheme="minorHAnsi"/>
                <w:b/>
                <w:bCs/>
                <w:color w:val="FFFFFF" w:themeColor="background1"/>
                <w:sz w:val="22"/>
                <w:szCs w:val="22"/>
              </w:rPr>
            </w:pPr>
            <w:r w:rsidRPr="00FA59DC">
              <w:rPr>
                <w:rFonts w:cstheme="minorHAnsi"/>
                <w:b/>
                <w:bCs/>
                <w:color w:val="FFFFFF" w:themeColor="background1"/>
                <w:sz w:val="22"/>
                <w:szCs w:val="22"/>
              </w:rPr>
              <w:lastRenderedPageBreak/>
              <w:t>Risk factor</w:t>
            </w:r>
          </w:p>
        </w:tc>
        <w:tc>
          <w:tcPr>
            <w:tcW w:w="4145" w:type="dxa"/>
            <w:shd w:val="clear" w:color="auto" w:fill="3C7D86"/>
            <w:vAlign w:val="center"/>
          </w:tcPr>
          <w:p w14:paraId="6FBDE17F" w14:textId="29DCB58F" w:rsidR="00860CF8" w:rsidRPr="00FA59DC" w:rsidRDefault="00860CF8" w:rsidP="00DF43EE">
            <w:pPr>
              <w:spacing w:before="0" w:line="259" w:lineRule="auto"/>
              <w:jc w:val="center"/>
              <w:rPr>
                <w:rFonts w:cstheme="minorHAnsi"/>
                <w:b/>
                <w:bCs/>
                <w:color w:val="FFFFFF" w:themeColor="background1"/>
                <w:sz w:val="22"/>
                <w:szCs w:val="22"/>
              </w:rPr>
            </w:pPr>
            <w:r w:rsidRPr="00FA59DC">
              <w:rPr>
                <w:rFonts w:cstheme="minorHAnsi"/>
                <w:b/>
                <w:bCs/>
                <w:color w:val="FFFFFF" w:themeColor="background1"/>
                <w:sz w:val="22"/>
                <w:szCs w:val="22"/>
              </w:rPr>
              <w:t>Category</w:t>
            </w:r>
          </w:p>
        </w:tc>
        <w:tc>
          <w:tcPr>
            <w:tcW w:w="1985" w:type="dxa"/>
            <w:shd w:val="clear" w:color="auto" w:fill="3C7D86"/>
            <w:vAlign w:val="center"/>
          </w:tcPr>
          <w:p w14:paraId="6280B411" w14:textId="47884EFA" w:rsidR="00860CF8" w:rsidRPr="00FA59DC" w:rsidRDefault="00860CF8" w:rsidP="00DF43EE">
            <w:pPr>
              <w:spacing w:before="0" w:line="259" w:lineRule="auto"/>
              <w:jc w:val="center"/>
              <w:rPr>
                <w:rFonts w:cstheme="minorHAnsi"/>
                <w:b/>
                <w:bCs/>
                <w:color w:val="FFFFFF" w:themeColor="background1"/>
                <w:sz w:val="22"/>
                <w:szCs w:val="22"/>
              </w:rPr>
            </w:pPr>
            <w:r w:rsidRPr="00FA59DC">
              <w:rPr>
                <w:rFonts w:cstheme="minorHAnsi"/>
                <w:b/>
                <w:bCs/>
                <w:color w:val="FFFFFF" w:themeColor="background1"/>
                <w:sz w:val="22"/>
                <w:szCs w:val="22"/>
              </w:rPr>
              <w:t>2025 values</w:t>
            </w:r>
          </w:p>
        </w:tc>
        <w:tc>
          <w:tcPr>
            <w:tcW w:w="1984" w:type="dxa"/>
            <w:shd w:val="clear" w:color="auto" w:fill="3C7D86"/>
            <w:vAlign w:val="center"/>
          </w:tcPr>
          <w:p w14:paraId="7E88DA32" w14:textId="38ADAA62" w:rsidR="00860CF8" w:rsidRPr="00FA59DC" w:rsidRDefault="00860CF8" w:rsidP="00DF43EE">
            <w:pPr>
              <w:spacing w:before="0" w:line="259" w:lineRule="auto"/>
              <w:jc w:val="center"/>
              <w:rPr>
                <w:rFonts w:cstheme="minorHAnsi"/>
                <w:b/>
                <w:bCs/>
                <w:color w:val="FFFFFF" w:themeColor="background1"/>
                <w:sz w:val="22"/>
                <w:szCs w:val="22"/>
              </w:rPr>
            </w:pPr>
            <w:r w:rsidRPr="00FA59DC">
              <w:rPr>
                <w:rFonts w:cstheme="minorHAnsi"/>
                <w:b/>
                <w:bCs/>
                <w:color w:val="FFFFFF" w:themeColor="background1"/>
                <w:sz w:val="22"/>
                <w:szCs w:val="22"/>
              </w:rPr>
              <w:t>Proposed 2026 values</w:t>
            </w:r>
          </w:p>
        </w:tc>
      </w:tr>
      <w:tr w:rsidR="00B87D0C" w14:paraId="7D8668EF" w14:textId="77777777" w:rsidTr="00CC4571">
        <w:tc>
          <w:tcPr>
            <w:tcW w:w="2547" w:type="dxa"/>
            <w:vMerge w:val="restart"/>
            <w:shd w:val="clear" w:color="auto" w:fill="D5DDE1"/>
            <w:vAlign w:val="center"/>
          </w:tcPr>
          <w:p w14:paraId="63983A5A" w14:textId="54355D88" w:rsidR="00860CF8" w:rsidRPr="008B0199" w:rsidRDefault="00860CF8" w:rsidP="00DF43EE">
            <w:pPr>
              <w:spacing w:before="0" w:line="259" w:lineRule="auto"/>
              <w:jc w:val="center"/>
              <w:rPr>
                <w:rFonts w:cstheme="minorHAnsi"/>
                <w:sz w:val="22"/>
                <w:szCs w:val="22"/>
              </w:rPr>
            </w:pPr>
            <w:r w:rsidRPr="008B0199">
              <w:rPr>
                <w:rFonts w:cstheme="minorHAnsi"/>
                <w:sz w:val="22"/>
                <w:szCs w:val="22"/>
              </w:rPr>
              <w:t>Non-compliance and</w:t>
            </w:r>
          </w:p>
          <w:p w14:paraId="04C5768D" w14:textId="05C67175" w:rsidR="00860CF8" w:rsidRDefault="00860CF8" w:rsidP="00DF43EE">
            <w:pPr>
              <w:spacing w:before="0" w:line="259" w:lineRule="auto"/>
              <w:jc w:val="center"/>
              <w:rPr>
                <w:rFonts w:cstheme="minorHAnsi"/>
                <w:sz w:val="22"/>
                <w:szCs w:val="22"/>
              </w:rPr>
            </w:pPr>
            <w:r w:rsidRPr="008B0199">
              <w:rPr>
                <w:rFonts w:cstheme="minorHAnsi"/>
                <w:sz w:val="22"/>
                <w:szCs w:val="22"/>
              </w:rPr>
              <w:t>registration renewal</w:t>
            </w:r>
          </w:p>
        </w:tc>
        <w:tc>
          <w:tcPr>
            <w:tcW w:w="3136" w:type="dxa"/>
            <w:vMerge w:val="restart"/>
            <w:shd w:val="clear" w:color="auto" w:fill="D5DDE1"/>
            <w:vAlign w:val="center"/>
          </w:tcPr>
          <w:p w14:paraId="2661B938" w14:textId="7571FD96" w:rsidR="00860CF8" w:rsidRDefault="00860CF8"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Late payment history</w:t>
            </w:r>
            <w:r w:rsidR="00BE65DE">
              <w:rPr>
                <w:rStyle w:val="FootnoteReference"/>
                <w:rFonts w:ascii="Calibri" w:eastAsia="Times New Roman" w:hAnsi="Calibri" w:cs="Calibri"/>
                <w:color w:val="000000"/>
                <w:kern w:val="24"/>
                <w:sz w:val="22"/>
                <w:szCs w:val="22"/>
                <w:lang w:eastAsia="en-AU"/>
              </w:rPr>
              <w:footnoteReference w:customMarkFollows="1" w:id="6"/>
              <w:t>4</w:t>
            </w:r>
          </w:p>
        </w:tc>
        <w:tc>
          <w:tcPr>
            <w:tcW w:w="4145" w:type="dxa"/>
            <w:shd w:val="clear" w:color="auto" w:fill="D5DDE1"/>
            <w:vAlign w:val="center"/>
          </w:tcPr>
          <w:p w14:paraId="0E0B6374" w14:textId="29E81BCD" w:rsidR="00B87D0C" w:rsidRDefault="00B87D0C" w:rsidP="00DF43EE">
            <w:pPr>
              <w:spacing w:before="0" w:line="259" w:lineRule="auto"/>
              <w:jc w:val="center"/>
              <w:rPr>
                <w:rFonts w:cstheme="minorHAnsi"/>
                <w:sz w:val="22"/>
                <w:szCs w:val="22"/>
              </w:rPr>
            </w:pPr>
            <w:r w:rsidRPr="000F1CBD">
              <w:rPr>
                <w:rFonts w:cstheme="minorHAnsi"/>
                <w:sz w:val="22"/>
                <w:szCs w:val="22"/>
              </w:rPr>
              <w:t>Weighted late payment measure of 30 days or more</w:t>
            </w:r>
          </w:p>
        </w:tc>
        <w:tc>
          <w:tcPr>
            <w:tcW w:w="1985" w:type="dxa"/>
            <w:shd w:val="clear" w:color="auto" w:fill="D5DDE1"/>
            <w:vAlign w:val="center"/>
          </w:tcPr>
          <w:p w14:paraId="65F2FEE7" w14:textId="64AFF86C"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2.0</w:t>
            </w:r>
          </w:p>
        </w:tc>
        <w:tc>
          <w:tcPr>
            <w:tcW w:w="1984" w:type="dxa"/>
            <w:shd w:val="clear" w:color="auto" w:fill="D5DDE1"/>
            <w:vAlign w:val="center"/>
          </w:tcPr>
          <w:p w14:paraId="3629D2BD" w14:textId="780408C1"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2.0</w:t>
            </w:r>
          </w:p>
        </w:tc>
      </w:tr>
      <w:tr w:rsidR="00B87D0C" w14:paraId="3FB19628" w14:textId="77777777" w:rsidTr="00CC4571">
        <w:tc>
          <w:tcPr>
            <w:tcW w:w="2547" w:type="dxa"/>
            <w:vMerge/>
            <w:shd w:val="clear" w:color="auto" w:fill="D5DDE1"/>
          </w:tcPr>
          <w:p w14:paraId="28749595"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1B9B393E"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2CEFB746" w14:textId="487F4AE8" w:rsidR="00B87D0C" w:rsidRDefault="00B87D0C" w:rsidP="00DF43EE">
            <w:pPr>
              <w:spacing w:before="0" w:line="259" w:lineRule="auto"/>
              <w:jc w:val="center"/>
              <w:rPr>
                <w:rFonts w:cstheme="minorHAnsi"/>
                <w:sz w:val="22"/>
                <w:szCs w:val="22"/>
              </w:rPr>
            </w:pPr>
            <w:r w:rsidRPr="000F1CBD">
              <w:rPr>
                <w:rFonts w:cstheme="minorHAnsi"/>
                <w:sz w:val="22"/>
                <w:szCs w:val="22"/>
              </w:rPr>
              <w:t>Weighted late payment measure of 15 days or more but less than 30 days</w:t>
            </w:r>
          </w:p>
        </w:tc>
        <w:tc>
          <w:tcPr>
            <w:tcW w:w="1985" w:type="dxa"/>
            <w:shd w:val="clear" w:color="auto" w:fill="D5DDE1"/>
            <w:vAlign w:val="center"/>
          </w:tcPr>
          <w:p w14:paraId="0356B14E" w14:textId="4DDA44AA"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0.9</w:t>
            </w:r>
          </w:p>
        </w:tc>
        <w:tc>
          <w:tcPr>
            <w:tcW w:w="1984" w:type="dxa"/>
            <w:shd w:val="clear" w:color="auto" w:fill="D5DDE1"/>
            <w:vAlign w:val="center"/>
          </w:tcPr>
          <w:p w14:paraId="2FDCABA5" w14:textId="4DD0BBBD"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0.9</w:t>
            </w:r>
          </w:p>
        </w:tc>
      </w:tr>
      <w:tr w:rsidR="00B87D0C" w14:paraId="1F1F08D1" w14:textId="77777777" w:rsidTr="00CC4571">
        <w:tc>
          <w:tcPr>
            <w:tcW w:w="2547" w:type="dxa"/>
            <w:vMerge/>
            <w:shd w:val="clear" w:color="auto" w:fill="D5DDE1"/>
          </w:tcPr>
          <w:p w14:paraId="4671C6F6"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15EAB398"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67F89B18" w14:textId="56699267"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Weighted late payment measure of 1 day or more but less than 15 days</w:t>
            </w:r>
          </w:p>
        </w:tc>
        <w:tc>
          <w:tcPr>
            <w:tcW w:w="1985" w:type="dxa"/>
            <w:shd w:val="clear" w:color="auto" w:fill="D5DDE1"/>
            <w:vAlign w:val="center"/>
          </w:tcPr>
          <w:p w14:paraId="4762CF7F" w14:textId="49890A25"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0.7</w:t>
            </w:r>
          </w:p>
        </w:tc>
        <w:tc>
          <w:tcPr>
            <w:tcW w:w="1984" w:type="dxa"/>
            <w:shd w:val="clear" w:color="auto" w:fill="D5DDE1"/>
            <w:vAlign w:val="center"/>
          </w:tcPr>
          <w:p w14:paraId="34BF0491" w14:textId="5BBF2397"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0.7</w:t>
            </w:r>
          </w:p>
        </w:tc>
      </w:tr>
      <w:tr w:rsidR="00B87D0C" w14:paraId="3FF659F2" w14:textId="77777777" w:rsidTr="00CC4571">
        <w:tc>
          <w:tcPr>
            <w:tcW w:w="2547" w:type="dxa"/>
            <w:vMerge/>
            <w:shd w:val="clear" w:color="auto" w:fill="D5DDE1"/>
          </w:tcPr>
          <w:p w14:paraId="75AFFD9F"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7BA1B9D0"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066266EA" w14:textId="2B225761"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Weighted late payment measure of less than 1 day</w:t>
            </w:r>
          </w:p>
        </w:tc>
        <w:tc>
          <w:tcPr>
            <w:tcW w:w="1985" w:type="dxa"/>
            <w:shd w:val="clear" w:color="auto" w:fill="D5DDE1"/>
            <w:vAlign w:val="center"/>
          </w:tcPr>
          <w:p w14:paraId="0812C659" w14:textId="295705DC"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0.0</w:t>
            </w:r>
          </w:p>
        </w:tc>
        <w:tc>
          <w:tcPr>
            <w:tcW w:w="1984" w:type="dxa"/>
            <w:shd w:val="clear" w:color="auto" w:fill="D5DDE1"/>
            <w:vAlign w:val="center"/>
          </w:tcPr>
          <w:p w14:paraId="535005AB" w14:textId="4EC54134"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0.0</w:t>
            </w:r>
          </w:p>
        </w:tc>
      </w:tr>
      <w:tr w:rsidR="00B87D0C" w14:paraId="57BAE9BA" w14:textId="77777777" w:rsidTr="00CC4571">
        <w:tc>
          <w:tcPr>
            <w:tcW w:w="2547" w:type="dxa"/>
            <w:vMerge/>
            <w:shd w:val="clear" w:color="auto" w:fill="D5DDE1"/>
          </w:tcPr>
          <w:p w14:paraId="29CC5929" w14:textId="77777777" w:rsidR="00B87D0C" w:rsidRDefault="00B87D0C" w:rsidP="00DF43EE">
            <w:pPr>
              <w:spacing w:before="0" w:line="259" w:lineRule="auto"/>
              <w:jc w:val="center"/>
              <w:rPr>
                <w:rFonts w:cstheme="minorHAnsi"/>
                <w:sz w:val="22"/>
                <w:szCs w:val="22"/>
              </w:rPr>
            </w:pPr>
          </w:p>
        </w:tc>
        <w:tc>
          <w:tcPr>
            <w:tcW w:w="3136" w:type="dxa"/>
            <w:vMerge w:val="restart"/>
            <w:shd w:val="clear" w:color="auto" w:fill="D5DDE1"/>
            <w:vAlign w:val="center"/>
          </w:tcPr>
          <w:p w14:paraId="1F855649" w14:textId="5E195A6D"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Non-compliance history</w:t>
            </w:r>
          </w:p>
        </w:tc>
        <w:tc>
          <w:tcPr>
            <w:tcW w:w="4145" w:type="dxa"/>
            <w:shd w:val="clear" w:color="auto" w:fill="D5DDE1"/>
            <w:vAlign w:val="center"/>
          </w:tcPr>
          <w:p w14:paraId="594BE092" w14:textId="72376899"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 xml:space="preserve">Provider has had action mentioned in section 83 of the </w:t>
            </w:r>
            <w:r w:rsidRPr="00E96200">
              <w:rPr>
                <w:rFonts w:ascii="Calibri" w:eastAsia="Times New Roman" w:hAnsi="Calibri" w:cs="Calibri"/>
                <w:i/>
                <w:iCs/>
                <w:color w:val="000000"/>
                <w:kern w:val="24"/>
                <w:sz w:val="22"/>
                <w:szCs w:val="22"/>
                <w:lang w:eastAsia="en-AU"/>
              </w:rPr>
              <w:t>Education Services for Overseas Students Act 2000</w:t>
            </w:r>
            <w:r w:rsidRPr="000F1CBD">
              <w:rPr>
                <w:rFonts w:ascii="Calibri" w:eastAsia="Times New Roman" w:hAnsi="Calibri" w:cs="Calibri"/>
                <w:color w:val="000000"/>
                <w:kern w:val="24"/>
                <w:sz w:val="22"/>
                <w:szCs w:val="22"/>
                <w:lang w:eastAsia="en-AU"/>
              </w:rPr>
              <w:t xml:space="preserve"> taken against it in the p</w:t>
            </w:r>
            <w:r w:rsidR="0049296C">
              <w:rPr>
                <w:rFonts w:ascii="Calibri" w:eastAsia="Times New Roman" w:hAnsi="Calibri" w:cs="Calibri"/>
                <w:color w:val="000000"/>
                <w:kern w:val="24"/>
                <w:sz w:val="22"/>
                <w:szCs w:val="22"/>
                <w:lang w:eastAsia="en-AU"/>
              </w:rPr>
              <w:t>revious calendar year.</w:t>
            </w:r>
          </w:p>
        </w:tc>
        <w:tc>
          <w:tcPr>
            <w:tcW w:w="1985" w:type="dxa"/>
            <w:shd w:val="clear" w:color="auto" w:fill="D5DDE1"/>
            <w:vAlign w:val="center"/>
          </w:tcPr>
          <w:p w14:paraId="4EF327C4" w14:textId="1CA9A565"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1.0</w:t>
            </w:r>
          </w:p>
        </w:tc>
        <w:tc>
          <w:tcPr>
            <w:tcW w:w="1984" w:type="dxa"/>
            <w:shd w:val="clear" w:color="auto" w:fill="D5DDE1"/>
            <w:vAlign w:val="center"/>
          </w:tcPr>
          <w:p w14:paraId="6149652A" w14:textId="20CE7578"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1.0</w:t>
            </w:r>
          </w:p>
        </w:tc>
      </w:tr>
      <w:tr w:rsidR="00B87D0C" w14:paraId="051022E3" w14:textId="77777777" w:rsidTr="00CC4571">
        <w:tc>
          <w:tcPr>
            <w:tcW w:w="2547" w:type="dxa"/>
            <w:vMerge/>
            <w:shd w:val="clear" w:color="auto" w:fill="D5DDE1"/>
          </w:tcPr>
          <w:p w14:paraId="644E8B67"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3446DC30"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1D79FB40" w14:textId="66987436"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Provider’s r</w:t>
            </w:r>
            <w:r w:rsidRPr="000F1CBD">
              <w:rPr>
                <w:rFonts w:ascii="Calibri" w:eastAsia="Times New Roman" w:hAnsi="Calibri" w:cs="Calibri"/>
                <w:color w:val="000000"/>
                <w:kern w:val="24"/>
                <w:sz w:val="22"/>
                <w:szCs w:val="22"/>
                <w:lang w:eastAsia="en-AU"/>
              </w:rPr>
              <w:t>egistration</w:t>
            </w:r>
            <w:r>
              <w:rPr>
                <w:rFonts w:ascii="Calibri" w:eastAsia="Times New Roman" w:hAnsi="Calibri" w:cs="Calibri"/>
                <w:color w:val="000000"/>
                <w:kern w:val="24"/>
                <w:sz w:val="22"/>
                <w:szCs w:val="22"/>
                <w:lang w:eastAsia="en-AU"/>
              </w:rPr>
              <w:t xml:space="preserve"> was</w:t>
            </w:r>
            <w:r w:rsidRPr="000F1CBD">
              <w:rPr>
                <w:rFonts w:ascii="Calibri" w:eastAsia="Times New Roman" w:hAnsi="Calibri" w:cs="Calibri"/>
                <w:color w:val="000000"/>
                <w:kern w:val="24"/>
                <w:sz w:val="22"/>
                <w:szCs w:val="22"/>
                <w:lang w:eastAsia="en-AU"/>
              </w:rPr>
              <w:t xml:space="preserve"> renewed by regulator for shorter than maximum period due to risk management</w:t>
            </w:r>
          </w:p>
        </w:tc>
        <w:tc>
          <w:tcPr>
            <w:tcW w:w="1985" w:type="dxa"/>
            <w:shd w:val="clear" w:color="auto" w:fill="D5DDE1"/>
            <w:vAlign w:val="center"/>
          </w:tcPr>
          <w:p w14:paraId="6BA8899C" w14:textId="333AD46E"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1.0</w:t>
            </w:r>
          </w:p>
        </w:tc>
        <w:tc>
          <w:tcPr>
            <w:tcW w:w="1984" w:type="dxa"/>
            <w:shd w:val="clear" w:color="auto" w:fill="D5DDE1"/>
            <w:vAlign w:val="center"/>
          </w:tcPr>
          <w:p w14:paraId="3BB40AD3" w14:textId="2B7D499F"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1.0</w:t>
            </w:r>
          </w:p>
        </w:tc>
      </w:tr>
      <w:tr w:rsidR="00B87D0C" w14:paraId="4EA3298D" w14:textId="77777777" w:rsidTr="00CC4571">
        <w:tc>
          <w:tcPr>
            <w:tcW w:w="2547" w:type="dxa"/>
            <w:vMerge/>
            <w:shd w:val="clear" w:color="auto" w:fill="D5DDE1"/>
          </w:tcPr>
          <w:p w14:paraId="44760FDA"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004AFA21"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576A634F" w14:textId="4C02519A"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Provider has had at least one student default occur where the refund amount was paid out by the TPS in the previous calendar year (i.e. the payment by the TPS is in the previous calendar year, not necessarily the student default).</w:t>
            </w:r>
          </w:p>
        </w:tc>
        <w:tc>
          <w:tcPr>
            <w:tcW w:w="1985" w:type="dxa"/>
            <w:shd w:val="clear" w:color="auto" w:fill="D5DDE1"/>
            <w:vAlign w:val="center"/>
          </w:tcPr>
          <w:p w14:paraId="2770A4B2" w14:textId="72F45766"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N/A</w:t>
            </w:r>
          </w:p>
        </w:tc>
        <w:tc>
          <w:tcPr>
            <w:tcW w:w="1984" w:type="dxa"/>
            <w:shd w:val="clear" w:color="auto" w:fill="D5DDE1"/>
            <w:vAlign w:val="center"/>
          </w:tcPr>
          <w:p w14:paraId="276AFE1B" w14:textId="007E281D"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1.0</w:t>
            </w:r>
          </w:p>
        </w:tc>
      </w:tr>
    </w:tbl>
    <w:p w14:paraId="64EA693D" w14:textId="77777777" w:rsidR="00220523" w:rsidRPr="00D859AB" w:rsidRDefault="00220523" w:rsidP="00541125">
      <w:pPr>
        <w:spacing w:before="0" w:after="0" w:line="259" w:lineRule="auto"/>
        <w:rPr>
          <w:rFonts w:cstheme="minorHAnsi"/>
          <w:sz w:val="22"/>
          <w:szCs w:val="22"/>
        </w:rPr>
      </w:pPr>
    </w:p>
    <w:sectPr w:rsidR="00220523" w:rsidRPr="00D859AB" w:rsidSect="006C40EB">
      <w:footerReference w:type="first" r:id="rId12"/>
      <w:pgSz w:w="16838" w:h="11906" w:orient="landscape"/>
      <w:pgMar w:top="1134" w:right="1103" w:bottom="1440" w:left="1440"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58A3" w14:textId="77777777" w:rsidR="008003E2" w:rsidRDefault="008003E2" w:rsidP="00730064">
      <w:pPr>
        <w:spacing w:after="0" w:line="240" w:lineRule="auto"/>
      </w:pPr>
      <w:r>
        <w:separator/>
      </w:r>
    </w:p>
  </w:endnote>
  <w:endnote w:type="continuationSeparator" w:id="0">
    <w:p w14:paraId="0ECDA750" w14:textId="77777777" w:rsidR="008003E2" w:rsidRDefault="008003E2" w:rsidP="00730064">
      <w:pPr>
        <w:spacing w:after="0" w:line="240" w:lineRule="auto"/>
      </w:pPr>
      <w:r>
        <w:continuationSeparator/>
      </w:r>
    </w:p>
  </w:endnote>
  <w:endnote w:type="continuationNotice" w:id="1">
    <w:p w14:paraId="28CBDC84" w14:textId="77777777" w:rsidR="008003E2" w:rsidRDefault="008003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7D0" w14:textId="77777777" w:rsidR="00860CF8" w:rsidRPr="00054C1A" w:rsidRDefault="00860CF8" w:rsidP="00054C1A">
    <w:pPr>
      <w:jc w:val="center"/>
      <w:rPr>
        <w:rFonts w:eastAsia="Times New Roman" w:cstheme="minorHAnsi"/>
        <w:color w:val="0563C1"/>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380A" w14:textId="6A94E02A" w:rsidR="00BB4CB5" w:rsidRPr="00054C1A" w:rsidRDefault="00BB4CB5" w:rsidP="00054C1A">
    <w:pPr>
      <w:jc w:val="center"/>
      <w:rPr>
        <w:rFonts w:eastAsia="Times New Roman" w:cstheme="minorHAnsi"/>
        <w:color w:val="0563C1"/>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C8A2" w14:textId="77777777" w:rsidR="008003E2" w:rsidRDefault="008003E2" w:rsidP="00730064">
      <w:pPr>
        <w:spacing w:after="0" w:line="240" w:lineRule="auto"/>
      </w:pPr>
      <w:r>
        <w:separator/>
      </w:r>
    </w:p>
  </w:footnote>
  <w:footnote w:type="continuationSeparator" w:id="0">
    <w:p w14:paraId="79CEE5EF" w14:textId="77777777" w:rsidR="008003E2" w:rsidRDefault="008003E2" w:rsidP="00730064">
      <w:pPr>
        <w:spacing w:after="0" w:line="240" w:lineRule="auto"/>
      </w:pPr>
      <w:r>
        <w:continuationSeparator/>
      </w:r>
    </w:p>
  </w:footnote>
  <w:footnote w:type="continuationNotice" w:id="1">
    <w:p w14:paraId="78EAF15B" w14:textId="77777777" w:rsidR="008003E2" w:rsidRDefault="008003E2">
      <w:pPr>
        <w:spacing w:before="0" w:after="0" w:line="240" w:lineRule="auto"/>
      </w:pPr>
    </w:p>
  </w:footnote>
  <w:footnote w:id="2">
    <w:p w14:paraId="5F04A1BA" w14:textId="2DD2C01E" w:rsidR="00860CF8" w:rsidRPr="00BD47F8" w:rsidRDefault="00860CF8">
      <w:pPr>
        <w:pStyle w:val="FootnoteText"/>
      </w:pPr>
      <w:r>
        <w:rPr>
          <w:rStyle w:val="FootnoteReference"/>
        </w:rPr>
        <w:footnoteRef/>
      </w:r>
      <w:r>
        <w:t xml:space="preserve"> Subsection</w:t>
      </w:r>
      <w:r w:rsidR="00CB1D37">
        <w:t>s</w:t>
      </w:r>
      <w:r>
        <w:t xml:space="preserve"> </w:t>
      </w:r>
      <w:r w:rsidR="00E06297">
        <w:t>47D(4) an</w:t>
      </w:r>
      <w:r w:rsidR="00CB1D37">
        <w:t>d</w:t>
      </w:r>
      <w:r w:rsidR="00E06297">
        <w:t xml:space="preserve"> </w:t>
      </w:r>
      <w:r>
        <w:t xml:space="preserve">47E(3) of the </w:t>
      </w:r>
      <w:r>
        <w:rPr>
          <w:i/>
          <w:iCs/>
        </w:rPr>
        <w:t>Education Services for Overseas Students Act 2000</w:t>
      </w:r>
      <w:r w:rsidRPr="005B5A87">
        <w:t xml:space="preserve">. </w:t>
      </w:r>
    </w:p>
  </w:footnote>
  <w:footnote w:id="3">
    <w:p w14:paraId="4C015EC3" w14:textId="43A6C056" w:rsidR="006A156F" w:rsidRDefault="00B80711">
      <w:pPr>
        <w:pStyle w:val="FootnoteText"/>
      </w:pPr>
      <w:r>
        <w:rPr>
          <w:rStyle w:val="FootnoteReference"/>
        </w:rPr>
        <w:t>1</w:t>
      </w:r>
      <w:r>
        <w:t xml:space="preserve"> </w:t>
      </w:r>
      <w:r w:rsidR="006A156F" w:rsidRPr="006A156F">
        <w:t>Risk factor only applies to providers that</w:t>
      </w:r>
      <w:r w:rsidR="00C16369">
        <w:t xml:space="preserve"> in the previous year</w:t>
      </w:r>
      <w:r w:rsidR="006A156F" w:rsidRPr="006A156F">
        <w:t xml:space="preserve"> had either</w:t>
      </w:r>
      <w:r w:rsidR="00CA4E07">
        <w:t>:</w:t>
      </w:r>
      <w:r w:rsidR="006A156F" w:rsidRPr="006A156F">
        <w:t xml:space="preserve"> at least 20 overseas students </w:t>
      </w:r>
      <w:r w:rsidR="001466FE" w:rsidRPr="006A156F">
        <w:t>enrolled</w:t>
      </w:r>
      <w:r w:rsidR="001466FE">
        <w:t xml:space="preserve"> or received</w:t>
      </w:r>
      <w:r w:rsidR="006A156F" w:rsidRPr="006A156F">
        <w:t xml:space="preserve"> $400,000 or more in tuition fee income. Risk factor will not apply where a provider’s proportion of overseas student enrolments is less than 20% of its total student population</w:t>
      </w:r>
      <w:r w:rsidR="001466FE">
        <w:t xml:space="preserve"> in the previous calendar year. </w:t>
      </w:r>
    </w:p>
  </w:footnote>
  <w:footnote w:id="4">
    <w:p w14:paraId="39F3FD13" w14:textId="77777777" w:rsidR="009C7A97" w:rsidRPr="009C7A97" w:rsidRDefault="006A156F" w:rsidP="009C7A97">
      <w:pPr>
        <w:pStyle w:val="FootnoteText"/>
      </w:pPr>
      <w:r>
        <w:rPr>
          <w:rStyle w:val="FootnoteReference"/>
        </w:rPr>
        <w:t>2</w:t>
      </w:r>
      <w:r>
        <w:t xml:space="preserve"> </w:t>
      </w:r>
      <w:r w:rsidR="009C7A97" w:rsidRPr="009C7A97">
        <w:t xml:space="preserve">The risk factor value is discounted as follows: </w:t>
      </w:r>
    </w:p>
    <w:p w14:paraId="6040A063" w14:textId="77777777" w:rsidR="009C7A97" w:rsidRPr="009C7A97" w:rsidRDefault="009C7A97" w:rsidP="009C7A97">
      <w:pPr>
        <w:pStyle w:val="FootnoteText"/>
        <w:numPr>
          <w:ilvl w:val="0"/>
          <w:numId w:val="15"/>
        </w:numPr>
      </w:pPr>
      <w:r w:rsidRPr="009C7A97">
        <w:t>100% for providers with a length of operation of 0 years to less than 2 years (i.e. the risk factor does not apply).</w:t>
      </w:r>
    </w:p>
    <w:p w14:paraId="2A55D1AE" w14:textId="77777777" w:rsidR="009C7A97" w:rsidRPr="009C7A97" w:rsidRDefault="009C7A97" w:rsidP="009C7A97">
      <w:pPr>
        <w:pStyle w:val="FootnoteText"/>
        <w:numPr>
          <w:ilvl w:val="0"/>
          <w:numId w:val="15"/>
        </w:numPr>
      </w:pPr>
      <w:r w:rsidRPr="009C7A97">
        <w:t>75% for providers with a length of operation of 2 years to less than 3 years</w:t>
      </w:r>
    </w:p>
    <w:p w14:paraId="3959C046" w14:textId="77777777" w:rsidR="009C7A97" w:rsidRPr="009C7A97" w:rsidRDefault="009C7A97" w:rsidP="009C7A97">
      <w:pPr>
        <w:pStyle w:val="FootnoteText"/>
        <w:numPr>
          <w:ilvl w:val="0"/>
          <w:numId w:val="15"/>
        </w:numPr>
      </w:pPr>
      <w:r w:rsidRPr="009C7A97">
        <w:t>50% for providers with a length of operation of 3 years to less than 4 years</w:t>
      </w:r>
    </w:p>
    <w:p w14:paraId="433222E2" w14:textId="77777777" w:rsidR="009C7A97" w:rsidRPr="009C7A97" w:rsidRDefault="009C7A97" w:rsidP="009C7A97">
      <w:pPr>
        <w:pStyle w:val="FootnoteText"/>
        <w:numPr>
          <w:ilvl w:val="0"/>
          <w:numId w:val="15"/>
        </w:numPr>
      </w:pPr>
      <w:r w:rsidRPr="009C7A97">
        <w:t>25% for providers with a length of operation of 4 years to less than 5 years.</w:t>
      </w:r>
    </w:p>
    <w:p w14:paraId="33F9E724" w14:textId="75710FB1" w:rsidR="006A156F" w:rsidRDefault="006A156F">
      <w:pPr>
        <w:pStyle w:val="FootnoteText"/>
      </w:pPr>
    </w:p>
  </w:footnote>
  <w:footnote w:id="5">
    <w:p w14:paraId="0FEC35FB" w14:textId="612B5CD5" w:rsidR="00B70153" w:rsidRDefault="00B70153">
      <w:pPr>
        <w:pStyle w:val="FootnoteText"/>
      </w:pPr>
      <w:r>
        <w:rPr>
          <w:rStyle w:val="FootnoteReference"/>
        </w:rPr>
        <w:t>3</w:t>
      </w:r>
      <w:r>
        <w:t xml:space="preserve"> </w:t>
      </w:r>
      <w:r w:rsidR="00FA20E5" w:rsidRPr="00FA20E5">
        <w:t>Risk factor only applies to providers that in the previous year had either</w:t>
      </w:r>
      <w:r w:rsidR="00FA20E5">
        <w:t>:</w:t>
      </w:r>
      <w:r w:rsidR="00FA20E5" w:rsidRPr="00FA20E5">
        <w:t xml:space="preserve"> at least 20 overseas students enrolled</w:t>
      </w:r>
      <w:r w:rsidR="00FA20E5">
        <w:t xml:space="preserve"> </w:t>
      </w:r>
      <w:r w:rsidR="00FA20E5" w:rsidRPr="00FA20E5">
        <w:t>or</w:t>
      </w:r>
      <w:r w:rsidR="001466FE">
        <w:t xml:space="preserve"> received</w:t>
      </w:r>
      <w:r w:rsidR="00FA20E5" w:rsidRPr="00FA20E5">
        <w:t xml:space="preserve"> $400,000</w:t>
      </w:r>
      <w:r w:rsidR="00FA20E5">
        <w:t xml:space="preserve"> or more</w:t>
      </w:r>
      <w:r w:rsidR="00FA20E5" w:rsidRPr="00FA20E5">
        <w:t xml:space="preserve"> in tuition fee income. Risk factor will not apply where provider’s proportion of overseas student enrolments is less than 20% of its total student population</w:t>
      </w:r>
      <w:r w:rsidR="001466FE">
        <w:t xml:space="preserve"> in the previous calendar year.</w:t>
      </w:r>
    </w:p>
  </w:footnote>
  <w:footnote w:id="6">
    <w:p w14:paraId="311A66D8" w14:textId="178BCD32" w:rsidR="00BE65DE" w:rsidRDefault="00BE65DE">
      <w:pPr>
        <w:pStyle w:val="FootnoteText"/>
      </w:pPr>
      <w:r>
        <w:rPr>
          <w:rStyle w:val="FootnoteReference"/>
        </w:rPr>
        <w:t>4</w:t>
      </w:r>
      <w:r>
        <w:t xml:space="preserve"> </w:t>
      </w:r>
      <w:r w:rsidR="00513478" w:rsidRPr="00513478">
        <w:t>A provider’s weighted late payment measure calculation considers the number of days after the due date the payment was received for the following applicable payments over the past three years: the International TPS Levy and the CRICOS Annual Registration Charge (CARC).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231285"/>
      <w:docPartObj>
        <w:docPartGallery w:val="Page Numbers (Top of Page)"/>
        <w:docPartUnique/>
      </w:docPartObj>
    </w:sdtPr>
    <w:sdtEndPr>
      <w:rPr>
        <w:noProof/>
      </w:rPr>
    </w:sdtEndPr>
    <w:sdtContent>
      <w:p w14:paraId="73C4DACC" w14:textId="6E7ADB1E" w:rsidR="00860CF8" w:rsidRDefault="00860CF8" w:rsidP="00751083">
        <w:pPr>
          <w:pStyle w:val="Header"/>
          <w:jc w:val="right"/>
        </w:pPr>
        <w:r>
          <w:t xml:space="preserve">Page </w:t>
        </w: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26"/>
    <w:multiLevelType w:val="hybridMultilevel"/>
    <w:tmpl w:val="7F7C4058"/>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C8430C"/>
    <w:multiLevelType w:val="hybridMultilevel"/>
    <w:tmpl w:val="9DDEC012"/>
    <w:lvl w:ilvl="0" w:tplc="D0B68C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052D6"/>
    <w:multiLevelType w:val="hybridMultilevel"/>
    <w:tmpl w:val="58148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69F5903"/>
    <w:multiLevelType w:val="hybridMultilevel"/>
    <w:tmpl w:val="C574881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6D67056"/>
    <w:multiLevelType w:val="hybridMultilevel"/>
    <w:tmpl w:val="C25E289E"/>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68354A"/>
    <w:multiLevelType w:val="hybridMultilevel"/>
    <w:tmpl w:val="144E51F8"/>
    <w:lvl w:ilvl="0" w:tplc="278C850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AB11F7A"/>
    <w:multiLevelType w:val="hybridMultilevel"/>
    <w:tmpl w:val="A16C3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0F319D"/>
    <w:multiLevelType w:val="hybridMultilevel"/>
    <w:tmpl w:val="6DA4A45C"/>
    <w:lvl w:ilvl="0" w:tplc="72B02ED6">
      <w:start w:val="1"/>
      <w:numFmt w:val="decimal"/>
      <w:lvlText w:val="%1."/>
      <w:lvlJc w:val="left"/>
      <w:pPr>
        <w:ind w:left="720" w:hanging="360"/>
      </w:pPr>
      <w:rPr>
        <w:rFonts w:hint="default"/>
        <w:b w:val="0"/>
        <w:bCs w:val="0"/>
      </w:rPr>
    </w:lvl>
    <w:lvl w:ilvl="1" w:tplc="5352F1EA" w:tentative="1">
      <w:start w:val="1"/>
      <w:numFmt w:val="lowerLetter"/>
      <w:lvlText w:val="%2."/>
      <w:lvlJc w:val="left"/>
      <w:pPr>
        <w:ind w:left="1440" w:hanging="360"/>
      </w:pPr>
    </w:lvl>
    <w:lvl w:ilvl="2" w:tplc="4238ECE0" w:tentative="1">
      <w:start w:val="1"/>
      <w:numFmt w:val="lowerRoman"/>
      <w:lvlText w:val="%3."/>
      <w:lvlJc w:val="right"/>
      <w:pPr>
        <w:ind w:left="2160" w:hanging="180"/>
      </w:pPr>
    </w:lvl>
    <w:lvl w:ilvl="3" w:tplc="0F242F2C" w:tentative="1">
      <w:start w:val="1"/>
      <w:numFmt w:val="decimal"/>
      <w:lvlText w:val="%4."/>
      <w:lvlJc w:val="left"/>
      <w:pPr>
        <w:ind w:left="2880" w:hanging="360"/>
      </w:pPr>
    </w:lvl>
    <w:lvl w:ilvl="4" w:tplc="FE14CE66" w:tentative="1">
      <w:start w:val="1"/>
      <w:numFmt w:val="lowerLetter"/>
      <w:lvlText w:val="%5."/>
      <w:lvlJc w:val="left"/>
      <w:pPr>
        <w:ind w:left="3600" w:hanging="360"/>
      </w:pPr>
    </w:lvl>
    <w:lvl w:ilvl="5" w:tplc="B150EC76" w:tentative="1">
      <w:start w:val="1"/>
      <w:numFmt w:val="lowerRoman"/>
      <w:lvlText w:val="%6."/>
      <w:lvlJc w:val="right"/>
      <w:pPr>
        <w:ind w:left="4320" w:hanging="180"/>
      </w:pPr>
    </w:lvl>
    <w:lvl w:ilvl="6" w:tplc="1AA0EF3E" w:tentative="1">
      <w:start w:val="1"/>
      <w:numFmt w:val="decimal"/>
      <w:lvlText w:val="%7."/>
      <w:lvlJc w:val="left"/>
      <w:pPr>
        <w:ind w:left="5040" w:hanging="360"/>
      </w:pPr>
    </w:lvl>
    <w:lvl w:ilvl="7" w:tplc="D49E4F02" w:tentative="1">
      <w:start w:val="1"/>
      <w:numFmt w:val="lowerLetter"/>
      <w:lvlText w:val="%8."/>
      <w:lvlJc w:val="left"/>
      <w:pPr>
        <w:ind w:left="5760" w:hanging="360"/>
      </w:pPr>
    </w:lvl>
    <w:lvl w:ilvl="8" w:tplc="5C48BBB8" w:tentative="1">
      <w:start w:val="1"/>
      <w:numFmt w:val="lowerRoman"/>
      <w:lvlText w:val="%9."/>
      <w:lvlJc w:val="right"/>
      <w:pPr>
        <w:ind w:left="6480" w:hanging="180"/>
      </w:pPr>
    </w:lvl>
  </w:abstractNum>
  <w:abstractNum w:abstractNumId="8" w15:restartNumberingAfterBreak="0">
    <w:nsid w:val="50CD01CA"/>
    <w:multiLevelType w:val="hybridMultilevel"/>
    <w:tmpl w:val="A126D734"/>
    <w:lvl w:ilvl="0" w:tplc="D39807A4">
      <w:start w:val="1"/>
      <w:numFmt w:val="decimal"/>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55A85B7F"/>
    <w:multiLevelType w:val="hybridMultilevel"/>
    <w:tmpl w:val="DC461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7235E4"/>
    <w:multiLevelType w:val="hybridMultilevel"/>
    <w:tmpl w:val="DD5493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2DC4BF3"/>
    <w:multiLevelType w:val="multilevel"/>
    <w:tmpl w:val="C87E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5209B5"/>
    <w:multiLevelType w:val="hybridMultilevel"/>
    <w:tmpl w:val="1B109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7F5416"/>
    <w:multiLevelType w:val="hybridMultilevel"/>
    <w:tmpl w:val="FDB0ED3C"/>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F7324D"/>
    <w:multiLevelType w:val="hybridMultilevel"/>
    <w:tmpl w:val="CC4AE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4C698D"/>
    <w:multiLevelType w:val="multilevel"/>
    <w:tmpl w:val="1B862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42922305">
    <w:abstractNumId w:val="2"/>
  </w:num>
  <w:num w:numId="2" w16cid:durableId="425616172">
    <w:abstractNumId w:val="9"/>
  </w:num>
  <w:num w:numId="3" w16cid:durableId="752625034">
    <w:abstractNumId w:val="0"/>
  </w:num>
  <w:num w:numId="4" w16cid:durableId="203979500">
    <w:abstractNumId w:val="6"/>
  </w:num>
  <w:num w:numId="5" w16cid:durableId="941105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566813">
    <w:abstractNumId w:val="14"/>
  </w:num>
  <w:num w:numId="7" w16cid:durableId="2032873465">
    <w:abstractNumId w:val="4"/>
  </w:num>
  <w:num w:numId="8" w16cid:durableId="1431970682">
    <w:abstractNumId w:val="13"/>
  </w:num>
  <w:num w:numId="9" w16cid:durableId="633827133">
    <w:abstractNumId w:val="8"/>
  </w:num>
  <w:num w:numId="10" w16cid:durableId="1516731394">
    <w:abstractNumId w:val="10"/>
  </w:num>
  <w:num w:numId="11" w16cid:durableId="869803658">
    <w:abstractNumId w:val="3"/>
  </w:num>
  <w:num w:numId="12" w16cid:durableId="34233309">
    <w:abstractNumId w:val="1"/>
  </w:num>
  <w:num w:numId="13" w16cid:durableId="1652441251">
    <w:abstractNumId w:val="12"/>
  </w:num>
  <w:num w:numId="14" w16cid:durableId="1711219547">
    <w:abstractNumId w:val="11"/>
    <w:lvlOverride w:ilvl="0">
      <w:startOverride w:val="1"/>
    </w:lvlOverride>
  </w:num>
  <w:num w:numId="15" w16cid:durableId="1624262812">
    <w:abstractNumId w:val="15"/>
    <w:lvlOverride w:ilvl="0">
      <w:startOverride w:val="1"/>
    </w:lvlOverride>
  </w:num>
  <w:num w:numId="16" w16cid:durableId="799226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FB"/>
    <w:rsid w:val="000015E2"/>
    <w:rsid w:val="00005C06"/>
    <w:rsid w:val="00006706"/>
    <w:rsid w:val="00006D78"/>
    <w:rsid w:val="000073E6"/>
    <w:rsid w:val="000076FA"/>
    <w:rsid w:val="00013478"/>
    <w:rsid w:val="00014A45"/>
    <w:rsid w:val="00014D75"/>
    <w:rsid w:val="000163DA"/>
    <w:rsid w:val="00020563"/>
    <w:rsid w:val="000257B1"/>
    <w:rsid w:val="00025ECC"/>
    <w:rsid w:val="00027ECD"/>
    <w:rsid w:val="00032AD4"/>
    <w:rsid w:val="00042927"/>
    <w:rsid w:val="000434EE"/>
    <w:rsid w:val="000440DB"/>
    <w:rsid w:val="00046C8C"/>
    <w:rsid w:val="000500C8"/>
    <w:rsid w:val="000510FC"/>
    <w:rsid w:val="000532D2"/>
    <w:rsid w:val="0005393C"/>
    <w:rsid w:val="00054C1A"/>
    <w:rsid w:val="000608B7"/>
    <w:rsid w:val="0007033E"/>
    <w:rsid w:val="00072A81"/>
    <w:rsid w:val="00081F92"/>
    <w:rsid w:val="00082A2C"/>
    <w:rsid w:val="00082E1E"/>
    <w:rsid w:val="00085F64"/>
    <w:rsid w:val="000913D4"/>
    <w:rsid w:val="00097B6C"/>
    <w:rsid w:val="000A653C"/>
    <w:rsid w:val="000A6A49"/>
    <w:rsid w:val="000A6AF9"/>
    <w:rsid w:val="000B21A8"/>
    <w:rsid w:val="000B3891"/>
    <w:rsid w:val="000B432E"/>
    <w:rsid w:val="000B5A70"/>
    <w:rsid w:val="000B6A04"/>
    <w:rsid w:val="000B7BBF"/>
    <w:rsid w:val="000D255E"/>
    <w:rsid w:val="000D2E57"/>
    <w:rsid w:val="000D483E"/>
    <w:rsid w:val="000D6F03"/>
    <w:rsid w:val="000D724D"/>
    <w:rsid w:val="000E3984"/>
    <w:rsid w:val="000F0114"/>
    <w:rsid w:val="000F04C9"/>
    <w:rsid w:val="000F161D"/>
    <w:rsid w:val="001010F0"/>
    <w:rsid w:val="00105388"/>
    <w:rsid w:val="00106939"/>
    <w:rsid w:val="00106AC6"/>
    <w:rsid w:val="0010764A"/>
    <w:rsid w:val="00113C4D"/>
    <w:rsid w:val="00113FCB"/>
    <w:rsid w:val="001216CC"/>
    <w:rsid w:val="00122779"/>
    <w:rsid w:val="00122DA4"/>
    <w:rsid w:val="00125CFB"/>
    <w:rsid w:val="0012621A"/>
    <w:rsid w:val="0012692A"/>
    <w:rsid w:val="00127281"/>
    <w:rsid w:val="00127580"/>
    <w:rsid w:val="00134E2A"/>
    <w:rsid w:val="00135CD0"/>
    <w:rsid w:val="00136A4F"/>
    <w:rsid w:val="0014045C"/>
    <w:rsid w:val="00140F2D"/>
    <w:rsid w:val="001434B7"/>
    <w:rsid w:val="001466FE"/>
    <w:rsid w:val="00147792"/>
    <w:rsid w:val="00147900"/>
    <w:rsid w:val="0015001B"/>
    <w:rsid w:val="0015047C"/>
    <w:rsid w:val="001509A7"/>
    <w:rsid w:val="00152E66"/>
    <w:rsid w:val="00154475"/>
    <w:rsid w:val="00155F9D"/>
    <w:rsid w:val="0015797F"/>
    <w:rsid w:val="00163A32"/>
    <w:rsid w:val="001646C8"/>
    <w:rsid w:val="00164728"/>
    <w:rsid w:val="001665BF"/>
    <w:rsid w:val="001738D9"/>
    <w:rsid w:val="001742CB"/>
    <w:rsid w:val="00174BF3"/>
    <w:rsid w:val="0018106D"/>
    <w:rsid w:val="0019064A"/>
    <w:rsid w:val="00193541"/>
    <w:rsid w:val="001958A1"/>
    <w:rsid w:val="001972FC"/>
    <w:rsid w:val="001A0256"/>
    <w:rsid w:val="001A47E2"/>
    <w:rsid w:val="001A5379"/>
    <w:rsid w:val="001A678B"/>
    <w:rsid w:val="001A7C4A"/>
    <w:rsid w:val="001B10B1"/>
    <w:rsid w:val="001C09ED"/>
    <w:rsid w:val="001C5C6A"/>
    <w:rsid w:val="001C7F20"/>
    <w:rsid w:val="001D23D8"/>
    <w:rsid w:val="001D4BDB"/>
    <w:rsid w:val="001D7B8A"/>
    <w:rsid w:val="001E40AE"/>
    <w:rsid w:val="001E4121"/>
    <w:rsid w:val="001E5D23"/>
    <w:rsid w:val="001F023A"/>
    <w:rsid w:val="001F1379"/>
    <w:rsid w:val="00200031"/>
    <w:rsid w:val="002016D8"/>
    <w:rsid w:val="00202100"/>
    <w:rsid w:val="002063AA"/>
    <w:rsid w:val="00211BDD"/>
    <w:rsid w:val="00211C58"/>
    <w:rsid w:val="00214F5E"/>
    <w:rsid w:val="00220523"/>
    <w:rsid w:val="00221E7B"/>
    <w:rsid w:val="002220B8"/>
    <w:rsid w:val="00227A40"/>
    <w:rsid w:val="00227D7B"/>
    <w:rsid w:val="00230F50"/>
    <w:rsid w:val="002313DE"/>
    <w:rsid w:val="00231B43"/>
    <w:rsid w:val="0023240C"/>
    <w:rsid w:val="002417DF"/>
    <w:rsid w:val="00247845"/>
    <w:rsid w:val="00253678"/>
    <w:rsid w:val="00256E31"/>
    <w:rsid w:val="00261530"/>
    <w:rsid w:val="00261F15"/>
    <w:rsid w:val="002674C0"/>
    <w:rsid w:val="002679EA"/>
    <w:rsid w:val="00267D1A"/>
    <w:rsid w:val="00274384"/>
    <w:rsid w:val="002832BB"/>
    <w:rsid w:val="0028363F"/>
    <w:rsid w:val="00284FB2"/>
    <w:rsid w:val="00285AE1"/>
    <w:rsid w:val="00296191"/>
    <w:rsid w:val="002965E4"/>
    <w:rsid w:val="002A25B4"/>
    <w:rsid w:val="002A25D7"/>
    <w:rsid w:val="002A2D4A"/>
    <w:rsid w:val="002A73BD"/>
    <w:rsid w:val="002A74BA"/>
    <w:rsid w:val="002A7CBD"/>
    <w:rsid w:val="002B11DE"/>
    <w:rsid w:val="002B197E"/>
    <w:rsid w:val="002B1F17"/>
    <w:rsid w:val="002B393E"/>
    <w:rsid w:val="002B4122"/>
    <w:rsid w:val="002B4F0B"/>
    <w:rsid w:val="002B7F2F"/>
    <w:rsid w:val="002C2F9C"/>
    <w:rsid w:val="002C32B5"/>
    <w:rsid w:val="002C6DB6"/>
    <w:rsid w:val="002D37AC"/>
    <w:rsid w:val="002E0CFA"/>
    <w:rsid w:val="002E2900"/>
    <w:rsid w:val="002E3A35"/>
    <w:rsid w:val="002E5953"/>
    <w:rsid w:val="002E6A13"/>
    <w:rsid w:val="002E7253"/>
    <w:rsid w:val="002F10B6"/>
    <w:rsid w:val="002F2097"/>
    <w:rsid w:val="002F405B"/>
    <w:rsid w:val="002F4BA1"/>
    <w:rsid w:val="002F74E2"/>
    <w:rsid w:val="00301235"/>
    <w:rsid w:val="003024F3"/>
    <w:rsid w:val="003055B1"/>
    <w:rsid w:val="0031261A"/>
    <w:rsid w:val="00316538"/>
    <w:rsid w:val="00320B6B"/>
    <w:rsid w:val="00326E59"/>
    <w:rsid w:val="00332152"/>
    <w:rsid w:val="0033347D"/>
    <w:rsid w:val="003402E8"/>
    <w:rsid w:val="0034223D"/>
    <w:rsid w:val="003442EC"/>
    <w:rsid w:val="00362B6B"/>
    <w:rsid w:val="003709A5"/>
    <w:rsid w:val="00372482"/>
    <w:rsid w:val="003725F1"/>
    <w:rsid w:val="00375418"/>
    <w:rsid w:val="0037615C"/>
    <w:rsid w:val="003841CD"/>
    <w:rsid w:val="0038767D"/>
    <w:rsid w:val="00387FA6"/>
    <w:rsid w:val="00391469"/>
    <w:rsid w:val="00393415"/>
    <w:rsid w:val="0039776D"/>
    <w:rsid w:val="003A6083"/>
    <w:rsid w:val="003A7940"/>
    <w:rsid w:val="003A7CF4"/>
    <w:rsid w:val="003B363F"/>
    <w:rsid w:val="003B3C8E"/>
    <w:rsid w:val="003B55A7"/>
    <w:rsid w:val="003C2874"/>
    <w:rsid w:val="003D1696"/>
    <w:rsid w:val="003D2269"/>
    <w:rsid w:val="003D4569"/>
    <w:rsid w:val="003E1AF0"/>
    <w:rsid w:val="003E20B9"/>
    <w:rsid w:val="003E27BB"/>
    <w:rsid w:val="003E65EF"/>
    <w:rsid w:val="003E6A16"/>
    <w:rsid w:val="003E70C8"/>
    <w:rsid w:val="003E70FB"/>
    <w:rsid w:val="003E7A68"/>
    <w:rsid w:val="003F0EE5"/>
    <w:rsid w:val="003F1925"/>
    <w:rsid w:val="003F2964"/>
    <w:rsid w:val="003F301F"/>
    <w:rsid w:val="003F4F11"/>
    <w:rsid w:val="003F61B5"/>
    <w:rsid w:val="003F631B"/>
    <w:rsid w:val="003F6EC3"/>
    <w:rsid w:val="003F7E05"/>
    <w:rsid w:val="00401E7A"/>
    <w:rsid w:val="00402203"/>
    <w:rsid w:val="00402F06"/>
    <w:rsid w:val="00407425"/>
    <w:rsid w:val="00407C5A"/>
    <w:rsid w:val="00410A1A"/>
    <w:rsid w:val="00412F01"/>
    <w:rsid w:val="004160BD"/>
    <w:rsid w:val="00417AD6"/>
    <w:rsid w:val="00417B4A"/>
    <w:rsid w:val="004240F4"/>
    <w:rsid w:val="00431A0A"/>
    <w:rsid w:val="00432CB7"/>
    <w:rsid w:val="0043524A"/>
    <w:rsid w:val="00436433"/>
    <w:rsid w:val="00437F91"/>
    <w:rsid w:val="004400C0"/>
    <w:rsid w:val="00445264"/>
    <w:rsid w:val="00446FD2"/>
    <w:rsid w:val="00450A22"/>
    <w:rsid w:val="00455895"/>
    <w:rsid w:val="00462CD1"/>
    <w:rsid w:val="004645B5"/>
    <w:rsid w:val="0047614C"/>
    <w:rsid w:val="00476FAA"/>
    <w:rsid w:val="0048101F"/>
    <w:rsid w:val="004819EF"/>
    <w:rsid w:val="00484C9C"/>
    <w:rsid w:val="00487B44"/>
    <w:rsid w:val="00491BF3"/>
    <w:rsid w:val="00492415"/>
    <w:rsid w:val="0049296C"/>
    <w:rsid w:val="00493254"/>
    <w:rsid w:val="00496D40"/>
    <w:rsid w:val="0049772E"/>
    <w:rsid w:val="004A07FD"/>
    <w:rsid w:val="004A3713"/>
    <w:rsid w:val="004A3EFF"/>
    <w:rsid w:val="004A4C36"/>
    <w:rsid w:val="004B1F94"/>
    <w:rsid w:val="004C23F8"/>
    <w:rsid w:val="004C2889"/>
    <w:rsid w:val="004C3AB2"/>
    <w:rsid w:val="004C5C9F"/>
    <w:rsid w:val="004D53C2"/>
    <w:rsid w:val="004D7538"/>
    <w:rsid w:val="004D774A"/>
    <w:rsid w:val="004E1A7F"/>
    <w:rsid w:val="004E1B3F"/>
    <w:rsid w:val="004F2C1C"/>
    <w:rsid w:val="004F2DE3"/>
    <w:rsid w:val="004F67A0"/>
    <w:rsid w:val="004F6F39"/>
    <w:rsid w:val="00501DDA"/>
    <w:rsid w:val="0050492B"/>
    <w:rsid w:val="005065EF"/>
    <w:rsid w:val="00513478"/>
    <w:rsid w:val="00517B9B"/>
    <w:rsid w:val="00521CD6"/>
    <w:rsid w:val="00522C71"/>
    <w:rsid w:val="00523C8C"/>
    <w:rsid w:val="005244AB"/>
    <w:rsid w:val="005328B3"/>
    <w:rsid w:val="00533935"/>
    <w:rsid w:val="00541125"/>
    <w:rsid w:val="00542F9B"/>
    <w:rsid w:val="00543ACA"/>
    <w:rsid w:val="00544E4B"/>
    <w:rsid w:val="00547B11"/>
    <w:rsid w:val="00550428"/>
    <w:rsid w:val="005506DD"/>
    <w:rsid w:val="00550D80"/>
    <w:rsid w:val="00553BB1"/>
    <w:rsid w:val="0055689B"/>
    <w:rsid w:val="00557B3B"/>
    <w:rsid w:val="00562DF5"/>
    <w:rsid w:val="005650ED"/>
    <w:rsid w:val="00567F89"/>
    <w:rsid w:val="00576510"/>
    <w:rsid w:val="005767E8"/>
    <w:rsid w:val="00580131"/>
    <w:rsid w:val="00582117"/>
    <w:rsid w:val="005831E3"/>
    <w:rsid w:val="00583A23"/>
    <w:rsid w:val="005844F0"/>
    <w:rsid w:val="00584F8F"/>
    <w:rsid w:val="00585719"/>
    <w:rsid w:val="00585A68"/>
    <w:rsid w:val="00591456"/>
    <w:rsid w:val="005942D8"/>
    <w:rsid w:val="00595183"/>
    <w:rsid w:val="0059568C"/>
    <w:rsid w:val="00595F3E"/>
    <w:rsid w:val="00597200"/>
    <w:rsid w:val="005A00B8"/>
    <w:rsid w:val="005A1977"/>
    <w:rsid w:val="005B5A87"/>
    <w:rsid w:val="005B6708"/>
    <w:rsid w:val="005B6B08"/>
    <w:rsid w:val="005C018B"/>
    <w:rsid w:val="005C34EC"/>
    <w:rsid w:val="005C399F"/>
    <w:rsid w:val="005C43B9"/>
    <w:rsid w:val="005D06E5"/>
    <w:rsid w:val="005D2672"/>
    <w:rsid w:val="005D56D3"/>
    <w:rsid w:val="005D6488"/>
    <w:rsid w:val="005E262D"/>
    <w:rsid w:val="005E6B96"/>
    <w:rsid w:val="005E7E5C"/>
    <w:rsid w:val="005E7EF8"/>
    <w:rsid w:val="005F142F"/>
    <w:rsid w:val="005F25BC"/>
    <w:rsid w:val="005F6485"/>
    <w:rsid w:val="00601064"/>
    <w:rsid w:val="00601682"/>
    <w:rsid w:val="00601A00"/>
    <w:rsid w:val="006022A6"/>
    <w:rsid w:val="006023EE"/>
    <w:rsid w:val="00605C62"/>
    <w:rsid w:val="00610208"/>
    <w:rsid w:val="00611880"/>
    <w:rsid w:val="00625A7C"/>
    <w:rsid w:val="00627073"/>
    <w:rsid w:val="00631E0D"/>
    <w:rsid w:val="00633524"/>
    <w:rsid w:val="006361BA"/>
    <w:rsid w:val="00636656"/>
    <w:rsid w:val="00637824"/>
    <w:rsid w:val="00640701"/>
    <w:rsid w:val="00643436"/>
    <w:rsid w:val="00643521"/>
    <w:rsid w:val="00643FF3"/>
    <w:rsid w:val="006443A2"/>
    <w:rsid w:val="00646D33"/>
    <w:rsid w:val="006475BF"/>
    <w:rsid w:val="00650A99"/>
    <w:rsid w:val="00651989"/>
    <w:rsid w:val="00651B99"/>
    <w:rsid w:val="0065654D"/>
    <w:rsid w:val="00656565"/>
    <w:rsid w:val="006568F8"/>
    <w:rsid w:val="00656EE0"/>
    <w:rsid w:val="00657706"/>
    <w:rsid w:val="0065798D"/>
    <w:rsid w:val="00657BD1"/>
    <w:rsid w:val="00661AC6"/>
    <w:rsid w:val="00664620"/>
    <w:rsid w:val="00664CF6"/>
    <w:rsid w:val="00664DAB"/>
    <w:rsid w:val="00666C9E"/>
    <w:rsid w:val="006672CF"/>
    <w:rsid w:val="00670101"/>
    <w:rsid w:val="006744EA"/>
    <w:rsid w:val="00676953"/>
    <w:rsid w:val="00680A29"/>
    <w:rsid w:val="0068130C"/>
    <w:rsid w:val="00682296"/>
    <w:rsid w:val="00684A76"/>
    <w:rsid w:val="0068665B"/>
    <w:rsid w:val="00692AF2"/>
    <w:rsid w:val="00693C73"/>
    <w:rsid w:val="006A156F"/>
    <w:rsid w:val="006A2669"/>
    <w:rsid w:val="006A505C"/>
    <w:rsid w:val="006A7C29"/>
    <w:rsid w:val="006B1620"/>
    <w:rsid w:val="006B7299"/>
    <w:rsid w:val="006C40EB"/>
    <w:rsid w:val="006C65D3"/>
    <w:rsid w:val="006D26AF"/>
    <w:rsid w:val="006D4124"/>
    <w:rsid w:val="006D5A28"/>
    <w:rsid w:val="006E0DE2"/>
    <w:rsid w:val="006E31BD"/>
    <w:rsid w:val="006E6A67"/>
    <w:rsid w:val="006F376C"/>
    <w:rsid w:val="006F3F5D"/>
    <w:rsid w:val="006F4285"/>
    <w:rsid w:val="006F502B"/>
    <w:rsid w:val="006F5DF1"/>
    <w:rsid w:val="006F6742"/>
    <w:rsid w:val="007036B1"/>
    <w:rsid w:val="00707143"/>
    <w:rsid w:val="00712399"/>
    <w:rsid w:val="00712F39"/>
    <w:rsid w:val="00721DA3"/>
    <w:rsid w:val="007231BC"/>
    <w:rsid w:val="00727EB1"/>
    <w:rsid w:val="00730064"/>
    <w:rsid w:val="0074005A"/>
    <w:rsid w:val="0074086E"/>
    <w:rsid w:val="007447A3"/>
    <w:rsid w:val="00751083"/>
    <w:rsid w:val="007540DE"/>
    <w:rsid w:val="007545A7"/>
    <w:rsid w:val="00754712"/>
    <w:rsid w:val="0075608A"/>
    <w:rsid w:val="007576F4"/>
    <w:rsid w:val="00761A33"/>
    <w:rsid w:val="007655B1"/>
    <w:rsid w:val="00773D0E"/>
    <w:rsid w:val="00773F7F"/>
    <w:rsid w:val="00775B36"/>
    <w:rsid w:val="00776C5B"/>
    <w:rsid w:val="0077700E"/>
    <w:rsid w:val="00780E87"/>
    <w:rsid w:val="00781AA3"/>
    <w:rsid w:val="0078259F"/>
    <w:rsid w:val="007836F8"/>
    <w:rsid w:val="00783D39"/>
    <w:rsid w:val="007840CC"/>
    <w:rsid w:val="0078533B"/>
    <w:rsid w:val="00786CF1"/>
    <w:rsid w:val="00786F6E"/>
    <w:rsid w:val="00787C60"/>
    <w:rsid w:val="00787E41"/>
    <w:rsid w:val="00792217"/>
    <w:rsid w:val="007923C4"/>
    <w:rsid w:val="00792C2F"/>
    <w:rsid w:val="00794A32"/>
    <w:rsid w:val="007952E1"/>
    <w:rsid w:val="00797A57"/>
    <w:rsid w:val="007A11BD"/>
    <w:rsid w:val="007A2585"/>
    <w:rsid w:val="007A29A6"/>
    <w:rsid w:val="007A557E"/>
    <w:rsid w:val="007A6400"/>
    <w:rsid w:val="007B3FC4"/>
    <w:rsid w:val="007B530D"/>
    <w:rsid w:val="007B66C2"/>
    <w:rsid w:val="007B7EAD"/>
    <w:rsid w:val="007C1E6F"/>
    <w:rsid w:val="007C55B7"/>
    <w:rsid w:val="007C6C9A"/>
    <w:rsid w:val="007D44ED"/>
    <w:rsid w:val="007D642B"/>
    <w:rsid w:val="007D6BFA"/>
    <w:rsid w:val="007E0E96"/>
    <w:rsid w:val="007E1EAE"/>
    <w:rsid w:val="007E67D7"/>
    <w:rsid w:val="007F0A69"/>
    <w:rsid w:val="007F1750"/>
    <w:rsid w:val="007F7779"/>
    <w:rsid w:val="00800399"/>
    <w:rsid w:val="008003E2"/>
    <w:rsid w:val="008017FB"/>
    <w:rsid w:val="00802351"/>
    <w:rsid w:val="008124E8"/>
    <w:rsid w:val="0081530E"/>
    <w:rsid w:val="00816C86"/>
    <w:rsid w:val="0081743D"/>
    <w:rsid w:val="00822195"/>
    <w:rsid w:val="00823342"/>
    <w:rsid w:val="00824D0A"/>
    <w:rsid w:val="00826235"/>
    <w:rsid w:val="00827634"/>
    <w:rsid w:val="00830205"/>
    <w:rsid w:val="008403BD"/>
    <w:rsid w:val="00841833"/>
    <w:rsid w:val="00843BE9"/>
    <w:rsid w:val="00845F7E"/>
    <w:rsid w:val="00846710"/>
    <w:rsid w:val="0085500F"/>
    <w:rsid w:val="008605ED"/>
    <w:rsid w:val="00860CF8"/>
    <w:rsid w:val="00861CAC"/>
    <w:rsid w:val="00863302"/>
    <w:rsid w:val="008652DE"/>
    <w:rsid w:val="0086793E"/>
    <w:rsid w:val="008706AC"/>
    <w:rsid w:val="008709A4"/>
    <w:rsid w:val="0088246E"/>
    <w:rsid w:val="008826BE"/>
    <w:rsid w:val="008836FC"/>
    <w:rsid w:val="00883AE3"/>
    <w:rsid w:val="0088488C"/>
    <w:rsid w:val="00886A8D"/>
    <w:rsid w:val="00886F43"/>
    <w:rsid w:val="0088760A"/>
    <w:rsid w:val="00891152"/>
    <w:rsid w:val="00892833"/>
    <w:rsid w:val="00892EE8"/>
    <w:rsid w:val="00893A76"/>
    <w:rsid w:val="00895906"/>
    <w:rsid w:val="00897000"/>
    <w:rsid w:val="008A1770"/>
    <w:rsid w:val="008A3608"/>
    <w:rsid w:val="008B0199"/>
    <w:rsid w:val="008B45CC"/>
    <w:rsid w:val="008C22A6"/>
    <w:rsid w:val="008C6116"/>
    <w:rsid w:val="008C7B5C"/>
    <w:rsid w:val="008D0580"/>
    <w:rsid w:val="008D1C78"/>
    <w:rsid w:val="008D3BFA"/>
    <w:rsid w:val="008D4D91"/>
    <w:rsid w:val="008D56F3"/>
    <w:rsid w:val="008D7C17"/>
    <w:rsid w:val="008E2CB9"/>
    <w:rsid w:val="008E6B5B"/>
    <w:rsid w:val="008F4DA7"/>
    <w:rsid w:val="008F5CEC"/>
    <w:rsid w:val="008F5E56"/>
    <w:rsid w:val="008F7341"/>
    <w:rsid w:val="00902AF6"/>
    <w:rsid w:val="009031EC"/>
    <w:rsid w:val="00913831"/>
    <w:rsid w:val="00914939"/>
    <w:rsid w:val="00914946"/>
    <w:rsid w:val="009159C8"/>
    <w:rsid w:val="009174A3"/>
    <w:rsid w:val="00920871"/>
    <w:rsid w:val="009246D8"/>
    <w:rsid w:val="00927279"/>
    <w:rsid w:val="009313DE"/>
    <w:rsid w:val="00933221"/>
    <w:rsid w:val="009366D2"/>
    <w:rsid w:val="00943EAF"/>
    <w:rsid w:val="009446AC"/>
    <w:rsid w:val="009455FF"/>
    <w:rsid w:val="009531BE"/>
    <w:rsid w:val="00953847"/>
    <w:rsid w:val="00953A24"/>
    <w:rsid w:val="00953E31"/>
    <w:rsid w:val="0095413B"/>
    <w:rsid w:val="00955592"/>
    <w:rsid w:val="00955CAF"/>
    <w:rsid w:val="0096248B"/>
    <w:rsid w:val="00963C32"/>
    <w:rsid w:val="009712F1"/>
    <w:rsid w:val="00971F1F"/>
    <w:rsid w:val="00974D43"/>
    <w:rsid w:val="00975044"/>
    <w:rsid w:val="0097557D"/>
    <w:rsid w:val="009765A7"/>
    <w:rsid w:val="00976BB7"/>
    <w:rsid w:val="00976CB7"/>
    <w:rsid w:val="00976D27"/>
    <w:rsid w:val="0098243F"/>
    <w:rsid w:val="00983CFA"/>
    <w:rsid w:val="00985FBC"/>
    <w:rsid w:val="00987CC9"/>
    <w:rsid w:val="00994917"/>
    <w:rsid w:val="00997977"/>
    <w:rsid w:val="009A31C2"/>
    <w:rsid w:val="009A3555"/>
    <w:rsid w:val="009A6582"/>
    <w:rsid w:val="009B0A46"/>
    <w:rsid w:val="009B143E"/>
    <w:rsid w:val="009B393F"/>
    <w:rsid w:val="009B7E1F"/>
    <w:rsid w:val="009C142C"/>
    <w:rsid w:val="009C2ABB"/>
    <w:rsid w:val="009C320B"/>
    <w:rsid w:val="009C7A72"/>
    <w:rsid w:val="009C7A97"/>
    <w:rsid w:val="009D1050"/>
    <w:rsid w:val="009D22E6"/>
    <w:rsid w:val="009D2987"/>
    <w:rsid w:val="009D7800"/>
    <w:rsid w:val="009E05F1"/>
    <w:rsid w:val="009E40EE"/>
    <w:rsid w:val="009E4B51"/>
    <w:rsid w:val="009E7F10"/>
    <w:rsid w:val="009F1EB6"/>
    <w:rsid w:val="009F4A00"/>
    <w:rsid w:val="009F4B2B"/>
    <w:rsid w:val="009F5092"/>
    <w:rsid w:val="009F766D"/>
    <w:rsid w:val="00A05BAC"/>
    <w:rsid w:val="00A06CEA"/>
    <w:rsid w:val="00A07CD6"/>
    <w:rsid w:val="00A1604C"/>
    <w:rsid w:val="00A30627"/>
    <w:rsid w:val="00A31207"/>
    <w:rsid w:val="00A46966"/>
    <w:rsid w:val="00A50111"/>
    <w:rsid w:val="00A51099"/>
    <w:rsid w:val="00A603EE"/>
    <w:rsid w:val="00A645C1"/>
    <w:rsid w:val="00A67350"/>
    <w:rsid w:val="00A73069"/>
    <w:rsid w:val="00A73E75"/>
    <w:rsid w:val="00A74E61"/>
    <w:rsid w:val="00A74EA5"/>
    <w:rsid w:val="00A76417"/>
    <w:rsid w:val="00A7656C"/>
    <w:rsid w:val="00A80E3E"/>
    <w:rsid w:val="00A876A0"/>
    <w:rsid w:val="00A87EC4"/>
    <w:rsid w:val="00A87F51"/>
    <w:rsid w:val="00A902EC"/>
    <w:rsid w:val="00A90A08"/>
    <w:rsid w:val="00A9382D"/>
    <w:rsid w:val="00A959E5"/>
    <w:rsid w:val="00A95E16"/>
    <w:rsid w:val="00A96771"/>
    <w:rsid w:val="00A96C45"/>
    <w:rsid w:val="00A9706C"/>
    <w:rsid w:val="00AA341D"/>
    <w:rsid w:val="00AA3C9E"/>
    <w:rsid w:val="00AA4C96"/>
    <w:rsid w:val="00AB08E7"/>
    <w:rsid w:val="00AB2982"/>
    <w:rsid w:val="00AB3BDB"/>
    <w:rsid w:val="00AB61B0"/>
    <w:rsid w:val="00AC11F4"/>
    <w:rsid w:val="00AC55E5"/>
    <w:rsid w:val="00AD26B9"/>
    <w:rsid w:val="00AD5E62"/>
    <w:rsid w:val="00AD614E"/>
    <w:rsid w:val="00AD63FE"/>
    <w:rsid w:val="00AD7610"/>
    <w:rsid w:val="00AE2497"/>
    <w:rsid w:val="00AE293E"/>
    <w:rsid w:val="00AE2D49"/>
    <w:rsid w:val="00AE3FBB"/>
    <w:rsid w:val="00AF02F1"/>
    <w:rsid w:val="00AF4BF2"/>
    <w:rsid w:val="00AF5EEC"/>
    <w:rsid w:val="00AF663D"/>
    <w:rsid w:val="00B02F15"/>
    <w:rsid w:val="00B076C2"/>
    <w:rsid w:val="00B1345D"/>
    <w:rsid w:val="00B158D6"/>
    <w:rsid w:val="00B17B93"/>
    <w:rsid w:val="00B20FBD"/>
    <w:rsid w:val="00B306F8"/>
    <w:rsid w:val="00B30D5F"/>
    <w:rsid w:val="00B31217"/>
    <w:rsid w:val="00B31EC3"/>
    <w:rsid w:val="00B36639"/>
    <w:rsid w:val="00B40BC6"/>
    <w:rsid w:val="00B41BDA"/>
    <w:rsid w:val="00B44E06"/>
    <w:rsid w:val="00B4512E"/>
    <w:rsid w:val="00B45701"/>
    <w:rsid w:val="00B45C64"/>
    <w:rsid w:val="00B4736B"/>
    <w:rsid w:val="00B501A7"/>
    <w:rsid w:val="00B50B33"/>
    <w:rsid w:val="00B52C6D"/>
    <w:rsid w:val="00B52E5F"/>
    <w:rsid w:val="00B55D1E"/>
    <w:rsid w:val="00B5663D"/>
    <w:rsid w:val="00B57243"/>
    <w:rsid w:val="00B60482"/>
    <w:rsid w:val="00B6072B"/>
    <w:rsid w:val="00B630BC"/>
    <w:rsid w:val="00B640CD"/>
    <w:rsid w:val="00B70153"/>
    <w:rsid w:val="00B71A47"/>
    <w:rsid w:val="00B72C70"/>
    <w:rsid w:val="00B746E2"/>
    <w:rsid w:val="00B80711"/>
    <w:rsid w:val="00B8619A"/>
    <w:rsid w:val="00B8775D"/>
    <w:rsid w:val="00B87D0C"/>
    <w:rsid w:val="00B90953"/>
    <w:rsid w:val="00B91A14"/>
    <w:rsid w:val="00B91EAC"/>
    <w:rsid w:val="00B94B3F"/>
    <w:rsid w:val="00B9547B"/>
    <w:rsid w:val="00B9622D"/>
    <w:rsid w:val="00BA05F9"/>
    <w:rsid w:val="00BA1B8A"/>
    <w:rsid w:val="00BA47C2"/>
    <w:rsid w:val="00BA63D2"/>
    <w:rsid w:val="00BA6A8B"/>
    <w:rsid w:val="00BB0AE6"/>
    <w:rsid w:val="00BB3860"/>
    <w:rsid w:val="00BB3D11"/>
    <w:rsid w:val="00BB4CB5"/>
    <w:rsid w:val="00BB4EE1"/>
    <w:rsid w:val="00BB57AE"/>
    <w:rsid w:val="00BC5546"/>
    <w:rsid w:val="00BC5848"/>
    <w:rsid w:val="00BD3BFD"/>
    <w:rsid w:val="00BD47F8"/>
    <w:rsid w:val="00BD7839"/>
    <w:rsid w:val="00BE54AF"/>
    <w:rsid w:val="00BE65DE"/>
    <w:rsid w:val="00BE6C0A"/>
    <w:rsid w:val="00BF0A56"/>
    <w:rsid w:val="00BF3050"/>
    <w:rsid w:val="00BF3746"/>
    <w:rsid w:val="00C00D5B"/>
    <w:rsid w:val="00C03363"/>
    <w:rsid w:val="00C054C7"/>
    <w:rsid w:val="00C05B19"/>
    <w:rsid w:val="00C073F4"/>
    <w:rsid w:val="00C0752D"/>
    <w:rsid w:val="00C10548"/>
    <w:rsid w:val="00C114B3"/>
    <w:rsid w:val="00C117FD"/>
    <w:rsid w:val="00C1336C"/>
    <w:rsid w:val="00C16369"/>
    <w:rsid w:val="00C202BC"/>
    <w:rsid w:val="00C2095D"/>
    <w:rsid w:val="00C22754"/>
    <w:rsid w:val="00C22C36"/>
    <w:rsid w:val="00C248A2"/>
    <w:rsid w:val="00C27613"/>
    <w:rsid w:val="00C30544"/>
    <w:rsid w:val="00C3399C"/>
    <w:rsid w:val="00C34983"/>
    <w:rsid w:val="00C3703F"/>
    <w:rsid w:val="00C43954"/>
    <w:rsid w:val="00C44D04"/>
    <w:rsid w:val="00C46642"/>
    <w:rsid w:val="00C515D0"/>
    <w:rsid w:val="00C52356"/>
    <w:rsid w:val="00C5450E"/>
    <w:rsid w:val="00C61198"/>
    <w:rsid w:val="00C61E73"/>
    <w:rsid w:val="00C62E5D"/>
    <w:rsid w:val="00C63946"/>
    <w:rsid w:val="00C654BB"/>
    <w:rsid w:val="00C65B3F"/>
    <w:rsid w:val="00C7138E"/>
    <w:rsid w:val="00C7257E"/>
    <w:rsid w:val="00C75EEF"/>
    <w:rsid w:val="00C822CD"/>
    <w:rsid w:val="00C83E79"/>
    <w:rsid w:val="00C86368"/>
    <w:rsid w:val="00C8667C"/>
    <w:rsid w:val="00C956D4"/>
    <w:rsid w:val="00CA1516"/>
    <w:rsid w:val="00CA3AEE"/>
    <w:rsid w:val="00CA4E07"/>
    <w:rsid w:val="00CA5426"/>
    <w:rsid w:val="00CA5851"/>
    <w:rsid w:val="00CA5949"/>
    <w:rsid w:val="00CB0BC9"/>
    <w:rsid w:val="00CB1D37"/>
    <w:rsid w:val="00CB2B75"/>
    <w:rsid w:val="00CB3B36"/>
    <w:rsid w:val="00CB5EE2"/>
    <w:rsid w:val="00CB60E6"/>
    <w:rsid w:val="00CC273C"/>
    <w:rsid w:val="00CC2D0B"/>
    <w:rsid w:val="00CC4571"/>
    <w:rsid w:val="00CC46E9"/>
    <w:rsid w:val="00CC4A91"/>
    <w:rsid w:val="00CC55B8"/>
    <w:rsid w:val="00CC6D03"/>
    <w:rsid w:val="00CD0ADD"/>
    <w:rsid w:val="00CD153D"/>
    <w:rsid w:val="00CD1C33"/>
    <w:rsid w:val="00CD3165"/>
    <w:rsid w:val="00CD4184"/>
    <w:rsid w:val="00CD49CD"/>
    <w:rsid w:val="00CE136C"/>
    <w:rsid w:val="00CE1CE0"/>
    <w:rsid w:val="00CE3327"/>
    <w:rsid w:val="00CE3331"/>
    <w:rsid w:val="00CE54ED"/>
    <w:rsid w:val="00CE7604"/>
    <w:rsid w:val="00CF0921"/>
    <w:rsid w:val="00CF0FFA"/>
    <w:rsid w:val="00D004E0"/>
    <w:rsid w:val="00D039D7"/>
    <w:rsid w:val="00D045E9"/>
    <w:rsid w:val="00D175DB"/>
    <w:rsid w:val="00D21CAD"/>
    <w:rsid w:val="00D22516"/>
    <w:rsid w:val="00D25146"/>
    <w:rsid w:val="00D27A9D"/>
    <w:rsid w:val="00D3487F"/>
    <w:rsid w:val="00D34975"/>
    <w:rsid w:val="00D42545"/>
    <w:rsid w:val="00D4427A"/>
    <w:rsid w:val="00D51DCA"/>
    <w:rsid w:val="00D525D7"/>
    <w:rsid w:val="00D5516F"/>
    <w:rsid w:val="00D61289"/>
    <w:rsid w:val="00D61A25"/>
    <w:rsid w:val="00D62A8B"/>
    <w:rsid w:val="00D638D2"/>
    <w:rsid w:val="00D6410B"/>
    <w:rsid w:val="00D64D3A"/>
    <w:rsid w:val="00D65385"/>
    <w:rsid w:val="00D65CA4"/>
    <w:rsid w:val="00D74E97"/>
    <w:rsid w:val="00D859AB"/>
    <w:rsid w:val="00D865E5"/>
    <w:rsid w:val="00D87A5E"/>
    <w:rsid w:val="00D92F70"/>
    <w:rsid w:val="00D9311D"/>
    <w:rsid w:val="00D945CE"/>
    <w:rsid w:val="00D94802"/>
    <w:rsid w:val="00DA14DC"/>
    <w:rsid w:val="00DA1F92"/>
    <w:rsid w:val="00DA378D"/>
    <w:rsid w:val="00DA6244"/>
    <w:rsid w:val="00DA7BF2"/>
    <w:rsid w:val="00DB0065"/>
    <w:rsid w:val="00DB01CF"/>
    <w:rsid w:val="00DB64D1"/>
    <w:rsid w:val="00DB679B"/>
    <w:rsid w:val="00DC058C"/>
    <w:rsid w:val="00DC30F9"/>
    <w:rsid w:val="00DC3B0A"/>
    <w:rsid w:val="00DC78DA"/>
    <w:rsid w:val="00DD270C"/>
    <w:rsid w:val="00DE110E"/>
    <w:rsid w:val="00DE1371"/>
    <w:rsid w:val="00DE1E82"/>
    <w:rsid w:val="00DE1FE6"/>
    <w:rsid w:val="00DE45DD"/>
    <w:rsid w:val="00DE605E"/>
    <w:rsid w:val="00DE6A03"/>
    <w:rsid w:val="00DF0D71"/>
    <w:rsid w:val="00DF280F"/>
    <w:rsid w:val="00DF43EE"/>
    <w:rsid w:val="00DF450D"/>
    <w:rsid w:val="00E00DA9"/>
    <w:rsid w:val="00E02D63"/>
    <w:rsid w:val="00E036C4"/>
    <w:rsid w:val="00E03A3A"/>
    <w:rsid w:val="00E04761"/>
    <w:rsid w:val="00E05707"/>
    <w:rsid w:val="00E06297"/>
    <w:rsid w:val="00E13690"/>
    <w:rsid w:val="00E1595B"/>
    <w:rsid w:val="00E1675E"/>
    <w:rsid w:val="00E20D32"/>
    <w:rsid w:val="00E2588D"/>
    <w:rsid w:val="00E25D40"/>
    <w:rsid w:val="00E27F47"/>
    <w:rsid w:val="00E36CAD"/>
    <w:rsid w:val="00E37D03"/>
    <w:rsid w:val="00E403C0"/>
    <w:rsid w:val="00E41CEA"/>
    <w:rsid w:val="00E45218"/>
    <w:rsid w:val="00E50963"/>
    <w:rsid w:val="00E558A1"/>
    <w:rsid w:val="00E55E4A"/>
    <w:rsid w:val="00E56872"/>
    <w:rsid w:val="00E5771F"/>
    <w:rsid w:val="00E61FE9"/>
    <w:rsid w:val="00E62ABC"/>
    <w:rsid w:val="00E63456"/>
    <w:rsid w:val="00E63C4E"/>
    <w:rsid w:val="00E672EF"/>
    <w:rsid w:val="00E7213B"/>
    <w:rsid w:val="00E72D72"/>
    <w:rsid w:val="00E74AA9"/>
    <w:rsid w:val="00E74B1B"/>
    <w:rsid w:val="00E765C7"/>
    <w:rsid w:val="00E8010C"/>
    <w:rsid w:val="00E8114C"/>
    <w:rsid w:val="00E84A43"/>
    <w:rsid w:val="00E84F54"/>
    <w:rsid w:val="00E8631E"/>
    <w:rsid w:val="00E96200"/>
    <w:rsid w:val="00E970C2"/>
    <w:rsid w:val="00EA260E"/>
    <w:rsid w:val="00EA3EC1"/>
    <w:rsid w:val="00EA7670"/>
    <w:rsid w:val="00EB0A12"/>
    <w:rsid w:val="00EB5E39"/>
    <w:rsid w:val="00EC00D3"/>
    <w:rsid w:val="00EC7A66"/>
    <w:rsid w:val="00ED5081"/>
    <w:rsid w:val="00ED6E53"/>
    <w:rsid w:val="00EE1913"/>
    <w:rsid w:val="00EE538A"/>
    <w:rsid w:val="00EE7740"/>
    <w:rsid w:val="00EF0E7C"/>
    <w:rsid w:val="00EF3B20"/>
    <w:rsid w:val="00EF4B7C"/>
    <w:rsid w:val="00F025CA"/>
    <w:rsid w:val="00F026F7"/>
    <w:rsid w:val="00F070C1"/>
    <w:rsid w:val="00F10F0A"/>
    <w:rsid w:val="00F11B03"/>
    <w:rsid w:val="00F13428"/>
    <w:rsid w:val="00F135B3"/>
    <w:rsid w:val="00F15966"/>
    <w:rsid w:val="00F232C7"/>
    <w:rsid w:val="00F24503"/>
    <w:rsid w:val="00F25A79"/>
    <w:rsid w:val="00F26519"/>
    <w:rsid w:val="00F31320"/>
    <w:rsid w:val="00F318C8"/>
    <w:rsid w:val="00F33053"/>
    <w:rsid w:val="00F41475"/>
    <w:rsid w:val="00F416A5"/>
    <w:rsid w:val="00F4285F"/>
    <w:rsid w:val="00F47DBD"/>
    <w:rsid w:val="00F57AD3"/>
    <w:rsid w:val="00F61C06"/>
    <w:rsid w:val="00F623D0"/>
    <w:rsid w:val="00F63EEE"/>
    <w:rsid w:val="00F63FDA"/>
    <w:rsid w:val="00F6401F"/>
    <w:rsid w:val="00F65206"/>
    <w:rsid w:val="00F67B28"/>
    <w:rsid w:val="00F70D7E"/>
    <w:rsid w:val="00F75982"/>
    <w:rsid w:val="00F75D2C"/>
    <w:rsid w:val="00F80B96"/>
    <w:rsid w:val="00F81A5D"/>
    <w:rsid w:val="00F81F41"/>
    <w:rsid w:val="00F82262"/>
    <w:rsid w:val="00F92816"/>
    <w:rsid w:val="00F9281E"/>
    <w:rsid w:val="00FA20E5"/>
    <w:rsid w:val="00FA59DC"/>
    <w:rsid w:val="00FB0966"/>
    <w:rsid w:val="00FB3922"/>
    <w:rsid w:val="00FB65B3"/>
    <w:rsid w:val="00FC30D4"/>
    <w:rsid w:val="00FC3617"/>
    <w:rsid w:val="00FC73C3"/>
    <w:rsid w:val="00FD0900"/>
    <w:rsid w:val="00FE0C2B"/>
    <w:rsid w:val="00FE1887"/>
    <w:rsid w:val="00FE1CE0"/>
    <w:rsid w:val="00FE32BA"/>
    <w:rsid w:val="00FE3D8F"/>
    <w:rsid w:val="00FF18D4"/>
    <w:rsid w:val="00FF3952"/>
    <w:rsid w:val="00FF39A8"/>
    <w:rsid w:val="00FF5BD3"/>
    <w:rsid w:val="00FF7C5A"/>
    <w:rsid w:val="04489651"/>
    <w:rsid w:val="0E91E162"/>
    <w:rsid w:val="0FA77D5E"/>
    <w:rsid w:val="12CE37BB"/>
    <w:rsid w:val="21D95E62"/>
    <w:rsid w:val="265871ED"/>
    <w:rsid w:val="2FD96230"/>
    <w:rsid w:val="3693BC5D"/>
    <w:rsid w:val="408BA47A"/>
    <w:rsid w:val="42884E11"/>
    <w:rsid w:val="42CEF33E"/>
    <w:rsid w:val="4AA5BBAA"/>
    <w:rsid w:val="4EA84C2A"/>
    <w:rsid w:val="52A14BA1"/>
    <w:rsid w:val="5313116A"/>
    <w:rsid w:val="63D6EFC8"/>
    <w:rsid w:val="6EB8BC93"/>
    <w:rsid w:val="72CFDB20"/>
    <w:rsid w:val="7DC1C6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9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13428"/>
  </w:style>
  <w:style w:type="paragraph" w:styleId="Heading1">
    <w:name w:val="heading 1"/>
    <w:basedOn w:val="Normal"/>
    <w:next w:val="Normal"/>
    <w:link w:val="Heading1Char"/>
    <w:uiPriority w:val="9"/>
    <w:qFormat/>
    <w:rsid w:val="00F13428"/>
    <w:pPr>
      <w:pBdr>
        <w:top w:val="single" w:sz="24" w:space="0" w:color="4897A2" w:themeColor="accent1"/>
        <w:left w:val="single" w:sz="24" w:space="0" w:color="4897A2" w:themeColor="accent1"/>
        <w:bottom w:val="single" w:sz="24" w:space="0" w:color="4897A2" w:themeColor="accent1"/>
        <w:right w:val="single" w:sz="24" w:space="0" w:color="4897A2" w:themeColor="accent1"/>
      </w:pBdr>
      <w:shd w:val="clear" w:color="auto" w:fill="4897A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3428"/>
    <w:pPr>
      <w:pBdr>
        <w:top w:val="single" w:sz="24" w:space="0" w:color="D8EBEE" w:themeColor="accent1" w:themeTint="33"/>
        <w:left w:val="single" w:sz="24" w:space="0" w:color="D8EBEE" w:themeColor="accent1" w:themeTint="33"/>
        <w:bottom w:val="single" w:sz="24" w:space="0" w:color="D8EBEE" w:themeColor="accent1" w:themeTint="33"/>
        <w:right w:val="single" w:sz="24" w:space="0" w:color="D8EBEE" w:themeColor="accent1" w:themeTint="33"/>
      </w:pBdr>
      <w:shd w:val="clear" w:color="auto" w:fill="D8EB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13428"/>
    <w:pPr>
      <w:pBdr>
        <w:top w:val="single" w:sz="6" w:space="2" w:color="4897A2" w:themeColor="accent1"/>
      </w:pBdr>
      <w:spacing w:before="300" w:after="0"/>
      <w:outlineLvl w:val="2"/>
    </w:pPr>
    <w:rPr>
      <w:caps/>
      <w:color w:val="234A50" w:themeColor="accent1" w:themeShade="7F"/>
      <w:spacing w:val="15"/>
    </w:rPr>
  </w:style>
  <w:style w:type="paragraph" w:styleId="Heading4">
    <w:name w:val="heading 4"/>
    <w:basedOn w:val="Normal"/>
    <w:next w:val="Normal"/>
    <w:link w:val="Heading4Char"/>
    <w:uiPriority w:val="9"/>
    <w:unhideWhenUsed/>
    <w:qFormat/>
    <w:rsid w:val="00F13428"/>
    <w:pPr>
      <w:pBdr>
        <w:top w:val="dotted" w:sz="6" w:space="2" w:color="4897A2" w:themeColor="accent1"/>
      </w:pBdr>
      <w:spacing w:before="200" w:after="0"/>
      <w:outlineLvl w:val="3"/>
    </w:pPr>
    <w:rPr>
      <w:caps/>
      <w:color w:val="367079" w:themeColor="accent1" w:themeShade="BF"/>
      <w:spacing w:val="10"/>
    </w:rPr>
  </w:style>
  <w:style w:type="paragraph" w:styleId="Heading5">
    <w:name w:val="heading 5"/>
    <w:basedOn w:val="Normal"/>
    <w:next w:val="Normal"/>
    <w:link w:val="Heading5Char"/>
    <w:uiPriority w:val="9"/>
    <w:unhideWhenUsed/>
    <w:qFormat/>
    <w:rsid w:val="00F13428"/>
    <w:pPr>
      <w:pBdr>
        <w:bottom w:val="single" w:sz="6" w:space="1" w:color="4897A2" w:themeColor="accent1"/>
      </w:pBdr>
      <w:spacing w:before="200" w:after="0"/>
      <w:outlineLvl w:val="4"/>
    </w:pPr>
    <w:rPr>
      <w:caps/>
      <w:color w:val="367079" w:themeColor="accent1" w:themeShade="BF"/>
      <w:spacing w:val="10"/>
    </w:rPr>
  </w:style>
  <w:style w:type="paragraph" w:styleId="Heading6">
    <w:name w:val="heading 6"/>
    <w:basedOn w:val="Normal"/>
    <w:next w:val="Normal"/>
    <w:link w:val="Heading6Char"/>
    <w:uiPriority w:val="9"/>
    <w:unhideWhenUsed/>
    <w:qFormat/>
    <w:rsid w:val="00F13428"/>
    <w:pPr>
      <w:pBdr>
        <w:bottom w:val="dotted" w:sz="6" w:space="1" w:color="4897A2" w:themeColor="accent1"/>
      </w:pBdr>
      <w:spacing w:before="200" w:after="0"/>
      <w:outlineLvl w:val="5"/>
    </w:pPr>
    <w:rPr>
      <w:caps/>
      <w:color w:val="367079" w:themeColor="accent1" w:themeShade="BF"/>
      <w:spacing w:val="10"/>
    </w:rPr>
  </w:style>
  <w:style w:type="paragraph" w:styleId="Heading7">
    <w:name w:val="heading 7"/>
    <w:basedOn w:val="Normal"/>
    <w:next w:val="Normal"/>
    <w:link w:val="Heading7Char"/>
    <w:uiPriority w:val="9"/>
    <w:semiHidden/>
    <w:unhideWhenUsed/>
    <w:qFormat/>
    <w:rsid w:val="00F13428"/>
    <w:pPr>
      <w:spacing w:before="200" w:after="0"/>
      <w:outlineLvl w:val="6"/>
    </w:pPr>
    <w:rPr>
      <w:caps/>
      <w:color w:val="367079" w:themeColor="accent1" w:themeShade="BF"/>
      <w:spacing w:val="10"/>
    </w:rPr>
  </w:style>
  <w:style w:type="paragraph" w:styleId="Heading8">
    <w:name w:val="heading 8"/>
    <w:basedOn w:val="Normal"/>
    <w:next w:val="Normal"/>
    <w:link w:val="Heading8Char"/>
    <w:uiPriority w:val="9"/>
    <w:semiHidden/>
    <w:unhideWhenUsed/>
    <w:qFormat/>
    <w:rsid w:val="00F13428"/>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F1342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28"/>
    <w:rPr>
      <w:caps/>
      <w:color w:val="FFFFFF" w:themeColor="background1"/>
      <w:spacing w:val="15"/>
      <w:sz w:val="22"/>
      <w:szCs w:val="22"/>
      <w:shd w:val="clear" w:color="auto" w:fill="4897A2" w:themeFill="accent1"/>
    </w:rPr>
  </w:style>
  <w:style w:type="character" w:customStyle="1" w:styleId="Heading2Char">
    <w:name w:val="Heading 2 Char"/>
    <w:basedOn w:val="DefaultParagraphFont"/>
    <w:link w:val="Heading2"/>
    <w:uiPriority w:val="9"/>
    <w:rsid w:val="00F13428"/>
    <w:rPr>
      <w:caps/>
      <w:spacing w:val="15"/>
      <w:shd w:val="clear" w:color="auto" w:fill="D8EBEE" w:themeFill="accent1" w:themeFillTint="33"/>
    </w:rPr>
  </w:style>
  <w:style w:type="character" w:customStyle="1" w:styleId="Heading3Char">
    <w:name w:val="Heading 3 Char"/>
    <w:basedOn w:val="DefaultParagraphFont"/>
    <w:link w:val="Heading3"/>
    <w:uiPriority w:val="9"/>
    <w:rsid w:val="00F13428"/>
    <w:rPr>
      <w:caps/>
      <w:color w:val="234A50" w:themeColor="accent1" w:themeShade="7F"/>
      <w:spacing w:val="15"/>
    </w:rPr>
  </w:style>
  <w:style w:type="character" w:customStyle="1" w:styleId="Heading4Char">
    <w:name w:val="Heading 4 Char"/>
    <w:basedOn w:val="DefaultParagraphFont"/>
    <w:link w:val="Heading4"/>
    <w:uiPriority w:val="9"/>
    <w:rsid w:val="00F13428"/>
    <w:rPr>
      <w:caps/>
      <w:color w:val="367079" w:themeColor="accent1" w:themeShade="BF"/>
      <w:spacing w:val="10"/>
    </w:rPr>
  </w:style>
  <w:style w:type="character" w:customStyle="1" w:styleId="Heading5Char">
    <w:name w:val="Heading 5 Char"/>
    <w:basedOn w:val="DefaultParagraphFont"/>
    <w:link w:val="Heading5"/>
    <w:uiPriority w:val="9"/>
    <w:rsid w:val="00F13428"/>
    <w:rPr>
      <w:caps/>
      <w:color w:val="367079" w:themeColor="accent1" w:themeShade="BF"/>
      <w:spacing w:val="10"/>
    </w:rPr>
  </w:style>
  <w:style w:type="character" w:customStyle="1" w:styleId="Heading6Char">
    <w:name w:val="Heading 6 Char"/>
    <w:basedOn w:val="DefaultParagraphFont"/>
    <w:link w:val="Heading6"/>
    <w:uiPriority w:val="9"/>
    <w:rsid w:val="00F13428"/>
    <w:rPr>
      <w:caps/>
      <w:color w:val="367079" w:themeColor="accent1" w:themeShade="BF"/>
      <w:spacing w:val="10"/>
    </w:rPr>
  </w:style>
  <w:style w:type="character" w:styleId="Strong">
    <w:name w:val="Strong"/>
    <w:uiPriority w:val="22"/>
    <w:qFormat/>
    <w:rsid w:val="00F13428"/>
    <w:rPr>
      <w:b/>
      <w:bCs/>
    </w:rPr>
  </w:style>
  <w:style w:type="character" w:customStyle="1" w:styleId="Heading9Char">
    <w:name w:val="Heading 9 Char"/>
    <w:basedOn w:val="DefaultParagraphFont"/>
    <w:link w:val="Heading9"/>
    <w:uiPriority w:val="9"/>
    <w:rsid w:val="00F13428"/>
    <w:rPr>
      <w:i/>
      <w:iCs/>
      <w:caps/>
      <w:spacing w:val="10"/>
      <w:sz w:val="18"/>
      <w:szCs w:val="18"/>
    </w:rPr>
  </w:style>
  <w:style w:type="paragraph" w:styleId="Header">
    <w:name w:val="header"/>
    <w:basedOn w:val="Normal"/>
    <w:link w:val="HeaderChar"/>
    <w:uiPriority w:val="99"/>
    <w:unhideWhenUsed/>
    <w:rsid w:val="00730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064"/>
  </w:style>
  <w:style w:type="paragraph" w:styleId="Footer">
    <w:name w:val="footer"/>
    <w:basedOn w:val="Normal"/>
    <w:link w:val="FooterChar"/>
    <w:uiPriority w:val="99"/>
    <w:unhideWhenUsed/>
    <w:rsid w:val="00730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064"/>
  </w:style>
  <w:style w:type="character" w:styleId="Hyperlink">
    <w:name w:val="Hyperlink"/>
    <w:basedOn w:val="DefaultParagraphFont"/>
    <w:uiPriority w:val="99"/>
    <w:unhideWhenUsed/>
    <w:rsid w:val="00730064"/>
    <w:rPr>
      <w:color w:val="0563C1"/>
      <w:u w:val="single"/>
    </w:rPr>
  </w:style>
  <w:style w:type="paragraph" w:styleId="ListParagraph">
    <w:name w:val="List Paragraph"/>
    <w:basedOn w:val="Normal"/>
    <w:link w:val="ListParagraphChar"/>
    <w:uiPriority w:val="34"/>
    <w:qFormat/>
    <w:rsid w:val="00730064"/>
    <w:pPr>
      <w:ind w:left="720"/>
      <w:contextualSpacing/>
    </w:pPr>
  </w:style>
  <w:style w:type="character" w:customStyle="1" w:styleId="A0">
    <w:name w:val="A0"/>
    <w:basedOn w:val="DefaultParagraphFont"/>
    <w:uiPriority w:val="99"/>
    <w:rsid w:val="00730064"/>
    <w:rPr>
      <w:rFonts w:ascii="Muli" w:hAnsi="Muli" w:hint="default"/>
      <w:color w:val="000000"/>
    </w:rPr>
  </w:style>
  <w:style w:type="character" w:customStyle="1" w:styleId="UnresolvedMention1">
    <w:name w:val="Unresolved Mention1"/>
    <w:basedOn w:val="DefaultParagraphFont"/>
    <w:uiPriority w:val="99"/>
    <w:semiHidden/>
    <w:unhideWhenUsed/>
    <w:rsid w:val="00B44E06"/>
    <w:rPr>
      <w:color w:val="605E5C"/>
      <w:shd w:val="clear" w:color="auto" w:fill="E1DFDD"/>
    </w:rPr>
  </w:style>
  <w:style w:type="character" w:styleId="FollowedHyperlink">
    <w:name w:val="FollowedHyperlink"/>
    <w:basedOn w:val="DefaultParagraphFont"/>
    <w:uiPriority w:val="99"/>
    <w:semiHidden/>
    <w:unhideWhenUsed/>
    <w:rsid w:val="00B44E06"/>
    <w:rPr>
      <w:color w:val="4DB3E6" w:themeColor="followedHyperlink"/>
      <w:u w:val="single"/>
    </w:rPr>
  </w:style>
  <w:style w:type="paragraph" w:customStyle="1" w:styleId="RecipientSenderdetails">
    <w:name w:val="Recipient/Sender details"/>
    <w:link w:val="RecipientSenderdetailsChar"/>
    <w:rsid w:val="00C0752D"/>
    <w:pPr>
      <w:spacing w:after="0"/>
    </w:pPr>
  </w:style>
  <w:style w:type="paragraph" w:customStyle="1" w:styleId="Subjectline">
    <w:name w:val="Subject line"/>
    <w:next w:val="Normal"/>
    <w:link w:val="SubjectlineChar"/>
    <w:rsid w:val="00B02F15"/>
    <w:pPr>
      <w:spacing w:before="400" w:after="400"/>
    </w:pPr>
    <w:rPr>
      <w:b/>
      <w:bCs/>
    </w:rPr>
  </w:style>
  <w:style w:type="character" w:customStyle="1" w:styleId="RecipientSenderdetailsChar">
    <w:name w:val="Recipient/Sender details Char"/>
    <w:basedOn w:val="DefaultParagraphFont"/>
    <w:link w:val="RecipientSenderdetails"/>
    <w:rsid w:val="00C0752D"/>
  </w:style>
  <w:style w:type="paragraph" w:styleId="NoSpacing">
    <w:name w:val="No Spacing"/>
    <w:uiPriority w:val="1"/>
    <w:qFormat/>
    <w:rsid w:val="00F13428"/>
    <w:pPr>
      <w:spacing w:after="0" w:line="240" w:lineRule="auto"/>
    </w:pPr>
  </w:style>
  <w:style w:type="character" w:customStyle="1" w:styleId="SubjectlineChar">
    <w:name w:val="Subject line Char"/>
    <w:basedOn w:val="DefaultParagraphFont"/>
    <w:link w:val="Subjectline"/>
    <w:rsid w:val="00B02F15"/>
    <w:rPr>
      <w:b/>
      <w:bCs/>
    </w:rPr>
  </w:style>
  <w:style w:type="paragraph" w:customStyle="1" w:styleId="subsection">
    <w:name w:val="subsection"/>
    <w:aliases w:val="ss"/>
    <w:basedOn w:val="Normal"/>
    <w:link w:val="subsectionChar"/>
    <w:rsid w:val="00220523"/>
    <w:pPr>
      <w:tabs>
        <w:tab w:val="right" w:pos="1021"/>
      </w:tabs>
      <w:spacing w:before="180" w:after="0" w:line="240" w:lineRule="auto"/>
      <w:ind w:left="1134" w:hanging="1134"/>
    </w:pPr>
    <w:rPr>
      <w:rFonts w:ascii="Times New Roman" w:eastAsia="Times New Roman" w:hAnsi="Times New Roman" w:cs="Times New Roman"/>
      <w:lang w:eastAsia="en-AU"/>
    </w:rPr>
  </w:style>
  <w:style w:type="character" w:customStyle="1" w:styleId="subsectionChar">
    <w:name w:val="subsection Char"/>
    <w:aliases w:val="ss Char"/>
    <w:basedOn w:val="DefaultParagraphFont"/>
    <w:link w:val="subsection"/>
    <w:rsid w:val="00220523"/>
    <w:rPr>
      <w:rFonts w:ascii="Times New Roman" w:eastAsia="Times New Roman" w:hAnsi="Times New Roman" w:cs="Times New Roman"/>
      <w:szCs w:val="20"/>
      <w:lang w:eastAsia="en-AU"/>
    </w:rPr>
  </w:style>
  <w:style w:type="table" w:styleId="TableGrid">
    <w:name w:val="Table Grid"/>
    <w:basedOn w:val="TableNormal"/>
    <w:uiPriority w:val="39"/>
    <w:rsid w:val="00F1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13428"/>
    <w:rPr>
      <w:caps/>
      <w:color w:val="367079" w:themeColor="accent1" w:themeShade="BF"/>
      <w:spacing w:val="10"/>
    </w:rPr>
  </w:style>
  <w:style w:type="character" w:customStyle="1" w:styleId="Heading8Char">
    <w:name w:val="Heading 8 Char"/>
    <w:basedOn w:val="DefaultParagraphFont"/>
    <w:link w:val="Heading8"/>
    <w:uiPriority w:val="9"/>
    <w:semiHidden/>
    <w:rsid w:val="00F13428"/>
    <w:rPr>
      <w:caps/>
      <w:spacing w:val="10"/>
      <w:sz w:val="18"/>
      <w:szCs w:val="18"/>
    </w:rPr>
  </w:style>
  <w:style w:type="paragraph" w:styleId="Caption">
    <w:name w:val="caption"/>
    <w:basedOn w:val="Normal"/>
    <w:next w:val="Normal"/>
    <w:uiPriority w:val="35"/>
    <w:semiHidden/>
    <w:unhideWhenUsed/>
    <w:qFormat/>
    <w:rsid w:val="00F13428"/>
    <w:rPr>
      <w:b/>
      <w:bCs/>
      <w:color w:val="367079" w:themeColor="accent1" w:themeShade="BF"/>
      <w:sz w:val="16"/>
      <w:szCs w:val="16"/>
    </w:rPr>
  </w:style>
  <w:style w:type="paragraph" w:styleId="Title">
    <w:name w:val="Title"/>
    <w:basedOn w:val="Normal"/>
    <w:next w:val="Normal"/>
    <w:link w:val="TitleChar"/>
    <w:uiPriority w:val="10"/>
    <w:qFormat/>
    <w:rsid w:val="00F13428"/>
    <w:pPr>
      <w:spacing w:before="0" w:after="0"/>
    </w:pPr>
    <w:rPr>
      <w:rFonts w:asciiTheme="majorHAnsi" w:eastAsiaTheme="majorEastAsia" w:hAnsiTheme="majorHAnsi" w:cstheme="majorBidi"/>
      <w:caps/>
      <w:color w:val="4897A2" w:themeColor="accent1"/>
      <w:spacing w:val="10"/>
      <w:sz w:val="52"/>
      <w:szCs w:val="52"/>
    </w:rPr>
  </w:style>
  <w:style w:type="character" w:customStyle="1" w:styleId="TitleChar">
    <w:name w:val="Title Char"/>
    <w:basedOn w:val="DefaultParagraphFont"/>
    <w:link w:val="Title"/>
    <w:uiPriority w:val="10"/>
    <w:rsid w:val="00F13428"/>
    <w:rPr>
      <w:rFonts w:asciiTheme="majorHAnsi" w:eastAsiaTheme="majorEastAsia" w:hAnsiTheme="majorHAnsi" w:cstheme="majorBidi"/>
      <w:caps/>
      <w:color w:val="4897A2" w:themeColor="accent1"/>
      <w:spacing w:val="10"/>
      <w:sz w:val="52"/>
      <w:szCs w:val="52"/>
    </w:rPr>
  </w:style>
  <w:style w:type="paragraph" w:styleId="Subtitle">
    <w:name w:val="Subtitle"/>
    <w:basedOn w:val="Normal"/>
    <w:next w:val="Normal"/>
    <w:link w:val="SubtitleChar"/>
    <w:uiPriority w:val="11"/>
    <w:qFormat/>
    <w:rsid w:val="00F1342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3428"/>
    <w:rPr>
      <w:caps/>
      <w:color w:val="595959" w:themeColor="text1" w:themeTint="A6"/>
      <w:spacing w:val="10"/>
      <w:sz w:val="21"/>
      <w:szCs w:val="21"/>
    </w:rPr>
  </w:style>
  <w:style w:type="character" w:styleId="Emphasis">
    <w:name w:val="Emphasis"/>
    <w:uiPriority w:val="20"/>
    <w:qFormat/>
    <w:rsid w:val="00F13428"/>
    <w:rPr>
      <w:caps/>
      <w:color w:val="234A50" w:themeColor="accent1" w:themeShade="7F"/>
      <w:spacing w:val="5"/>
    </w:rPr>
  </w:style>
  <w:style w:type="paragraph" w:styleId="Quote">
    <w:name w:val="Quote"/>
    <w:basedOn w:val="Normal"/>
    <w:next w:val="Normal"/>
    <w:link w:val="QuoteChar"/>
    <w:uiPriority w:val="29"/>
    <w:qFormat/>
    <w:rsid w:val="00F13428"/>
    <w:rPr>
      <w:i/>
      <w:iCs/>
      <w:sz w:val="24"/>
      <w:szCs w:val="24"/>
    </w:rPr>
  </w:style>
  <w:style w:type="character" w:customStyle="1" w:styleId="QuoteChar">
    <w:name w:val="Quote Char"/>
    <w:basedOn w:val="DefaultParagraphFont"/>
    <w:link w:val="Quote"/>
    <w:uiPriority w:val="29"/>
    <w:rsid w:val="00F13428"/>
    <w:rPr>
      <w:i/>
      <w:iCs/>
      <w:sz w:val="24"/>
      <w:szCs w:val="24"/>
    </w:rPr>
  </w:style>
  <w:style w:type="paragraph" w:styleId="IntenseQuote">
    <w:name w:val="Intense Quote"/>
    <w:basedOn w:val="Normal"/>
    <w:next w:val="Normal"/>
    <w:link w:val="IntenseQuoteChar"/>
    <w:uiPriority w:val="30"/>
    <w:qFormat/>
    <w:rsid w:val="00F13428"/>
    <w:pPr>
      <w:spacing w:before="240" w:after="240" w:line="240" w:lineRule="auto"/>
      <w:ind w:left="1080" w:right="1080"/>
      <w:jc w:val="center"/>
    </w:pPr>
    <w:rPr>
      <w:color w:val="4897A2" w:themeColor="accent1"/>
      <w:sz w:val="24"/>
      <w:szCs w:val="24"/>
    </w:rPr>
  </w:style>
  <w:style w:type="character" w:customStyle="1" w:styleId="IntenseQuoteChar">
    <w:name w:val="Intense Quote Char"/>
    <w:basedOn w:val="DefaultParagraphFont"/>
    <w:link w:val="IntenseQuote"/>
    <w:uiPriority w:val="30"/>
    <w:rsid w:val="00F13428"/>
    <w:rPr>
      <w:color w:val="4897A2" w:themeColor="accent1"/>
      <w:sz w:val="24"/>
      <w:szCs w:val="24"/>
    </w:rPr>
  </w:style>
  <w:style w:type="character" w:styleId="SubtleEmphasis">
    <w:name w:val="Subtle Emphasis"/>
    <w:uiPriority w:val="19"/>
    <w:qFormat/>
    <w:rsid w:val="00F13428"/>
    <w:rPr>
      <w:i/>
      <w:iCs/>
      <w:color w:val="234A50" w:themeColor="accent1" w:themeShade="7F"/>
    </w:rPr>
  </w:style>
  <w:style w:type="character" w:styleId="IntenseEmphasis">
    <w:name w:val="Intense Emphasis"/>
    <w:uiPriority w:val="21"/>
    <w:qFormat/>
    <w:rsid w:val="00F13428"/>
    <w:rPr>
      <w:b/>
      <w:bCs/>
      <w:caps/>
      <w:color w:val="234A50" w:themeColor="accent1" w:themeShade="7F"/>
      <w:spacing w:val="10"/>
    </w:rPr>
  </w:style>
  <w:style w:type="character" w:styleId="SubtleReference">
    <w:name w:val="Subtle Reference"/>
    <w:uiPriority w:val="31"/>
    <w:qFormat/>
    <w:rsid w:val="00F13428"/>
    <w:rPr>
      <w:b/>
      <w:bCs/>
      <w:color w:val="4897A2" w:themeColor="accent1"/>
    </w:rPr>
  </w:style>
  <w:style w:type="character" w:styleId="IntenseReference">
    <w:name w:val="Intense Reference"/>
    <w:uiPriority w:val="32"/>
    <w:qFormat/>
    <w:rsid w:val="00F13428"/>
    <w:rPr>
      <w:b/>
      <w:bCs/>
      <w:i/>
      <w:iCs/>
      <w:caps/>
      <w:color w:val="4897A2" w:themeColor="accent1"/>
    </w:rPr>
  </w:style>
  <w:style w:type="character" w:styleId="BookTitle">
    <w:name w:val="Book Title"/>
    <w:uiPriority w:val="33"/>
    <w:qFormat/>
    <w:rsid w:val="00F13428"/>
    <w:rPr>
      <w:b/>
      <w:bCs/>
      <w:i/>
      <w:iCs/>
      <w:spacing w:val="0"/>
    </w:rPr>
  </w:style>
  <w:style w:type="paragraph" w:styleId="TOCHeading">
    <w:name w:val="TOC Heading"/>
    <w:basedOn w:val="Heading1"/>
    <w:next w:val="Normal"/>
    <w:uiPriority w:val="39"/>
    <w:semiHidden/>
    <w:unhideWhenUsed/>
    <w:qFormat/>
    <w:rsid w:val="00F13428"/>
    <w:pPr>
      <w:outlineLvl w:val="9"/>
    </w:pPr>
  </w:style>
  <w:style w:type="paragraph" w:styleId="FootnoteText">
    <w:name w:val="footnote text"/>
    <w:basedOn w:val="Normal"/>
    <w:link w:val="FootnoteTextChar"/>
    <w:uiPriority w:val="99"/>
    <w:semiHidden/>
    <w:unhideWhenUsed/>
    <w:rsid w:val="00DC058C"/>
    <w:pPr>
      <w:spacing w:before="0" w:after="0" w:line="240" w:lineRule="auto"/>
    </w:pPr>
  </w:style>
  <w:style w:type="character" w:customStyle="1" w:styleId="FootnoteTextChar">
    <w:name w:val="Footnote Text Char"/>
    <w:basedOn w:val="DefaultParagraphFont"/>
    <w:link w:val="FootnoteText"/>
    <w:uiPriority w:val="99"/>
    <w:semiHidden/>
    <w:rsid w:val="00DC058C"/>
  </w:style>
  <w:style w:type="character" w:styleId="FootnoteReference">
    <w:name w:val="footnote reference"/>
    <w:basedOn w:val="DefaultParagraphFont"/>
    <w:uiPriority w:val="99"/>
    <w:semiHidden/>
    <w:unhideWhenUsed/>
    <w:rsid w:val="00DC058C"/>
    <w:rPr>
      <w:vertAlign w:val="superscript"/>
    </w:rPr>
  </w:style>
  <w:style w:type="paragraph" w:styleId="Revision">
    <w:name w:val="Revision"/>
    <w:hidden/>
    <w:uiPriority w:val="99"/>
    <w:semiHidden/>
    <w:rsid w:val="00FF3952"/>
    <w:pPr>
      <w:spacing w:before="0" w:after="0" w:line="240" w:lineRule="auto"/>
    </w:pPr>
  </w:style>
  <w:style w:type="character" w:styleId="CommentReference">
    <w:name w:val="annotation reference"/>
    <w:basedOn w:val="DefaultParagraphFont"/>
    <w:uiPriority w:val="99"/>
    <w:semiHidden/>
    <w:unhideWhenUsed/>
    <w:rsid w:val="00F11B03"/>
    <w:rPr>
      <w:sz w:val="16"/>
      <w:szCs w:val="16"/>
    </w:rPr>
  </w:style>
  <w:style w:type="paragraph" w:styleId="CommentText">
    <w:name w:val="annotation text"/>
    <w:basedOn w:val="Normal"/>
    <w:link w:val="CommentTextChar"/>
    <w:uiPriority w:val="99"/>
    <w:unhideWhenUsed/>
    <w:rsid w:val="00F11B03"/>
    <w:pPr>
      <w:spacing w:line="240" w:lineRule="auto"/>
    </w:pPr>
  </w:style>
  <w:style w:type="character" w:customStyle="1" w:styleId="CommentTextChar">
    <w:name w:val="Comment Text Char"/>
    <w:basedOn w:val="DefaultParagraphFont"/>
    <w:link w:val="CommentText"/>
    <w:uiPriority w:val="99"/>
    <w:rsid w:val="00F11B03"/>
  </w:style>
  <w:style w:type="paragraph" w:styleId="CommentSubject">
    <w:name w:val="annotation subject"/>
    <w:basedOn w:val="CommentText"/>
    <w:next w:val="CommentText"/>
    <w:link w:val="CommentSubjectChar"/>
    <w:uiPriority w:val="99"/>
    <w:semiHidden/>
    <w:unhideWhenUsed/>
    <w:rsid w:val="00F11B03"/>
    <w:rPr>
      <w:b/>
      <w:bCs/>
    </w:rPr>
  </w:style>
  <w:style w:type="character" w:customStyle="1" w:styleId="CommentSubjectChar">
    <w:name w:val="Comment Subject Char"/>
    <w:basedOn w:val="CommentTextChar"/>
    <w:link w:val="CommentSubject"/>
    <w:uiPriority w:val="99"/>
    <w:semiHidden/>
    <w:rsid w:val="00F11B03"/>
    <w:rPr>
      <w:b/>
      <w:bCs/>
    </w:rPr>
  </w:style>
  <w:style w:type="paragraph" w:styleId="BalloonText">
    <w:name w:val="Balloon Text"/>
    <w:basedOn w:val="Normal"/>
    <w:link w:val="BalloonTextChar"/>
    <w:uiPriority w:val="99"/>
    <w:semiHidden/>
    <w:unhideWhenUsed/>
    <w:rsid w:val="006A50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05C"/>
    <w:rPr>
      <w:rFonts w:ascii="Segoe UI" w:hAnsi="Segoe UI" w:cs="Segoe UI"/>
      <w:sz w:val="18"/>
      <w:szCs w:val="18"/>
    </w:rPr>
  </w:style>
  <w:style w:type="character" w:styleId="Mention">
    <w:name w:val="Mention"/>
    <w:basedOn w:val="DefaultParagraphFont"/>
    <w:uiPriority w:val="99"/>
    <w:unhideWhenUsed/>
    <w:rsid w:val="00651989"/>
    <w:rPr>
      <w:color w:val="2B579A"/>
      <w:shd w:val="clear" w:color="auto" w:fill="E1DFDD"/>
    </w:rPr>
  </w:style>
  <w:style w:type="paragraph" w:customStyle="1" w:styleId="paragraph">
    <w:name w:val="paragraph"/>
    <w:basedOn w:val="Normal"/>
    <w:rsid w:val="002674C0"/>
    <w:pPr>
      <w:spacing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674C0"/>
  </w:style>
  <w:style w:type="character" w:customStyle="1" w:styleId="eop">
    <w:name w:val="eop"/>
    <w:basedOn w:val="DefaultParagraphFont"/>
    <w:rsid w:val="002674C0"/>
  </w:style>
  <w:style w:type="character" w:customStyle="1" w:styleId="scxw260585847">
    <w:name w:val="scxw260585847"/>
    <w:basedOn w:val="DefaultParagraphFont"/>
    <w:rsid w:val="002674C0"/>
  </w:style>
  <w:style w:type="table" w:styleId="GridTable4-Accent1">
    <w:name w:val="Grid Table 4 Accent 1"/>
    <w:basedOn w:val="TableNormal"/>
    <w:uiPriority w:val="49"/>
    <w:rsid w:val="002674C0"/>
    <w:pPr>
      <w:spacing w:after="0" w:line="240" w:lineRule="auto"/>
    </w:pPr>
    <w:tblPr>
      <w:tblStyleRowBandSize w:val="1"/>
      <w:tblStyleCol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rPr>
        <w:b/>
        <w:bCs/>
        <w:color w:val="FFFFFF" w:themeColor="background1"/>
      </w:rPr>
      <w:tblPr/>
      <w:tcPr>
        <w:tcBorders>
          <w:top w:val="single" w:sz="4" w:space="0" w:color="4897A2" w:themeColor="accent1"/>
          <w:left w:val="single" w:sz="4" w:space="0" w:color="4897A2" w:themeColor="accent1"/>
          <w:bottom w:val="single" w:sz="4" w:space="0" w:color="4897A2" w:themeColor="accent1"/>
          <w:right w:val="single" w:sz="4" w:space="0" w:color="4897A2" w:themeColor="accent1"/>
          <w:insideH w:val="nil"/>
          <w:insideV w:val="nil"/>
        </w:tcBorders>
        <w:shd w:val="clear" w:color="auto" w:fill="4897A2" w:themeFill="accent1"/>
      </w:tcPr>
    </w:tblStylePr>
    <w:tblStylePr w:type="lastRow">
      <w:rPr>
        <w:b/>
        <w:bCs/>
      </w:rPr>
      <w:tblPr/>
      <w:tcPr>
        <w:tcBorders>
          <w:top w:val="double" w:sz="4" w:space="0" w:color="4897A2" w:themeColor="accent1"/>
        </w:tcBorders>
      </w:tcPr>
    </w:tblStylePr>
    <w:tblStylePr w:type="firstCol">
      <w:rPr>
        <w:b/>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character" w:customStyle="1" w:styleId="scxw120832565">
    <w:name w:val="scxw120832565"/>
    <w:basedOn w:val="DefaultParagraphFont"/>
    <w:rsid w:val="005D56D3"/>
  </w:style>
  <w:style w:type="character" w:customStyle="1" w:styleId="scxw196694745">
    <w:name w:val="scxw196694745"/>
    <w:basedOn w:val="DefaultParagraphFont"/>
    <w:rsid w:val="008D56F3"/>
  </w:style>
  <w:style w:type="paragraph" w:styleId="EndnoteText">
    <w:name w:val="endnote text"/>
    <w:basedOn w:val="Normal"/>
    <w:link w:val="EndnoteTextChar"/>
    <w:uiPriority w:val="99"/>
    <w:semiHidden/>
    <w:unhideWhenUsed/>
    <w:rsid w:val="00860CF8"/>
    <w:pPr>
      <w:spacing w:before="0" w:after="0" w:line="240" w:lineRule="auto"/>
    </w:pPr>
  </w:style>
  <w:style w:type="character" w:customStyle="1" w:styleId="EndnoteTextChar">
    <w:name w:val="Endnote Text Char"/>
    <w:basedOn w:val="DefaultParagraphFont"/>
    <w:link w:val="EndnoteText"/>
    <w:uiPriority w:val="99"/>
    <w:semiHidden/>
    <w:rsid w:val="00860CF8"/>
  </w:style>
  <w:style w:type="character" w:styleId="EndnoteReference">
    <w:name w:val="endnote reference"/>
    <w:basedOn w:val="DefaultParagraphFont"/>
    <w:uiPriority w:val="99"/>
    <w:semiHidden/>
    <w:unhideWhenUsed/>
    <w:rsid w:val="00860CF8"/>
    <w:rPr>
      <w:vertAlign w:val="superscript"/>
    </w:rPr>
  </w:style>
  <w:style w:type="character" w:customStyle="1" w:styleId="ListParagraphChar">
    <w:name w:val="List Paragraph Char"/>
    <w:basedOn w:val="DefaultParagraphFont"/>
    <w:link w:val="ListParagraph"/>
    <w:uiPriority w:val="34"/>
    <w:rsid w:val="0004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5718">
      <w:bodyDiv w:val="1"/>
      <w:marLeft w:val="0"/>
      <w:marRight w:val="0"/>
      <w:marTop w:val="0"/>
      <w:marBottom w:val="0"/>
      <w:divBdr>
        <w:top w:val="none" w:sz="0" w:space="0" w:color="auto"/>
        <w:left w:val="none" w:sz="0" w:space="0" w:color="auto"/>
        <w:bottom w:val="none" w:sz="0" w:space="0" w:color="auto"/>
        <w:right w:val="none" w:sz="0" w:space="0" w:color="auto"/>
      </w:divBdr>
    </w:div>
    <w:div w:id="572350262">
      <w:bodyDiv w:val="1"/>
      <w:marLeft w:val="0"/>
      <w:marRight w:val="0"/>
      <w:marTop w:val="0"/>
      <w:marBottom w:val="0"/>
      <w:divBdr>
        <w:top w:val="none" w:sz="0" w:space="0" w:color="auto"/>
        <w:left w:val="none" w:sz="0" w:space="0" w:color="auto"/>
        <w:bottom w:val="none" w:sz="0" w:space="0" w:color="auto"/>
        <w:right w:val="none" w:sz="0" w:space="0" w:color="auto"/>
      </w:divBdr>
    </w:div>
    <w:div w:id="872574306">
      <w:bodyDiv w:val="1"/>
      <w:marLeft w:val="0"/>
      <w:marRight w:val="0"/>
      <w:marTop w:val="0"/>
      <w:marBottom w:val="0"/>
      <w:divBdr>
        <w:top w:val="none" w:sz="0" w:space="0" w:color="auto"/>
        <w:left w:val="none" w:sz="0" w:space="0" w:color="auto"/>
        <w:bottom w:val="none" w:sz="0" w:space="0" w:color="auto"/>
        <w:right w:val="none" w:sz="0" w:space="0" w:color="auto"/>
      </w:divBdr>
      <w:divsChild>
        <w:div w:id="450903169">
          <w:marLeft w:val="0"/>
          <w:marRight w:val="0"/>
          <w:marTop w:val="0"/>
          <w:marBottom w:val="0"/>
          <w:divBdr>
            <w:top w:val="none" w:sz="0" w:space="0" w:color="auto"/>
            <w:left w:val="none" w:sz="0" w:space="0" w:color="auto"/>
            <w:bottom w:val="none" w:sz="0" w:space="0" w:color="auto"/>
            <w:right w:val="none" w:sz="0" w:space="0" w:color="auto"/>
          </w:divBdr>
          <w:divsChild>
            <w:div w:id="972441405">
              <w:marLeft w:val="0"/>
              <w:marRight w:val="0"/>
              <w:marTop w:val="0"/>
              <w:marBottom w:val="0"/>
              <w:divBdr>
                <w:top w:val="none" w:sz="0" w:space="0" w:color="auto"/>
                <w:left w:val="none" w:sz="0" w:space="0" w:color="auto"/>
                <w:bottom w:val="none" w:sz="0" w:space="0" w:color="auto"/>
                <w:right w:val="none" w:sz="0" w:space="0" w:color="auto"/>
              </w:divBdr>
            </w:div>
          </w:divsChild>
        </w:div>
        <w:div w:id="720402075">
          <w:marLeft w:val="0"/>
          <w:marRight w:val="0"/>
          <w:marTop w:val="0"/>
          <w:marBottom w:val="0"/>
          <w:divBdr>
            <w:top w:val="none" w:sz="0" w:space="0" w:color="auto"/>
            <w:left w:val="none" w:sz="0" w:space="0" w:color="auto"/>
            <w:bottom w:val="none" w:sz="0" w:space="0" w:color="auto"/>
            <w:right w:val="none" w:sz="0" w:space="0" w:color="auto"/>
          </w:divBdr>
          <w:divsChild>
            <w:div w:id="1454208113">
              <w:marLeft w:val="0"/>
              <w:marRight w:val="0"/>
              <w:marTop w:val="0"/>
              <w:marBottom w:val="0"/>
              <w:divBdr>
                <w:top w:val="none" w:sz="0" w:space="0" w:color="auto"/>
                <w:left w:val="none" w:sz="0" w:space="0" w:color="auto"/>
                <w:bottom w:val="none" w:sz="0" w:space="0" w:color="auto"/>
                <w:right w:val="none" w:sz="0" w:space="0" w:color="auto"/>
              </w:divBdr>
            </w:div>
          </w:divsChild>
        </w:div>
        <w:div w:id="1090737874">
          <w:marLeft w:val="0"/>
          <w:marRight w:val="0"/>
          <w:marTop w:val="0"/>
          <w:marBottom w:val="0"/>
          <w:divBdr>
            <w:top w:val="none" w:sz="0" w:space="0" w:color="auto"/>
            <w:left w:val="none" w:sz="0" w:space="0" w:color="auto"/>
            <w:bottom w:val="none" w:sz="0" w:space="0" w:color="auto"/>
            <w:right w:val="none" w:sz="0" w:space="0" w:color="auto"/>
          </w:divBdr>
          <w:divsChild>
            <w:div w:id="708261790">
              <w:marLeft w:val="0"/>
              <w:marRight w:val="0"/>
              <w:marTop w:val="0"/>
              <w:marBottom w:val="0"/>
              <w:divBdr>
                <w:top w:val="none" w:sz="0" w:space="0" w:color="auto"/>
                <w:left w:val="none" w:sz="0" w:space="0" w:color="auto"/>
                <w:bottom w:val="none" w:sz="0" w:space="0" w:color="auto"/>
                <w:right w:val="none" w:sz="0" w:space="0" w:color="auto"/>
              </w:divBdr>
            </w:div>
          </w:divsChild>
        </w:div>
        <w:div w:id="1785609232">
          <w:marLeft w:val="0"/>
          <w:marRight w:val="0"/>
          <w:marTop w:val="0"/>
          <w:marBottom w:val="0"/>
          <w:divBdr>
            <w:top w:val="none" w:sz="0" w:space="0" w:color="auto"/>
            <w:left w:val="none" w:sz="0" w:space="0" w:color="auto"/>
            <w:bottom w:val="none" w:sz="0" w:space="0" w:color="auto"/>
            <w:right w:val="none" w:sz="0" w:space="0" w:color="auto"/>
          </w:divBdr>
          <w:divsChild>
            <w:div w:id="1262644541">
              <w:marLeft w:val="0"/>
              <w:marRight w:val="0"/>
              <w:marTop w:val="0"/>
              <w:marBottom w:val="0"/>
              <w:divBdr>
                <w:top w:val="none" w:sz="0" w:space="0" w:color="auto"/>
                <w:left w:val="none" w:sz="0" w:space="0" w:color="auto"/>
                <w:bottom w:val="none" w:sz="0" w:space="0" w:color="auto"/>
                <w:right w:val="none" w:sz="0" w:space="0" w:color="auto"/>
              </w:divBdr>
            </w:div>
          </w:divsChild>
        </w:div>
        <w:div w:id="2020421377">
          <w:marLeft w:val="0"/>
          <w:marRight w:val="0"/>
          <w:marTop w:val="0"/>
          <w:marBottom w:val="0"/>
          <w:divBdr>
            <w:top w:val="none" w:sz="0" w:space="0" w:color="auto"/>
            <w:left w:val="none" w:sz="0" w:space="0" w:color="auto"/>
            <w:bottom w:val="none" w:sz="0" w:space="0" w:color="auto"/>
            <w:right w:val="none" w:sz="0" w:space="0" w:color="auto"/>
          </w:divBdr>
          <w:divsChild>
            <w:div w:id="1360428457">
              <w:marLeft w:val="0"/>
              <w:marRight w:val="0"/>
              <w:marTop w:val="0"/>
              <w:marBottom w:val="0"/>
              <w:divBdr>
                <w:top w:val="none" w:sz="0" w:space="0" w:color="auto"/>
                <w:left w:val="none" w:sz="0" w:space="0" w:color="auto"/>
                <w:bottom w:val="none" w:sz="0" w:space="0" w:color="auto"/>
                <w:right w:val="none" w:sz="0" w:space="0" w:color="auto"/>
              </w:divBdr>
            </w:div>
          </w:divsChild>
        </w:div>
        <w:div w:id="2130708085">
          <w:marLeft w:val="0"/>
          <w:marRight w:val="0"/>
          <w:marTop w:val="0"/>
          <w:marBottom w:val="0"/>
          <w:divBdr>
            <w:top w:val="none" w:sz="0" w:space="0" w:color="auto"/>
            <w:left w:val="none" w:sz="0" w:space="0" w:color="auto"/>
            <w:bottom w:val="none" w:sz="0" w:space="0" w:color="auto"/>
            <w:right w:val="none" w:sz="0" w:space="0" w:color="auto"/>
          </w:divBdr>
          <w:divsChild>
            <w:div w:id="17145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8380">
      <w:bodyDiv w:val="1"/>
      <w:marLeft w:val="0"/>
      <w:marRight w:val="0"/>
      <w:marTop w:val="0"/>
      <w:marBottom w:val="0"/>
      <w:divBdr>
        <w:top w:val="none" w:sz="0" w:space="0" w:color="auto"/>
        <w:left w:val="none" w:sz="0" w:space="0" w:color="auto"/>
        <w:bottom w:val="none" w:sz="0" w:space="0" w:color="auto"/>
        <w:right w:val="none" w:sz="0" w:space="0" w:color="auto"/>
      </w:divBdr>
      <w:divsChild>
        <w:div w:id="27872434">
          <w:marLeft w:val="0"/>
          <w:marRight w:val="0"/>
          <w:marTop w:val="0"/>
          <w:marBottom w:val="0"/>
          <w:divBdr>
            <w:top w:val="none" w:sz="0" w:space="0" w:color="auto"/>
            <w:left w:val="none" w:sz="0" w:space="0" w:color="auto"/>
            <w:bottom w:val="none" w:sz="0" w:space="0" w:color="auto"/>
            <w:right w:val="none" w:sz="0" w:space="0" w:color="auto"/>
          </w:divBdr>
          <w:divsChild>
            <w:div w:id="1209685508">
              <w:marLeft w:val="0"/>
              <w:marRight w:val="0"/>
              <w:marTop w:val="0"/>
              <w:marBottom w:val="0"/>
              <w:divBdr>
                <w:top w:val="none" w:sz="0" w:space="0" w:color="auto"/>
                <w:left w:val="none" w:sz="0" w:space="0" w:color="auto"/>
                <w:bottom w:val="none" w:sz="0" w:space="0" w:color="auto"/>
                <w:right w:val="none" w:sz="0" w:space="0" w:color="auto"/>
              </w:divBdr>
            </w:div>
          </w:divsChild>
        </w:div>
        <w:div w:id="364133825">
          <w:marLeft w:val="0"/>
          <w:marRight w:val="0"/>
          <w:marTop w:val="0"/>
          <w:marBottom w:val="0"/>
          <w:divBdr>
            <w:top w:val="none" w:sz="0" w:space="0" w:color="auto"/>
            <w:left w:val="none" w:sz="0" w:space="0" w:color="auto"/>
            <w:bottom w:val="none" w:sz="0" w:space="0" w:color="auto"/>
            <w:right w:val="none" w:sz="0" w:space="0" w:color="auto"/>
          </w:divBdr>
          <w:divsChild>
            <w:div w:id="99842524">
              <w:marLeft w:val="0"/>
              <w:marRight w:val="0"/>
              <w:marTop w:val="0"/>
              <w:marBottom w:val="0"/>
              <w:divBdr>
                <w:top w:val="none" w:sz="0" w:space="0" w:color="auto"/>
                <w:left w:val="none" w:sz="0" w:space="0" w:color="auto"/>
                <w:bottom w:val="none" w:sz="0" w:space="0" w:color="auto"/>
                <w:right w:val="none" w:sz="0" w:space="0" w:color="auto"/>
              </w:divBdr>
            </w:div>
          </w:divsChild>
        </w:div>
        <w:div w:id="565799264">
          <w:marLeft w:val="0"/>
          <w:marRight w:val="0"/>
          <w:marTop w:val="0"/>
          <w:marBottom w:val="0"/>
          <w:divBdr>
            <w:top w:val="none" w:sz="0" w:space="0" w:color="auto"/>
            <w:left w:val="none" w:sz="0" w:space="0" w:color="auto"/>
            <w:bottom w:val="none" w:sz="0" w:space="0" w:color="auto"/>
            <w:right w:val="none" w:sz="0" w:space="0" w:color="auto"/>
          </w:divBdr>
          <w:divsChild>
            <w:div w:id="1429766014">
              <w:marLeft w:val="0"/>
              <w:marRight w:val="0"/>
              <w:marTop w:val="0"/>
              <w:marBottom w:val="0"/>
              <w:divBdr>
                <w:top w:val="none" w:sz="0" w:space="0" w:color="auto"/>
                <w:left w:val="none" w:sz="0" w:space="0" w:color="auto"/>
                <w:bottom w:val="none" w:sz="0" w:space="0" w:color="auto"/>
                <w:right w:val="none" w:sz="0" w:space="0" w:color="auto"/>
              </w:divBdr>
            </w:div>
          </w:divsChild>
        </w:div>
        <w:div w:id="578253087">
          <w:marLeft w:val="0"/>
          <w:marRight w:val="0"/>
          <w:marTop w:val="0"/>
          <w:marBottom w:val="0"/>
          <w:divBdr>
            <w:top w:val="none" w:sz="0" w:space="0" w:color="auto"/>
            <w:left w:val="none" w:sz="0" w:space="0" w:color="auto"/>
            <w:bottom w:val="none" w:sz="0" w:space="0" w:color="auto"/>
            <w:right w:val="none" w:sz="0" w:space="0" w:color="auto"/>
          </w:divBdr>
          <w:divsChild>
            <w:div w:id="1791440077">
              <w:marLeft w:val="0"/>
              <w:marRight w:val="0"/>
              <w:marTop w:val="0"/>
              <w:marBottom w:val="0"/>
              <w:divBdr>
                <w:top w:val="none" w:sz="0" w:space="0" w:color="auto"/>
                <w:left w:val="none" w:sz="0" w:space="0" w:color="auto"/>
                <w:bottom w:val="none" w:sz="0" w:space="0" w:color="auto"/>
                <w:right w:val="none" w:sz="0" w:space="0" w:color="auto"/>
              </w:divBdr>
            </w:div>
          </w:divsChild>
        </w:div>
        <w:div w:id="1060514490">
          <w:marLeft w:val="0"/>
          <w:marRight w:val="0"/>
          <w:marTop w:val="0"/>
          <w:marBottom w:val="0"/>
          <w:divBdr>
            <w:top w:val="none" w:sz="0" w:space="0" w:color="auto"/>
            <w:left w:val="none" w:sz="0" w:space="0" w:color="auto"/>
            <w:bottom w:val="none" w:sz="0" w:space="0" w:color="auto"/>
            <w:right w:val="none" w:sz="0" w:space="0" w:color="auto"/>
          </w:divBdr>
          <w:divsChild>
            <w:div w:id="1291085669">
              <w:marLeft w:val="0"/>
              <w:marRight w:val="0"/>
              <w:marTop w:val="0"/>
              <w:marBottom w:val="0"/>
              <w:divBdr>
                <w:top w:val="none" w:sz="0" w:space="0" w:color="auto"/>
                <w:left w:val="none" w:sz="0" w:space="0" w:color="auto"/>
                <w:bottom w:val="none" w:sz="0" w:space="0" w:color="auto"/>
                <w:right w:val="none" w:sz="0" w:space="0" w:color="auto"/>
              </w:divBdr>
            </w:div>
          </w:divsChild>
        </w:div>
        <w:div w:id="1067806587">
          <w:marLeft w:val="0"/>
          <w:marRight w:val="0"/>
          <w:marTop w:val="0"/>
          <w:marBottom w:val="0"/>
          <w:divBdr>
            <w:top w:val="none" w:sz="0" w:space="0" w:color="auto"/>
            <w:left w:val="none" w:sz="0" w:space="0" w:color="auto"/>
            <w:bottom w:val="none" w:sz="0" w:space="0" w:color="auto"/>
            <w:right w:val="none" w:sz="0" w:space="0" w:color="auto"/>
          </w:divBdr>
          <w:divsChild>
            <w:div w:id="1010833348">
              <w:marLeft w:val="0"/>
              <w:marRight w:val="0"/>
              <w:marTop w:val="0"/>
              <w:marBottom w:val="0"/>
              <w:divBdr>
                <w:top w:val="none" w:sz="0" w:space="0" w:color="auto"/>
                <w:left w:val="none" w:sz="0" w:space="0" w:color="auto"/>
                <w:bottom w:val="none" w:sz="0" w:space="0" w:color="auto"/>
                <w:right w:val="none" w:sz="0" w:space="0" w:color="auto"/>
              </w:divBdr>
            </w:div>
          </w:divsChild>
        </w:div>
        <w:div w:id="1283223569">
          <w:marLeft w:val="0"/>
          <w:marRight w:val="0"/>
          <w:marTop w:val="0"/>
          <w:marBottom w:val="0"/>
          <w:divBdr>
            <w:top w:val="none" w:sz="0" w:space="0" w:color="auto"/>
            <w:left w:val="none" w:sz="0" w:space="0" w:color="auto"/>
            <w:bottom w:val="none" w:sz="0" w:space="0" w:color="auto"/>
            <w:right w:val="none" w:sz="0" w:space="0" w:color="auto"/>
          </w:divBdr>
          <w:divsChild>
            <w:div w:id="1042561213">
              <w:marLeft w:val="0"/>
              <w:marRight w:val="0"/>
              <w:marTop w:val="0"/>
              <w:marBottom w:val="0"/>
              <w:divBdr>
                <w:top w:val="none" w:sz="0" w:space="0" w:color="auto"/>
                <w:left w:val="none" w:sz="0" w:space="0" w:color="auto"/>
                <w:bottom w:val="none" w:sz="0" w:space="0" w:color="auto"/>
                <w:right w:val="none" w:sz="0" w:space="0" w:color="auto"/>
              </w:divBdr>
            </w:div>
          </w:divsChild>
        </w:div>
        <w:div w:id="1298609336">
          <w:marLeft w:val="0"/>
          <w:marRight w:val="0"/>
          <w:marTop w:val="0"/>
          <w:marBottom w:val="0"/>
          <w:divBdr>
            <w:top w:val="none" w:sz="0" w:space="0" w:color="auto"/>
            <w:left w:val="none" w:sz="0" w:space="0" w:color="auto"/>
            <w:bottom w:val="none" w:sz="0" w:space="0" w:color="auto"/>
            <w:right w:val="none" w:sz="0" w:space="0" w:color="auto"/>
          </w:divBdr>
          <w:divsChild>
            <w:div w:id="2022392321">
              <w:marLeft w:val="0"/>
              <w:marRight w:val="0"/>
              <w:marTop w:val="0"/>
              <w:marBottom w:val="0"/>
              <w:divBdr>
                <w:top w:val="none" w:sz="0" w:space="0" w:color="auto"/>
                <w:left w:val="none" w:sz="0" w:space="0" w:color="auto"/>
                <w:bottom w:val="none" w:sz="0" w:space="0" w:color="auto"/>
                <w:right w:val="none" w:sz="0" w:space="0" w:color="auto"/>
              </w:divBdr>
            </w:div>
          </w:divsChild>
        </w:div>
        <w:div w:id="1749182824">
          <w:marLeft w:val="0"/>
          <w:marRight w:val="0"/>
          <w:marTop w:val="0"/>
          <w:marBottom w:val="0"/>
          <w:divBdr>
            <w:top w:val="none" w:sz="0" w:space="0" w:color="auto"/>
            <w:left w:val="none" w:sz="0" w:space="0" w:color="auto"/>
            <w:bottom w:val="none" w:sz="0" w:space="0" w:color="auto"/>
            <w:right w:val="none" w:sz="0" w:space="0" w:color="auto"/>
          </w:divBdr>
          <w:divsChild>
            <w:div w:id="1988779591">
              <w:marLeft w:val="0"/>
              <w:marRight w:val="0"/>
              <w:marTop w:val="0"/>
              <w:marBottom w:val="0"/>
              <w:divBdr>
                <w:top w:val="none" w:sz="0" w:space="0" w:color="auto"/>
                <w:left w:val="none" w:sz="0" w:space="0" w:color="auto"/>
                <w:bottom w:val="none" w:sz="0" w:space="0" w:color="auto"/>
                <w:right w:val="none" w:sz="0" w:space="0" w:color="auto"/>
              </w:divBdr>
            </w:div>
          </w:divsChild>
        </w:div>
        <w:div w:id="1826705510">
          <w:marLeft w:val="0"/>
          <w:marRight w:val="0"/>
          <w:marTop w:val="0"/>
          <w:marBottom w:val="0"/>
          <w:divBdr>
            <w:top w:val="none" w:sz="0" w:space="0" w:color="auto"/>
            <w:left w:val="none" w:sz="0" w:space="0" w:color="auto"/>
            <w:bottom w:val="none" w:sz="0" w:space="0" w:color="auto"/>
            <w:right w:val="none" w:sz="0" w:space="0" w:color="auto"/>
          </w:divBdr>
          <w:divsChild>
            <w:div w:id="1602447824">
              <w:marLeft w:val="0"/>
              <w:marRight w:val="0"/>
              <w:marTop w:val="0"/>
              <w:marBottom w:val="0"/>
              <w:divBdr>
                <w:top w:val="none" w:sz="0" w:space="0" w:color="auto"/>
                <w:left w:val="none" w:sz="0" w:space="0" w:color="auto"/>
                <w:bottom w:val="none" w:sz="0" w:space="0" w:color="auto"/>
                <w:right w:val="none" w:sz="0" w:space="0" w:color="auto"/>
              </w:divBdr>
            </w:div>
          </w:divsChild>
        </w:div>
        <w:div w:id="1927418796">
          <w:marLeft w:val="0"/>
          <w:marRight w:val="0"/>
          <w:marTop w:val="0"/>
          <w:marBottom w:val="0"/>
          <w:divBdr>
            <w:top w:val="none" w:sz="0" w:space="0" w:color="auto"/>
            <w:left w:val="none" w:sz="0" w:space="0" w:color="auto"/>
            <w:bottom w:val="none" w:sz="0" w:space="0" w:color="auto"/>
            <w:right w:val="none" w:sz="0" w:space="0" w:color="auto"/>
          </w:divBdr>
          <w:divsChild>
            <w:div w:id="1043359774">
              <w:marLeft w:val="0"/>
              <w:marRight w:val="0"/>
              <w:marTop w:val="0"/>
              <w:marBottom w:val="0"/>
              <w:divBdr>
                <w:top w:val="none" w:sz="0" w:space="0" w:color="auto"/>
                <w:left w:val="none" w:sz="0" w:space="0" w:color="auto"/>
                <w:bottom w:val="none" w:sz="0" w:space="0" w:color="auto"/>
                <w:right w:val="none" w:sz="0" w:space="0" w:color="auto"/>
              </w:divBdr>
            </w:div>
          </w:divsChild>
        </w:div>
        <w:div w:id="1947686897">
          <w:marLeft w:val="0"/>
          <w:marRight w:val="0"/>
          <w:marTop w:val="0"/>
          <w:marBottom w:val="0"/>
          <w:divBdr>
            <w:top w:val="none" w:sz="0" w:space="0" w:color="auto"/>
            <w:left w:val="none" w:sz="0" w:space="0" w:color="auto"/>
            <w:bottom w:val="none" w:sz="0" w:space="0" w:color="auto"/>
            <w:right w:val="none" w:sz="0" w:space="0" w:color="auto"/>
          </w:divBdr>
          <w:divsChild>
            <w:div w:id="6304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4250">
      <w:bodyDiv w:val="1"/>
      <w:marLeft w:val="0"/>
      <w:marRight w:val="0"/>
      <w:marTop w:val="0"/>
      <w:marBottom w:val="0"/>
      <w:divBdr>
        <w:top w:val="none" w:sz="0" w:space="0" w:color="auto"/>
        <w:left w:val="none" w:sz="0" w:space="0" w:color="auto"/>
        <w:bottom w:val="none" w:sz="0" w:space="0" w:color="auto"/>
        <w:right w:val="none" w:sz="0" w:space="0" w:color="auto"/>
      </w:divBdr>
      <w:divsChild>
        <w:div w:id="14579302">
          <w:marLeft w:val="0"/>
          <w:marRight w:val="0"/>
          <w:marTop w:val="0"/>
          <w:marBottom w:val="0"/>
          <w:divBdr>
            <w:top w:val="none" w:sz="0" w:space="0" w:color="auto"/>
            <w:left w:val="none" w:sz="0" w:space="0" w:color="auto"/>
            <w:bottom w:val="none" w:sz="0" w:space="0" w:color="auto"/>
            <w:right w:val="none" w:sz="0" w:space="0" w:color="auto"/>
          </w:divBdr>
          <w:divsChild>
            <w:div w:id="331223942">
              <w:marLeft w:val="0"/>
              <w:marRight w:val="0"/>
              <w:marTop w:val="0"/>
              <w:marBottom w:val="0"/>
              <w:divBdr>
                <w:top w:val="none" w:sz="0" w:space="0" w:color="auto"/>
                <w:left w:val="none" w:sz="0" w:space="0" w:color="auto"/>
                <w:bottom w:val="none" w:sz="0" w:space="0" w:color="auto"/>
                <w:right w:val="none" w:sz="0" w:space="0" w:color="auto"/>
              </w:divBdr>
            </w:div>
          </w:divsChild>
        </w:div>
        <w:div w:id="118452373">
          <w:marLeft w:val="0"/>
          <w:marRight w:val="0"/>
          <w:marTop w:val="0"/>
          <w:marBottom w:val="0"/>
          <w:divBdr>
            <w:top w:val="none" w:sz="0" w:space="0" w:color="auto"/>
            <w:left w:val="none" w:sz="0" w:space="0" w:color="auto"/>
            <w:bottom w:val="none" w:sz="0" w:space="0" w:color="auto"/>
            <w:right w:val="none" w:sz="0" w:space="0" w:color="auto"/>
          </w:divBdr>
          <w:divsChild>
            <w:div w:id="2124491435">
              <w:marLeft w:val="0"/>
              <w:marRight w:val="0"/>
              <w:marTop w:val="0"/>
              <w:marBottom w:val="0"/>
              <w:divBdr>
                <w:top w:val="none" w:sz="0" w:space="0" w:color="auto"/>
                <w:left w:val="none" w:sz="0" w:space="0" w:color="auto"/>
                <w:bottom w:val="none" w:sz="0" w:space="0" w:color="auto"/>
                <w:right w:val="none" w:sz="0" w:space="0" w:color="auto"/>
              </w:divBdr>
            </w:div>
          </w:divsChild>
        </w:div>
        <w:div w:id="132337016">
          <w:marLeft w:val="0"/>
          <w:marRight w:val="0"/>
          <w:marTop w:val="0"/>
          <w:marBottom w:val="0"/>
          <w:divBdr>
            <w:top w:val="none" w:sz="0" w:space="0" w:color="auto"/>
            <w:left w:val="none" w:sz="0" w:space="0" w:color="auto"/>
            <w:bottom w:val="none" w:sz="0" w:space="0" w:color="auto"/>
            <w:right w:val="none" w:sz="0" w:space="0" w:color="auto"/>
          </w:divBdr>
          <w:divsChild>
            <w:div w:id="456487534">
              <w:marLeft w:val="0"/>
              <w:marRight w:val="0"/>
              <w:marTop w:val="0"/>
              <w:marBottom w:val="0"/>
              <w:divBdr>
                <w:top w:val="none" w:sz="0" w:space="0" w:color="auto"/>
                <w:left w:val="none" w:sz="0" w:space="0" w:color="auto"/>
                <w:bottom w:val="none" w:sz="0" w:space="0" w:color="auto"/>
                <w:right w:val="none" w:sz="0" w:space="0" w:color="auto"/>
              </w:divBdr>
            </w:div>
          </w:divsChild>
        </w:div>
        <w:div w:id="189495532">
          <w:marLeft w:val="0"/>
          <w:marRight w:val="0"/>
          <w:marTop w:val="0"/>
          <w:marBottom w:val="0"/>
          <w:divBdr>
            <w:top w:val="none" w:sz="0" w:space="0" w:color="auto"/>
            <w:left w:val="none" w:sz="0" w:space="0" w:color="auto"/>
            <w:bottom w:val="none" w:sz="0" w:space="0" w:color="auto"/>
            <w:right w:val="none" w:sz="0" w:space="0" w:color="auto"/>
          </w:divBdr>
          <w:divsChild>
            <w:div w:id="850217219">
              <w:marLeft w:val="0"/>
              <w:marRight w:val="0"/>
              <w:marTop w:val="0"/>
              <w:marBottom w:val="0"/>
              <w:divBdr>
                <w:top w:val="none" w:sz="0" w:space="0" w:color="auto"/>
                <w:left w:val="none" w:sz="0" w:space="0" w:color="auto"/>
                <w:bottom w:val="none" w:sz="0" w:space="0" w:color="auto"/>
                <w:right w:val="none" w:sz="0" w:space="0" w:color="auto"/>
              </w:divBdr>
            </w:div>
          </w:divsChild>
        </w:div>
        <w:div w:id="328867859">
          <w:marLeft w:val="0"/>
          <w:marRight w:val="0"/>
          <w:marTop w:val="0"/>
          <w:marBottom w:val="0"/>
          <w:divBdr>
            <w:top w:val="none" w:sz="0" w:space="0" w:color="auto"/>
            <w:left w:val="none" w:sz="0" w:space="0" w:color="auto"/>
            <w:bottom w:val="none" w:sz="0" w:space="0" w:color="auto"/>
            <w:right w:val="none" w:sz="0" w:space="0" w:color="auto"/>
          </w:divBdr>
          <w:divsChild>
            <w:div w:id="522673042">
              <w:marLeft w:val="0"/>
              <w:marRight w:val="0"/>
              <w:marTop w:val="0"/>
              <w:marBottom w:val="0"/>
              <w:divBdr>
                <w:top w:val="none" w:sz="0" w:space="0" w:color="auto"/>
                <w:left w:val="none" w:sz="0" w:space="0" w:color="auto"/>
                <w:bottom w:val="none" w:sz="0" w:space="0" w:color="auto"/>
                <w:right w:val="none" w:sz="0" w:space="0" w:color="auto"/>
              </w:divBdr>
            </w:div>
          </w:divsChild>
        </w:div>
        <w:div w:id="345444609">
          <w:marLeft w:val="0"/>
          <w:marRight w:val="0"/>
          <w:marTop w:val="0"/>
          <w:marBottom w:val="0"/>
          <w:divBdr>
            <w:top w:val="none" w:sz="0" w:space="0" w:color="auto"/>
            <w:left w:val="none" w:sz="0" w:space="0" w:color="auto"/>
            <w:bottom w:val="none" w:sz="0" w:space="0" w:color="auto"/>
            <w:right w:val="none" w:sz="0" w:space="0" w:color="auto"/>
          </w:divBdr>
          <w:divsChild>
            <w:div w:id="1093280391">
              <w:marLeft w:val="0"/>
              <w:marRight w:val="0"/>
              <w:marTop w:val="0"/>
              <w:marBottom w:val="0"/>
              <w:divBdr>
                <w:top w:val="none" w:sz="0" w:space="0" w:color="auto"/>
                <w:left w:val="none" w:sz="0" w:space="0" w:color="auto"/>
                <w:bottom w:val="none" w:sz="0" w:space="0" w:color="auto"/>
                <w:right w:val="none" w:sz="0" w:space="0" w:color="auto"/>
              </w:divBdr>
            </w:div>
          </w:divsChild>
        </w:div>
        <w:div w:id="355278952">
          <w:marLeft w:val="0"/>
          <w:marRight w:val="0"/>
          <w:marTop w:val="0"/>
          <w:marBottom w:val="0"/>
          <w:divBdr>
            <w:top w:val="none" w:sz="0" w:space="0" w:color="auto"/>
            <w:left w:val="none" w:sz="0" w:space="0" w:color="auto"/>
            <w:bottom w:val="none" w:sz="0" w:space="0" w:color="auto"/>
            <w:right w:val="none" w:sz="0" w:space="0" w:color="auto"/>
          </w:divBdr>
          <w:divsChild>
            <w:div w:id="2035691794">
              <w:marLeft w:val="0"/>
              <w:marRight w:val="0"/>
              <w:marTop w:val="0"/>
              <w:marBottom w:val="0"/>
              <w:divBdr>
                <w:top w:val="none" w:sz="0" w:space="0" w:color="auto"/>
                <w:left w:val="none" w:sz="0" w:space="0" w:color="auto"/>
                <w:bottom w:val="none" w:sz="0" w:space="0" w:color="auto"/>
                <w:right w:val="none" w:sz="0" w:space="0" w:color="auto"/>
              </w:divBdr>
            </w:div>
          </w:divsChild>
        </w:div>
        <w:div w:id="473253918">
          <w:marLeft w:val="0"/>
          <w:marRight w:val="0"/>
          <w:marTop w:val="0"/>
          <w:marBottom w:val="0"/>
          <w:divBdr>
            <w:top w:val="none" w:sz="0" w:space="0" w:color="auto"/>
            <w:left w:val="none" w:sz="0" w:space="0" w:color="auto"/>
            <w:bottom w:val="none" w:sz="0" w:space="0" w:color="auto"/>
            <w:right w:val="none" w:sz="0" w:space="0" w:color="auto"/>
          </w:divBdr>
          <w:divsChild>
            <w:div w:id="695929667">
              <w:marLeft w:val="0"/>
              <w:marRight w:val="0"/>
              <w:marTop w:val="0"/>
              <w:marBottom w:val="0"/>
              <w:divBdr>
                <w:top w:val="none" w:sz="0" w:space="0" w:color="auto"/>
                <w:left w:val="none" w:sz="0" w:space="0" w:color="auto"/>
                <w:bottom w:val="none" w:sz="0" w:space="0" w:color="auto"/>
                <w:right w:val="none" w:sz="0" w:space="0" w:color="auto"/>
              </w:divBdr>
            </w:div>
          </w:divsChild>
        </w:div>
        <w:div w:id="541525105">
          <w:marLeft w:val="0"/>
          <w:marRight w:val="0"/>
          <w:marTop w:val="0"/>
          <w:marBottom w:val="0"/>
          <w:divBdr>
            <w:top w:val="none" w:sz="0" w:space="0" w:color="auto"/>
            <w:left w:val="none" w:sz="0" w:space="0" w:color="auto"/>
            <w:bottom w:val="none" w:sz="0" w:space="0" w:color="auto"/>
            <w:right w:val="none" w:sz="0" w:space="0" w:color="auto"/>
          </w:divBdr>
          <w:divsChild>
            <w:div w:id="1339117891">
              <w:marLeft w:val="0"/>
              <w:marRight w:val="0"/>
              <w:marTop w:val="0"/>
              <w:marBottom w:val="0"/>
              <w:divBdr>
                <w:top w:val="none" w:sz="0" w:space="0" w:color="auto"/>
                <w:left w:val="none" w:sz="0" w:space="0" w:color="auto"/>
                <w:bottom w:val="none" w:sz="0" w:space="0" w:color="auto"/>
                <w:right w:val="none" w:sz="0" w:space="0" w:color="auto"/>
              </w:divBdr>
            </w:div>
          </w:divsChild>
        </w:div>
        <w:div w:id="547910266">
          <w:marLeft w:val="0"/>
          <w:marRight w:val="0"/>
          <w:marTop w:val="0"/>
          <w:marBottom w:val="0"/>
          <w:divBdr>
            <w:top w:val="none" w:sz="0" w:space="0" w:color="auto"/>
            <w:left w:val="none" w:sz="0" w:space="0" w:color="auto"/>
            <w:bottom w:val="none" w:sz="0" w:space="0" w:color="auto"/>
            <w:right w:val="none" w:sz="0" w:space="0" w:color="auto"/>
          </w:divBdr>
          <w:divsChild>
            <w:div w:id="2036346147">
              <w:marLeft w:val="0"/>
              <w:marRight w:val="0"/>
              <w:marTop w:val="0"/>
              <w:marBottom w:val="0"/>
              <w:divBdr>
                <w:top w:val="none" w:sz="0" w:space="0" w:color="auto"/>
                <w:left w:val="none" w:sz="0" w:space="0" w:color="auto"/>
                <w:bottom w:val="none" w:sz="0" w:space="0" w:color="auto"/>
                <w:right w:val="none" w:sz="0" w:space="0" w:color="auto"/>
              </w:divBdr>
            </w:div>
          </w:divsChild>
        </w:div>
        <w:div w:id="751970557">
          <w:marLeft w:val="0"/>
          <w:marRight w:val="0"/>
          <w:marTop w:val="0"/>
          <w:marBottom w:val="0"/>
          <w:divBdr>
            <w:top w:val="none" w:sz="0" w:space="0" w:color="auto"/>
            <w:left w:val="none" w:sz="0" w:space="0" w:color="auto"/>
            <w:bottom w:val="none" w:sz="0" w:space="0" w:color="auto"/>
            <w:right w:val="none" w:sz="0" w:space="0" w:color="auto"/>
          </w:divBdr>
          <w:divsChild>
            <w:div w:id="922177713">
              <w:marLeft w:val="0"/>
              <w:marRight w:val="0"/>
              <w:marTop w:val="0"/>
              <w:marBottom w:val="0"/>
              <w:divBdr>
                <w:top w:val="none" w:sz="0" w:space="0" w:color="auto"/>
                <w:left w:val="none" w:sz="0" w:space="0" w:color="auto"/>
                <w:bottom w:val="none" w:sz="0" w:space="0" w:color="auto"/>
                <w:right w:val="none" w:sz="0" w:space="0" w:color="auto"/>
              </w:divBdr>
            </w:div>
          </w:divsChild>
        </w:div>
        <w:div w:id="804659461">
          <w:marLeft w:val="0"/>
          <w:marRight w:val="0"/>
          <w:marTop w:val="0"/>
          <w:marBottom w:val="0"/>
          <w:divBdr>
            <w:top w:val="none" w:sz="0" w:space="0" w:color="auto"/>
            <w:left w:val="none" w:sz="0" w:space="0" w:color="auto"/>
            <w:bottom w:val="none" w:sz="0" w:space="0" w:color="auto"/>
            <w:right w:val="none" w:sz="0" w:space="0" w:color="auto"/>
          </w:divBdr>
          <w:divsChild>
            <w:div w:id="947739292">
              <w:marLeft w:val="0"/>
              <w:marRight w:val="0"/>
              <w:marTop w:val="0"/>
              <w:marBottom w:val="0"/>
              <w:divBdr>
                <w:top w:val="none" w:sz="0" w:space="0" w:color="auto"/>
                <w:left w:val="none" w:sz="0" w:space="0" w:color="auto"/>
                <w:bottom w:val="none" w:sz="0" w:space="0" w:color="auto"/>
                <w:right w:val="none" w:sz="0" w:space="0" w:color="auto"/>
              </w:divBdr>
            </w:div>
          </w:divsChild>
        </w:div>
        <w:div w:id="808984335">
          <w:marLeft w:val="0"/>
          <w:marRight w:val="0"/>
          <w:marTop w:val="0"/>
          <w:marBottom w:val="0"/>
          <w:divBdr>
            <w:top w:val="none" w:sz="0" w:space="0" w:color="auto"/>
            <w:left w:val="none" w:sz="0" w:space="0" w:color="auto"/>
            <w:bottom w:val="none" w:sz="0" w:space="0" w:color="auto"/>
            <w:right w:val="none" w:sz="0" w:space="0" w:color="auto"/>
          </w:divBdr>
          <w:divsChild>
            <w:div w:id="958680291">
              <w:marLeft w:val="0"/>
              <w:marRight w:val="0"/>
              <w:marTop w:val="0"/>
              <w:marBottom w:val="0"/>
              <w:divBdr>
                <w:top w:val="none" w:sz="0" w:space="0" w:color="auto"/>
                <w:left w:val="none" w:sz="0" w:space="0" w:color="auto"/>
                <w:bottom w:val="none" w:sz="0" w:space="0" w:color="auto"/>
                <w:right w:val="none" w:sz="0" w:space="0" w:color="auto"/>
              </w:divBdr>
            </w:div>
          </w:divsChild>
        </w:div>
        <w:div w:id="822503676">
          <w:marLeft w:val="0"/>
          <w:marRight w:val="0"/>
          <w:marTop w:val="0"/>
          <w:marBottom w:val="0"/>
          <w:divBdr>
            <w:top w:val="none" w:sz="0" w:space="0" w:color="auto"/>
            <w:left w:val="none" w:sz="0" w:space="0" w:color="auto"/>
            <w:bottom w:val="none" w:sz="0" w:space="0" w:color="auto"/>
            <w:right w:val="none" w:sz="0" w:space="0" w:color="auto"/>
          </w:divBdr>
          <w:divsChild>
            <w:div w:id="168058207">
              <w:marLeft w:val="0"/>
              <w:marRight w:val="0"/>
              <w:marTop w:val="0"/>
              <w:marBottom w:val="0"/>
              <w:divBdr>
                <w:top w:val="none" w:sz="0" w:space="0" w:color="auto"/>
                <w:left w:val="none" w:sz="0" w:space="0" w:color="auto"/>
                <w:bottom w:val="none" w:sz="0" w:space="0" w:color="auto"/>
                <w:right w:val="none" w:sz="0" w:space="0" w:color="auto"/>
              </w:divBdr>
            </w:div>
          </w:divsChild>
        </w:div>
        <w:div w:id="880047361">
          <w:marLeft w:val="0"/>
          <w:marRight w:val="0"/>
          <w:marTop w:val="0"/>
          <w:marBottom w:val="0"/>
          <w:divBdr>
            <w:top w:val="none" w:sz="0" w:space="0" w:color="auto"/>
            <w:left w:val="none" w:sz="0" w:space="0" w:color="auto"/>
            <w:bottom w:val="none" w:sz="0" w:space="0" w:color="auto"/>
            <w:right w:val="none" w:sz="0" w:space="0" w:color="auto"/>
          </w:divBdr>
          <w:divsChild>
            <w:div w:id="1165702412">
              <w:marLeft w:val="0"/>
              <w:marRight w:val="0"/>
              <w:marTop w:val="0"/>
              <w:marBottom w:val="0"/>
              <w:divBdr>
                <w:top w:val="none" w:sz="0" w:space="0" w:color="auto"/>
                <w:left w:val="none" w:sz="0" w:space="0" w:color="auto"/>
                <w:bottom w:val="none" w:sz="0" w:space="0" w:color="auto"/>
                <w:right w:val="none" w:sz="0" w:space="0" w:color="auto"/>
              </w:divBdr>
            </w:div>
          </w:divsChild>
        </w:div>
        <w:div w:id="921639536">
          <w:marLeft w:val="0"/>
          <w:marRight w:val="0"/>
          <w:marTop w:val="0"/>
          <w:marBottom w:val="0"/>
          <w:divBdr>
            <w:top w:val="none" w:sz="0" w:space="0" w:color="auto"/>
            <w:left w:val="none" w:sz="0" w:space="0" w:color="auto"/>
            <w:bottom w:val="none" w:sz="0" w:space="0" w:color="auto"/>
            <w:right w:val="none" w:sz="0" w:space="0" w:color="auto"/>
          </w:divBdr>
          <w:divsChild>
            <w:div w:id="359596717">
              <w:marLeft w:val="0"/>
              <w:marRight w:val="0"/>
              <w:marTop w:val="0"/>
              <w:marBottom w:val="0"/>
              <w:divBdr>
                <w:top w:val="none" w:sz="0" w:space="0" w:color="auto"/>
                <w:left w:val="none" w:sz="0" w:space="0" w:color="auto"/>
                <w:bottom w:val="none" w:sz="0" w:space="0" w:color="auto"/>
                <w:right w:val="none" w:sz="0" w:space="0" w:color="auto"/>
              </w:divBdr>
            </w:div>
          </w:divsChild>
        </w:div>
        <w:div w:id="923756057">
          <w:marLeft w:val="0"/>
          <w:marRight w:val="0"/>
          <w:marTop w:val="0"/>
          <w:marBottom w:val="0"/>
          <w:divBdr>
            <w:top w:val="none" w:sz="0" w:space="0" w:color="auto"/>
            <w:left w:val="none" w:sz="0" w:space="0" w:color="auto"/>
            <w:bottom w:val="none" w:sz="0" w:space="0" w:color="auto"/>
            <w:right w:val="none" w:sz="0" w:space="0" w:color="auto"/>
          </w:divBdr>
          <w:divsChild>
            <w:div w:id="1529370701">
              <w:marLeft w:val="0"/>
              <w:marRight w:val="0"/>
              <w:marTop w:val="0"/>
              <w:marBottom w:val="0"/>
              <w:divBdr>
                <w:top w:val="none" w:sz="0" w:space="0" w:color="auto"/>
                <w:left w:val="none" w:sz="0" w:space="0" w:color="auto"/>
                <w:bottom w:val="none" w:sz="0" w:space="0" w:color="auto"/>
                <w:right w:val="none" w:sz="0" w:space="0" w:color="auto"/>
              </w:divBdr>
            </w:div>
          </w:divsChild>
        </w:div>
        <w:div w:id="951522650">
          <w:marLeft w:val="0"/>
          <w:marRight w:val="0"/>
          <w:marTop w:val="0"/>
          <w:marBottom w:val="0"/>
          <w:divBdr>
            <w:top w:val="none" w:sz="0" w:space="0" w:color="auto"/>
            <w:left w:val="none" w:sz="0" w:space="0" w:color="auto"/>
            <w:bottom w:val="none" w:sz="0" w:space="0" w:color="auto"/>
            <w:right w:val="none" w:sz="0" w:space="0" w:color="auto"/>
          </w:divBdr>
          <w:divsChild>
            <w:div w:id="1580746688">
              <w:marLeft w:val="0"/>
              <w:marRight w:val="0"/>
              <w:marTop w:val="0"/>
              <w:marBottom w:val="0"/>
              <w:divBdr>
                <w:top w:val="none" w:sz="0" w:space="0" w:color="auto"/>
                <w:left w:val="none" w:sz="0" w:space="0" w:color="auto"/>
                <w:bottom w:val="none" w:sz="0" w:space="0" w:color="auto"/>
                <w:right w:val="none" w:sz="0" w:space="0" w:color="auto"/>
              </w:divBdr>
            </w:div>
          </w:divsChild>
        </w:div>
        <w:div w:id="976421518">
          <w:marLeft w:val="0"/>
          <w:marRight w:val="0"/>
          <w:marTop w:val="0"/>
          <w:marBottom w:val="0"/>
          <w:divBdr>
            <w:top w:val="none" w:sz="0" w:space="0" w:color="auto"/>
            <w:left w:val="none" w:sz="0" w:space="0" w:color="auto"/>
            <w:bottom w:val="none" w:sz="0" w:space="0" w:color="auto"/>
            <w:right w:val="none" w:sz="0" w:space="0" w:color="auto"/>
          </w:divBdr>
          <w:divsChild>
            <w:div w:id="1027565600">
              <w:marLeft w:val="0"/>
              <w:marRight w:val="0"/>
              <w:marTop w:val="0"/>
              <w:marBottom w:val="0"/>
              <w:divBdr>
                <w:top w:val="none" w:sz="0" w:space="0" w:color="auto"/>
                <w:left w:val="none" w:sz="0" w:space="0" w:color="auto"/>
                <w:bottom w:val="none" w:sz="0" w:space="0" w:color="auto"/>
                <w:right w:val="none" w:sz="0" w:space="0" w:color="auto"/>
              </w:divBdr>
            </w:div>
          </w:divsChild>
        </w:div>
        <w:div w:id="1007177589">
          <w:marLeft w:val="0"/>
          <w:marRight w:val="0"/>
          <w:marTop w:val="0"/>
          <w:marBottom w:val="0"/>
          <w:divBdr>
            <w:top w:val="none" w:sz="0" w:space="0" w:color="auto"/>
            <w:left w:val="none" w:sz="0" w:space="0" w:color="auto"/>
            <w:bottom w:val="none" w:sz="0" w:space="0" w:color="auto"/>
            <w:right w:val="none" w:sz="0" w:space="0" w:color="auto"/>
          </w:divBdr>
          <w:divsChild>
            <w:div w:id="232202757">
              <w:marLeft w:val="0"/>
              <w:marRight w:val="0"/>
              <w:marTop w:val="0"/>
              <w:marBottom w:val="0"/>
              <w:divBdr>
                <w:top w:val="none" w:sz="0" w:space="0" w:color="auto"/>
                <w:left w:val="none" w:sz="0" w:space="0" w:color="auto"/>
                <w:bottom w:val="none" w:sz="0" w:space="0" w:color="auto"/>
                <w:right w:val="none" w:sz="0" w:space="0" w:color="auto"/>
              </w:divBdr>
            </w:div>
          </w:divsChild>
        </w:div>
        <w:div w:id="1008141563">
          <w:marLeft w:val="0"/>
          <w:marRight w:val="0"/>
          <w:marTop w:val="0"/>
          <w:marBottom w:val="0"/>
          <w:divBdr>
            <w:top w:val="none" w:sz="0" w:space="0" w:color="auto"/>
            <w:left w:val="none" w:sz="0" w:space="0" w:color="auto"/>
            <w:bottom w:val="none" w:sz="0" w:space="0" w:color="auto"/>
            <w:right w:val="none" w:sz="0" w:space="0" w:color="auto"/>
          </w:divBdr>
          <w:divsChild>
            <w:div w:id="1359115917">
              <w:marLeft w:val="0"/>
              <w:marRight w:val="0"/>
              <w:marTop w:val="0"/>
              <w:marBottom w:val="0"/>
              <w:divBdr>
                <w:top w:val="none" w:sz="0" w:space="0" w:color="auto"/>
                <w:left w:val="none" w:sz="0" w:space="0" w:color="auto"/>
                <w:bottom w:val="none" w:sz="0" w:space="0" w:color="auto"/>
                <w:right w:val="none" w:sz="0" w:space="0" w:color="auto"/>
              </w:divBdr>
            </w:div>
          </w:divsChild>
        </w:div>
        <w:div w:id="1102342180">
          <w:marLeft w:val="0"/>
          <w:marRight w:val="0"/>
          <w:marTop w:val="0"/>
          <w:marBottom w:val="0"/>
          <w:divBdr>
            <w:top w:val="none" w:sz="0" w:space="0" w:color="auto"/>
            <w:left w:val="none" w:sz="0" w:space="0" w:color="auto"/>
            <w:bottom w:val="none" w:sz="0" w:space="0" w:color="auto"/>
            <w:right w:val="none" w:sz="0" w:space="0" w:color="auto"/>
          </w:divBdr>
          <w:divsChild>
            <w:div w:id="519585881">
              <w:marLeft w:val="0"/>
              <w:marRight w:val="0"/>
              <w:marTop w:val="0"/>
              <w:marBottom w:val="0"/>
              <w:divBdr>
                <w:top w:val="none" w:sz="0" w:space="0" w:color="auto"/>
                <w:left w:val="none" w:sz="0" w:space="0" w:color="auto"/>
                <w:bottom w:val="none" w:sz="0" w:space="0" w:color="auto"/>
                <w:right w:val="none" w:sz="0" w:space="0" w:color="auto"/>
              </w:divBdr>
            </w:div>
          </w:divsChild>
        </w:div>
        <w:div w:id="1155410806">
          <w:marLeft w:val="0"/>
          <w:marRight w:val="0"/>
          <w:marTop w:val="0"/>
          <w:marBottom w:val="0"/>
          <w:divBdr>
            <w:top w:val="none" w:sz="0" w:space="0" w:color="auto"/>
            <w:left w:val="none" w:sz="0" w:space="0" w:color="auto"/>
            <w:bottom w:val="none" w:sz="0" w:space="0" w:color="auto"/>
            <w:right w:val="none" w:sz="0" w:space="0" w:color="auto"/>
          </w:divBdr>
          <w:divsChild>
            <w:div w:id="961501999">
              <w:marLeft w:val="0"/>
              <w:marRight w:val="0"/>
              <w:marTop w:val="0"/>
              <w:marBottom w:val="0"/>
              <w:divBdr>
                <w:top w:val="none" w:sz="0" w:space="0" w:color="auto"/>
                <w:left w:val="none" w:sz="0" w:space="0" w:color="auto"/>
                <w:bottom w:val="none" w:sz="0" w:space="0" w:color="auto"/>
                <w:right w:val="none" w:sz="0" w:space="0" w:color="auto"/>
              </w:divBdr>
            </w:div>
          </w:divsChild>
        </w:div>
        <w:div w:id="1294865836">
          <w:marLeft w:val="0"/>
          <w:marRight w:val="0"/>
          <w:marTop w:val="0"/>
          <w:marBottom w:val="0"/>
          <w:divBdr>
            <w:top w:val="none" w:sz="0" w:space="0" w:color="auto"/>
            <w:left w:val="none" w:sz="0" w:space="0" w:color="auto"/>
            <w:bottom w:val="none" w:sz="0" w:space="0" w:color="auto"/>
            <w:right w:val="none" w:sz="0" w:space="0" w:color="auto"/>
          </w:divBdr>
          <w:divsChild>
            <w:div w:id="1821268160">
              <w:marLeft w:val="0"/>
              <w:marRight w:val="0"/>
              <w:marTop w:val="0"/>
              <w:marBottom w:val="0"/>
              <w:divBdr>
                <w:top w:val="none" w:sz="0" w:space="0" w:color="auto"/>
                <w:left w:val="none" w:sz="0" w:space="0" w:color="auto"/>
                <w:bottom w:val="none" w:sz="0" w:space="0" w:color="auto"/>
                <w:right w:val="none" w:sz="0" w:space="0" w:color="auto"/>
              </w:divBdr>
            </w:div>
          </w:divsChild>
        </w:div>
        <w:div w:id="1356615857">
          <w:marLeft w:val="0"/>
          <w:marRight w:val="0"/>
          <w:marTop w:val="0"/>
          <w:marBottom w:val="0"/>
          <w:divBdr>
            <w:top w:val="none" w:sz="0" w:space="0" w:color="auto"/>
            <w:left w:val="none" w:sz="0" w:space="0" w:color="auto"/>
            <w:bottom w:val="none" w:sz="0" w:space="0" w:color="auto"/>
            <w:right w:val="none" w:sz="0" w:space="0" w:color="auto"/>
          </w:divBdr>
          <w:divsChild>
            <w:div w:id="364214356">
              <w:marLeft w:val="0"/>
              <w:marRight w:val="0"/>
              <w:marTop w:val="0"/>
              <w:marBottom w:val="0"/>
              <w:divBdr>
                <w:top w:val="none" w:sz="0" w:space="0" w:color="auto"/>
                <w:left w:val="none" w:sz="0" w:space="0" w:color="auto"/>
                <w:bottom w:val="none" w:sz="0" w:space="0" w:color="auto"/>
                <w:right w:val="none" w:sz="0" w:space="0" w:color="auto"/>
              </w:divBdr>
            </w:div>
          </w:divsChild>
        </w:div>
        <w:div w:id="1425107313">
          <w:marLeft w:val="0"/>
          <w:marRight w:val="0"/>
          <w:marTop w:val="0"/>
          <w:marBottom w:val="0"/>
          <w:divBdr>
            <w:top w:val="none" w:sz="0" w:space="0" w:color="auto"/>
            <w:left w:val="none" w:sz="0" w:space="0" w:color="auto"/>
            <w:bottom w:val="none" w:sz="0" w:space="0" w:color="auto"/>
            <w:right w:val="none" w:sz="0" w:space="0" w:color="auto"/>
          </w:divBdr>
          <w:divsChild>
            <w:div w:id="141430046">
              <w:marLeft w:val="0"/>
              <w:marRight w:val="0"/>
              <w:marTop w:val="0"/>
              <w:marBottom w:val="0"/>
              <w:divBdr>
                <w:top w:val="none" w:sz="0" w:space="0" w:color="auto"/>
                <w:left w:val="none" w:sz="0" w:space="0" w:color="auto"/>
                <w:bottom w:val="none" w:sz="0" w:space="0" w:color="auto"/>
                <w:right w:val="none" w:sz="0" w:space="0" w:color="auto"/>
              </w:divBdr>
            </w:div>
          </w:divsChild>
        </w:div>
        <w:div w:id="1533763759">
          <w:marLeft w:val="0"/>
          <w:marRight w:val="0"/>
          <w:marTop w:val="0"/>
          <w:marBottom w:val="0"/>
          <w:divBdr>
            <w:top w:val="none" w:sz="0" w:space="0" w:color="auto"/>
            <w:left w:val="none" w:sz="0" w:space="0" w:color="auto"/>
            <w:bottom w:val="none" w:sz="0" w:space="0" w:color="auto"/>
            <w:right w:val="none" w:sz="0" w:space="0" w:color="auto"/>
          </w:divBdr>
          <w:divsChild>
            <w:div w:id="1503087684">
              <w:marLeft w:val="0"/>
              <w:marRight w:val="0"/>
              <w:marTop w:val="0"/>
              <w:marBottom w:val="0"/>
              <w:divBdr>
                <w:top w:val="none" w:sz="0" w:space="0" w:color="auto"/>
                <w:left w:val="none" w:sz="0" w:space="0" w:color="auto"/>
                <w:bottom w:val="none" w:sz="0" w:space="0" w:color="auto"/>
                <w:right w:val="none" w:sz="0" w:space="0" w:color="auto"/>
              </w:divBdr>
            </w:div>
          </w:divsChild>
        </w:div>
        <w:div w:id="1573392384">
          <w:marLeft w:val="0"/>
          <w:marRight w:val="0"/>
          <w:marTop w:val="0"/>
          <w:marBottom w:val="0"/>
          <w:divBdr>
            <w:top w:val="none" w:sz="0" w:space="0" w:color="auto"/>
            <w:left w:val="none" w:sz="0" w:space="0" w:color="auto"/>
            <w:bottom w:val="none" w:sz="0" w:space="0" w:color="auto"/>
            <w:right w:val="none" w:sz="0" w:space="0" w:color="auto"/>
          </w:divBdr>
          <w:divsChild>
            <w:div w:id="1286153581">
              <w:marLeft w:val="0"/>
              <w:marRight w:val="0"/>
              <w:marTop w:val="0"/>
              <w:marBottom w:val="0"/>
              <w:divBdr>
                <w:top w:val="none" w:sz="0" w:space="0" w:color="auto"/>
                <w:left w:val="none" w:sz="0" w:space="0" w:color="auto"/>
                <w:bottom w:val="none" w:sz="0" w:space="0" w:color="auto"/>
                <w:right w:val="none" w:sz="0" w:space="0" w:color="auto"/>
              </w:divBdr>
            </w:div>
          </w:divsChild>
        </w:div>
        <w:div w:id="1629314102">
          <w:marLeft w:val="0"/>
          <w:marRight w:val="0"/>
          <w:marTop w:val="0"/>
          <w:marBottom w:val="0"/>
          <w:divBdr>
            <w:top w:val="none" w:sz="0" w:space="0" w:color="auto"/>
            <w:left w:val="none" w:sz="0" w:space="0" w:color="auto"/>
            <w:bottom w:val="none" w:sz="0" w:space="0" w:color="auto"/>
            <w:right w:val="none" w:sz="0" w:space="0" w:color="auto"/>
          </w:divBdr>
          <w:divsChild>
            <w:div w:id="191576371">
              <w:marLeft w:val="0"/>
              <w:marRight w:val="0"/>
              <w:marTop w:val="0"/>
              <w:marBottom w:val="0"/>
              <w:divBdr>
                <w:top w:val="none" w:sz="0" w:space="0" w:color="auto"/>
                <w:left w:val="none" w:sz="0" w:space="0" w:color="auto"/>
                <w:bottom w:val="none" w:sz="0" w:space="0" w:color="auto"/>
                <w:right w:val="none" w:sz="0" w:space="0" w:color="auto"/>
              </w:divBdr>
            </w:div>
          </w:divsChild>
        </w:div>
        <w:div w:id="1637492304">
          <w:marLeft w:val="0"/>
          <w:marRight w:val="0"/>
          <w:marTop w:val="0"/>
          <w:marBottom w:val="0"/>
          <w:divBdr>
            <w:top w:val="none" w:sz="0" w:space="0" w:color="auto"/>
            <w:left w:val="none" w:sz="0" w:space="0" w:color="auto"/>
            <w:bottom w:val="none" w:sz="0" w:space="0" w:color="auto"/>
            <w:right w:val="none" w:sz="0" w:space="0" w:color="auto"/>
          </w:divBdr>
          <w:divsChild>
            <w:div w:id="528954277">
              <w:marLeft w:val="0"/>
              <w:marRight w:val="0"/>
              <w:marTop w:val="0"/>
              <w:marBottom w:val="0"/>
              <w:divBdr>
                <w:top w:val="none" w:sz="0" w:space="0" w:color="auto"/>
                <w:left w:val="none" w:sz="0" w:space="0" w:color="auto"/>
                <w:bottom w:val="none" w:sz="0" w:space="0" w:color="auto"/>
                <w:right w:val="none" w:sz="0" w:space="0" w:color="auto"/>
              </w:divBdr>
            </w:div>
          </w:divsChild>
        </w:div>
        <w:div w:id="1655572129">
          <w:marLeft w:val="0"/>
          <w:marRight w:val="0"/>
          <w:marTop w:val="0"/>
          <w:marBottom w:val="0"/>
          <w:divBdr>
            <w:top w:val="none" w:sz="0" w:space="0" w:color="auto"/>
            <w:left w:val="none" w:sz="0" w:space="0" w:color="auto"/>
            <w:bottom w:val="none" w:sz="0" w:space="0" w:color="auto"/>
            <w:right w:val="none" w:sz="0" w:space="0" w:color="auto"/>
          </w:divBdr>
          <w:divsChild>
            <w:div w:id="1606883132">
              <w:marLeft w:val="0"/>
              <w:marRight w:val="0"/>
              <w:marTop w:val="0"/>
              <w:marBottom w:val="0"/>
              <w:divBdr>
                <w:top w:val="none" w:sz="0" w:space="0" w:color="auto"/>
                <w:left w:val="none" w:sz="0" w:space="0" w:color="auto"/>
                <w:bottom w:val="none" w:sz="0" w:space="0" w:color="auto"/>
                <w:right w:val="none" w:sz="0" w:space="0" w:color="auto"/>
              </w:divBdr>
            </w:div>
          </w:divsChild>
        </w:div>
        <w:div w:id="1659921737">
          <w:marLeft w:val="0"/>
          <w:marRight w:val="0"/>
          <w:marTop w:val="0"/>
          <w:marBottom w:val="0"/>
          <w:divBdr>
            <w:top w:val="none" w:sz="0" w:space="0" w:color="auto"/>
            <w:left w:val="none" w:sz="0" w:space="0" w:color="auto"/>
            <w:bottom w:val="none" w:sz="0" w:space="0" w:color="auto"/>
            <w:right w:val="none" w:sz="0" w:space="0" w:color="auto"/>
          </w:divBdr>
          <w:divsChild>
            <w:div w:id="1778021390">
              <w:marLeft w:val="0"/>
              <w:marRight w:val="0"/>
              <w:marTop w:val="0"/>
              <w:marBottom w:val="0"/>
              <w:divBdr>
                <w:top w:val="none" w:sz="0" w:space="0" w:color="auto"/>
                <w:left w:val="none" w:sz="0" w:space="0" w:color="auto"/>
                <w:bottom w:val="none" w:sz="0" w:space="0" w:color="auto"/>
                <w:right w:val="none" w:sz="0" w:space="0" w:color="auto"/>
              </w:divBdr>
            </w:div>
          </w:divsChild>
        </w:div>
        <w:div w:id="1740323340">
          <w:marLeft w:val="0"/>
          <w:marRight w:val="0"/>
          <w:marTop w:val="0"/>
          <w:marBottom w:val="0"/>
          <w:divBdr>
            <w:top w:val="none" w:sz="0" w:space="0" w:color="auto"/>
            <w:left w:val="none" w:sz="0" w:space="0" w:color="auto"/>
            <w:bottom w:val="none" w:sz="0" w:space="0" w:color="auto"/>
            <w:right w:val="none" w:sz="0" w:space="0" w:color="auto"/>
          </w:divBdr>
          <w:divsChild>
            <w:div w:id="421724870">
              <w:marLeft w:val="0"/>
              <w:marRight w:val="0"/>
              <w:marTop w:val="0"/>
              <w:marBottom w:val="0"/>
              <w:divBdr>
                <w:top w:val="none" w:sz="0" w:space="0" w:color="auto"/>
                <w:left w:val="none" w:sz="0" w:space="0" w:color="auto"/>
                <w:bottom w:val="none" w:sz="0" w:space="0" w:color="auto"/>
                <w:right w:val="none" w:sz="0" w:space="0" w:color="auto"/>
              </w:divBdr>
            </w:div>
          </w:divsChild>
        </w:div>
        <w:div w:id="1751998070">
          <w:marLeft w:val="0"/>
          <w:marRight w:val="0"/>
          <w:marTop w:val="0"/>
          <w:marBottom w:val="0"/>
          <w:divBdr>
            <w:top w:val="none" w:sz="0" w:space="0" w:color="auto"/>
            <w:left w:val="none" w:sz="0" w:space="0" w:color="auto"/>
            <w:bottom w:val="none" w:sz="0" w:space="0" w:color="auto"/>
            <w:right w:val="none" w:sz="0" w:space="0" w:color="auto"/>
          </w:divBdr>
          <w:divsChild>
            <w:div w:id="1861626939">
              <w:marLeft w:val="0"/>
              <w:marRight w:val="0"/>
              <w:marTop w:val="0"/>
              <w:marBottom w:val="0"/>
              <w:divBdr>
                <w:top w:val="none" w:sz="0" w:space="0" w:color="auto"/>
                <w:left w:val="none" w:sz="0" w:space="0" w:color="auto"/>
                <w:bottom w:val="none" w:sz="0" w:space="0" w:color="auto"/>
                <w:right w:val="none" w:sz="0" w:space="0" w:color="auto"/>
              </w:divBdr>
            </w:div>
          </w:divsChild>
        </w:div>
        <w:div w:id="1769035626">
          <w:marLeft w:val="0"/>
          <w:marRight w:val="0"/>
          <w:marTop w:val="0"/>
          <w:marBottom w:val="0"/>
          <w:divBdr>
            <w:top w:val="none" w:sz="0" w:space="0" w:color="auto"/>
            <w:left w:val="none" w:sz="0" w:space="0" w:color="auto"/>
            <w:bottom w:val="none" w:sz="0" w:space="0" w:color="auto"/>
            <w:right w:val="none" w:sz="0" w:space="0" w:color="auto"/>
          </w:divBdr>
          <w:divsChild>
            <w:div w:id="1404645162">
              <w:marLeft w:val="0"/>
              <w:marRight w:val="0"/>
              <w:marTop w:val="0"/>
              <w:marBottom w:val="0"/>
              <w:divBdr>
                <w:top w:val="none" w:sz="0" w:space="0" w:color="auto"/>
                <w:left w:val="none" w:sz="0" w:space="0" w:color="auto"/>
                <w:bottom w:val="none" w:sz="0" w:space="0" w:color="auto"/>
                <w:right w:val="none" w:sz="0" w:space="0" w:color="auto"/>
              </w:divBdr>
            </w:div>
          </w:divsChild>
        </w:div>
        <w:div w:id="1871410318">
          <w:marLeft w:val="0"/>
          <w:marRight w:val="0"/>
          <w:marTop w:val="0"/>
          <w:marBottom w:val="0"/>
          <w:divBdr>
            <w:top w:val="none" w:sz="0" w:space="0" w:color="auto"/>
            <w:left w:val="none" w:sz="0" w:space="0" w:color="auto"/>
            <w:bottom w:val="none" w:sz="0" w:space="0" w:color="auto"/>
            <w:right w:val="none" w:sz="0" w:space="0" w:color="auto"/>
          </w:divBdr>
          <w:divsChild>
            <w:div w:id="2057390104">
              <w:marLeft w:val="0"/>
              <w:marRight w:val="0"/>
              <w:marTop w:val="0"/>
              <w:marBottom w:val="0"/>
              <w:divBdr>
                <w:top w:val="none" w:sz="0" w:space="0" w:color="auto"/>
                <w:left w:val="none" w:sz="0" w:space="0" w:color="auto"/>
                <w:bottom w:val="none" w:sz="0" w:space="0" w:color="auto"/>
                <w:right w:val="none" w:sz="0" w:space="0" w:color="auto"/>
              </w:divBdr>
            </w:div>
          </w:divsChild>
        </w:div>
        <w:div w:id="1911843524">
          <w:marLeft w:val="0"/>
          <w:marRight w:val="0"/>
          <w:marTop w:val="0"/>
          <w:marBottom w:val="0"/>
          <w:divBdr>
            <w:top w:val="none" w:sz="0" w:space="0" w:color="auto"/>
            <w:left w:val="none" w:sz="0" w:space="0" w:color="auto"/>
            <w:bottom w:val="none" w:sz="0" w:space="0" w:color="auto"/>
            <w:right w:val="none" w:sz="0" w:space="0" w:color="auto"/>
          </w:divBdr>
          <w:divsChild>
            <w:div w:id="315187710">
              <w:marLeft w:val="0"/>
              <w:marRight w:val="0"/>
              <w:marTop w:val="0"/>
              <w:marBottom w:val="0"/>
              <w:divBdr>
                <w:top w:val="none" w:sz="0" w:space="0" w:color="auto"/>
                <w:left w:val="none" w:sz="0" w:space="0" w:color="auto"/>
                <w:bottom w:val="none" w:sz="0" w:space="0" w:color="auto"/>
                <w:right w:val="none" w:sz="0" w:space="0" w:color="auto"/>
              </w:divBdr>
            </w:div>
          </w:divsChild>
        </w:div>
        <w:div w:id="1998879394">
          <w:marLeft w:val="0"/>
          <w:marRight w:val="0"/>
          <w:marTop w:val="0"/>
          <w:marBottom w:val="0"/>
          <w:divBdr>
            <w:top w:val="none" w:sz="0" w:space="0" w:color="auto"/>
            <w:left w:val="none" w:sz="0" w:space="0" w:color="auto"/>
            <w:bottom w:val="none" w:sz="0" w:space="0" w:color="auto"/>
            <w:right w:val="none" w:sz="0" w:space="0" w:color="auto"/>
          </w:divBdr>
          <w:divsChild>
            <w:div w:id="1067992265">
              <w:marLeft w:val="0"/>
              <w:marRight w:val="0"/>
              <w:marTop w:val="0"/>
              <w:marBottom w:val="0"/>
              <w:divBdr>
                <w:top w:val="none" w:sz="0" w:space="0" w:color="auto"/>
                <w:left w:val="none" w:sz="0" w:space="0" w:color="auto"/>
                <w:bottom w:val="none" w:sz="0" w:space="0" w:color="auto"/>
                <w:right w:val="none" w:sz="0" w:space="0" w:color="auto"/>
              </w:divBdr>
            </w:div>
          </w:divsChild>
        </w:div>
        <w:div w:id="2090882937">
          <w:marLeft w:val="0"/>
          <w:marRight w:val="0"/>
          <w:marTop w:val="0"/>
          <w:marBottom w:val="0"/>
          <w:divBdr>
            <w:top w:val="none" w:sz="0" w:space="0" w:color="auto"/>
            <w:left w:val="none" w:sz="0" w:space="0" w:color="auto"/>
            <w:bottom w:val="none" w:sz="0" w:space="0" w:color="auto"/>
            <w:right w:val="none" w:sz="0" w:space="0" w:color="auto"/>
          </w:divBdr>
          <w:divsChild>
            <w:div w:id="2120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0587">
      <w:bodyDiv w:val="1"/>
      <w:marLeft w:val="0"/>
      <w:marRight w:val="0"/>
      <w:marTop w:val="0"/>
      <w:marBottom w:val="0"/>
      <w:divBdr>
        <w:top w:val="none" w:sz="0" w:space="0" w:color="auto"/>
        <w:left w:val="none" w:sz="0" w:space="0" w:color="auto"/>
        <w:bottom w:val="none" w:sz="0" w:space="0" w:color="auto"/>
        <w:right w:val="none" w:sz="0" w:space="0" w:color="auto"/>
      </w:divBdr>
    </w:div>
    <w:div w:id="2033678015">
      <w:bodyDiv w:val="1"/>
      <w:marLeft w:val="0"/>
      <w:marRight w:val="0"/>
      <w:marTop w:val="0"/>
      <w:marBottom w:val="0"/>
      <w:divBdr>
        <w:top w:val="none" w:sz="0" w:space="0" w:color="auto"/>
        <w:left w:val="none" w:sz="0" w:space="0" w:color="auto"/>
        <w:bottom w:val="none" w:sz="0" w:space="0" w:color="auto"/>
        <w:right w:val="none" w:sz="0" w:space="0" w:color="auto"/>
      </w:divBdr>
    </w:div>
    <w:div w:id="20397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4897A2"/>
      </a:hlink>
      <a:folHlink>
        <a:srgbClr val="4DB3E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9f9fa170a5a52d7c04e6e009e370bd8c">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f339af0c8c5079f593c0cce695512488"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C81261AE-5136-47BB-94BD-8BDEB0FB4C08}">
  <ds:schemaRefs>
    <ds:schemaRef ds:uri="http://schemas.openxmlformats.org/officeDocument/2006/bibliography"/>
  </ds:schemaRefs>
</ds:datastoreItem>
</file>

<file path=customXml/itemProps2.xml><?xml version="1.0" encoding="utf-8"?>
<ds:datastoreItem xmlns:ds="http://schemas.openxmlformats.org/officeDocument/2006/customXml" ds:itemID="{1B43254D-1E5E-4CE9-8717-89330486883A}"/>
</file>

<file path=customXml/itemProps3.xml><?xml version="1.0" encoding="utf-8"?>
<ds:datastoreItem xmlns:ds="http://schemas.openxmlformats.org/officeDocument/2006/customXml" ds:itemID="{7003A92D-C6C5-4C65-AC12-EDDFC197B8CF}"/>
</file>

<file path=customXml/itemProps4.xml><?xml version="1.0" encoding="utf-8"?>
<ds:datastoreItem xmlns:ds="http://schemas.openxmlformats.org/officeDocument/2006/customXml" ds:itemID="{47E6095A-2F16-492C-A7FF-A97CE728BD62}"/>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5106</Characters>
  <Application>Microsoft Office Word</Application>
  <DocSecurity>0</DocSecurity>
  <Lines>233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2026 International TPS Levy Settings</dc:title>
  <dc:subject/>
  <dc:creator/>
  <cp:keywords/>
  <dc:description/>
  <cp:lastModifiedBy/>
  <cp:revision>1</cp:revision>
  <dcterms:created xsi:type="dcterms:W3CDTF">2025-11-20T02:50:00Z</dcterms:created>
  <dcterms:modified xsi:type="dcterms:W3CDTF">2025-11-20T02:51:00Z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2025-11-20T02:51:12Z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85a84ef7-fe0c-4489-9686-3817c81c9100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0x010100D0A9CCE9CD21384385A19063B05DA87A</vt:lpwstr>
  </property>
</Properties>
</file>