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4F6DA" w14:textId="77777777" w:rsidR="00DC650F" w:rsidRPr="00BF3357" w:rsidRDefault="00DC650F" w:rsidP="00DC650F">
      <w:pPr>
        <w:spacing w:before="466" w:after="0" w:line="240" w:lineRule="auto"/>
        <w:outlineLvl w:val="1"/>
        <w:rPr>
          <w:rFonts w:eastAsia="Times New Roman" w:cstheme="minorHAnsi"/>
          <w:b/>
          <w:bCs/>
          <w:sz w:val="28"/>
          <w:szCs w:val="28"/>
          <w:lang w:eastAsia="en-AU"/>
        </w:rPr>
      </w:pPr>
      <w:r w:rsidRPr="00BF3357">
        <w:rPr>
          <w:rFonts w:eastAsia="Times New Roman" w:cstheme="minorHAnsi"/>
          <w:b/>
          <w:bCs/>
          <w:sz w:val="28"/>
          <w:szCs w:val="28"/>
          <w:lang w:eastAsia="en-AU"/>
        </w:rPr>
        <w:t>Dashboard</w:t>
      </w:r>
      <w:bookmarkStart w:id="0" w:name="Instructions"/>
      <w:r w:rsidRPr="00BF3357">
        <w:rPr>
          <w:rFonts w:eastAsia="Times New Roman" w:cstheme="minorHAnsi"/>
          <w:b/>
          <w:bCs/>
          <w:sz w:val="28"/>
          <w:szCs w:val="28"/>
          <w:lang w:eastAsia="en-AU"/>
        </w:rPr>
        <w:t xml:space="preserve"> instructions</w:t>
      </w:r>
      <w:bookmarkEnd w:id="0"/>
    </w:p>
    <w:p w14:paraId="690EE68E" w14:textId="6562E61D" w:rsidR="00DC650F" w:rsidRPr="00DC650F" w:rsidRDefault="00DC650F" w:rsidP="00DC650F">
      <w:pPr>
        <w:spacing w:before="63" w:after="0" w:line="240" w:lineRule="auto"/>
        <w:rPr>
          <w:rFonts w:ascii="&amp;quot" w:eastAsia="Times New Roman" w:hAnsi="&amp;quot" w:cs="Times New Roman"/>
          <w:color w:val="53565A"/>
          <w:sz w:val="21"/>
          <w:szCs w:val="21"/>
          <w:lang w:eastAsia="en-AU"/>
        </w:rPr>
      </w:pPr>
      <w:r w:rsidRPr="00DC650F">
        <w:rPr>
          <w:rFonts w:ascii="&amp;quot" w:eastAsia="Times New Roman" w:hAnsi="&amp;quot" w:cs="Times New Roman"/>
          <w:color w:val="53565A"/>
          <w:sz w:val="21"/>
          <w:szCs w:val="21"/>
          <w:lang w:eastAsia="en-AU"/>
        </w:rPr>
        <w:t> </w:t>
      </w:r>
    </w:p>
    <w:tbl>
      <w:tblPr>
        <w:tblW w:w="920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  <w:tblDescription w:val="Dashboard instructions"/>
      </w:tblPr>
      <w:tblGrid>
        <w:gridCol w:w="3296"/>
        <w:gridCol w:w="5910"/>
      </w:tblGrid>
      <w:tr w:rsidR="001331FE" w:rsidRPr="00DC650F" w14:paraId="1FC6E4CE" w14:textId="77777777" w:rsidTr="00B51A53">
        <w:tc>
          <w:tcPr>
            <w:tcW w:w="9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6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BAFBBDC" w14:textId="77777777" w:rsidR="001331FE" w:rsidRPr="00DC650F" w:rsidRDefault="001331FE" w:rsidP="00B51A53">
            <w:pPr>
              <w:spacing w:before="209" w:after="209" w:line="240" w:lineRule="auto"/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</w:pPr>
            <w:r w:rsidRPr="00DC650F">
              <w:rPr>
                <w:rFonts w:ascii="&amp;quot" w:eastAsia="Times New Roman" w:hAnsi="&amp;quot" w:cs="Times New Roman"/>
                <w:b/>
                <w:bCs/>
                <w:color w:val="53565A"/>
                <w:sz w:val="21"/>
                <w:szCs w:val="21"/>
                <w:lang w:eastAsia="en-AU"/>
              </w:rPr>
              <w:t xml:space="preserve">General instructions </w:t>
            </w:r>
          </w:p>
        </w:tc>
      </w:tr>
      <w:tr w:rsidR="003D6053" w:rsidRPr="00DC650F" w14:paraId="72C308F0" w14:textId="77777777" w:rsidTr="00B51A53">
        <w:tc>
          <w:tcPr>
            <w:tcW w:w="4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C446C4F" w14:textId="2413970F" w:rsidR="001331FE" w:rsidRPr="00DC650F" w:rsidRDefault="001331FE" w:rsidP="00B51A53">
            <w:pPr>
              <w:spacing w:before="209" w:after="209" w:line="240" w:lineRule="auto"/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</w:pPr>
            <w:r w:rsidRPr="009030EA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 xml:space="preserve">To navigate between pages in the dashboard, click </w:t>
            </w:r>
            <w:r w:rsidR="0067216C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 xml:space="preserve">the </w:t>
            </w:r>
            <w:r w:rsidR="005215E8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 xml:space="preserve">button located in the </w:t>
            </w:r>
            <w:r w:rsidR="0067216C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>bottom of</w:t>
            </w:r>
            <w:r w:rsidR="005215E8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 xml:space="preserve"> each page</w:t>
            </w:r>
            <w:r w:rsidRPr="009030EA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>.</w:t>
            </w:r>
            <w:r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 xml:space="preserve"> 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7FBD263" w14:textId="374888F5" w:rsidR="001331FE" w:rsidRPr="00DC650F" w:rsidRDefault="003D6053" w:rsidP="00B51A53">
            <w:pPr>
              <w:spacing w:before="209" w:after="209" w:line="240" w:lineRule="auto"/>
              <w:rPr>
                <w:rFonts w:ascii="&amp;quot" w:eastAsia="Times New Roman" w:hAnsi="&amp;quot" w:cs="Times New Roman"/>
                <w:color w:val="53565A"/>
                <w:sz w:val="21"/>
                <w:szCs w:val="21"/>
                <w:highlight w:val="yellow"/>
                <w:lang w:eastAsia="en-AU"/>
              </w:rPr>
            </w:pPr>
            <w:r w:rsidRPr="003D6053">
              <w:rPr>
                <w:rFonts w:ascii="&amp;quot" w:eastAsia="Times New Roman" w:hAnsi="&amp;quot" w:cs="Times New Roman"/>
                <w:noProof/>
                <w:color w:val="53565A"/>
                <w:sz w:val="21"/>
                <w:szCs w:val="21"/>
                <w:lang w:eastAsia="en-AU"/>
              </w:rPr>
              <w:drawing>
                <wp:anchor distT="0" distB="0" distL="114300" distR="114300" simplePos="0" relativeHeight="251658240" behindDoc="0" locked="0" layoutInCell="1" allowOverlap="1" wp14:anchorId="0B169D47" wp14:editId="0B21AC25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446405</wp:posOffset>
                  </wp:positionV>
                  <wp:extent cx="3657600" cy="238125"/>
                  <wp:effectExtent l="0" t="0" r="0" b="9525"/>
                  <wp:wrapTopAndBottom/>
                  <wp:docPr id="20913242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1324239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600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D6053">
              <w:rPr>
                <w:rFonts w:ascii="&amp;quot" w:eastAsia="Times New Roman" w:hAnsi="&amp;quot" w:cs="Times New Roman"/>
                <w:noProof/>
                <w:color w:val="53565A"/>
                <w:sz w:val="21"/>
                <w:szCs w:val="21"/>
                <w:lang w:eastAsia="en-AU"/>
              </w:rPr>
              <w:drawing>
                <wp:anchor distT="0" distB="0" distL="114300" distR="114300" simplePos="0" relativeHeight="251659264" behindDoc="1" locked="0" layoutInCell="1" allowOverlap="1" wp14:anchorId="48B4009C" wp14:editId="5F26C627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132080</wp:posOffset>
                  </wp:positionV>
                  <wp:extent cx="3629025" cy="203200"/>
                  <wp:effectExtent l="0" t="0" r="9525" b="6350"/>
                  <wp:wrapTopAndBottom/>
                  <wp:docPr id="12337698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769850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9025" cy="203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</w:tr>
      <w:tr w:rsidR="001331FE" w:rsidRPr="00DC650F" w14:paraId="4D995388" w14:textId="77777777" w:rsidTr="00B51A53">
        <w:tc>
          <w:tcPr>
            <w:tcW w:w="92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6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F3ACB62" w14:textId="77777777" w:rsidR="001331FE" w:rsidRPr="00DC650F" w:rsidRDefault="001331FE" w:rsidP="00B51A53">
            <w:pPr>
              <w:spacing w:before="209" w:after="209" w:line="240" w:lineRule="auto"/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</w:pPr>
            <w:r w:rsidRPr="00DC650F">
              <w:rPr>
                <w:rFonts w:ascii="&amp;quot" w:eastAsia="Times New Roman" w:hAnsi="&amp;quot" w:cs="Times New Roman"/>
                <w:b/>
                <w:bCs/>
                <w:color w:val="53565A"/>
                <w:sz w:val="21"/>
                <w:szCs w:val="21"/>
                <w:lang w:eastAsia="en-AU"/>
              </w:rPr>
              <w:t>Specific selection instructions</w:t>
            </w:r>
          </w:p>
        </w:tc>
      </w:tr>
      <w:tr w:rsidR="003D6053" w:rsidRPr="00DC650F" w14:paraId="3B6DF64C" w14:textId="77777777" w:rsidTr="0071302E">
        <w:trPr>
          <w:trHeight w:val="3327"/>
        </w:trPr>
        <w:tc>
          <w:tcPr>
            <w:tcW w:w="4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E265596" w14:textId="082BB05E" w:rsidR="001331FE" w:rsidRPr="00A45DE7" w:rsidRDefault="001331FE" w:rsidP="00B51A53">
            <w:pPr>
              <w:spacing w:before="209" w:after="209" w:line="240" w:lineRule="auto"/>
              <w:rPr>
                <w:rFonts w:ascii="&amp;quot" w:eastAsia="Times New Roman" w:hAnsi="&amp;quot" w:cs="Times New Roman"/>
                <w:b/>
                <w:color w:val="53565A"/>
                <w:sz w:val="21"/>
                <w:szCs w:val="21"/>
                <w:lang w:eastAsia="en-AU"/>
              </w:rPr>
            </w:pPr>
            <w:r w:rsidRPr="00A45DE7">
              <w:rPr>
                <w:rFonts w:ascii="&amp;quot" w:eastAsia="Times New Roman" w:hAnsi="&amp;quot" w:cs="Times New Roman"/>
                <w:b/>
                <w:color w:val="53565A"/>
                <w:sz w:val="21"/>
                <w:szCs w:val="21"/>
                <w:lang w:eastAsia="en-AU"/>
              </w:rPr>
              <w:t>Home page</w:t>
            </w:r>
          </w:p>
          <w:p w14:paraId="6F13D634" w14:textId="275091C7" w:rsidR="00D16608" w:rsidRDefault="001331FE" w:rsidP="00B51A53">
            <w:pPr>
              <w:spacing w:before="209" w:after="209" w:line="240" w:lineRule="auto"/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</w:pPr>
            <w:r w:rsidRPr="00DC650F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>When opening the dashboard for first time, you will reach the home page.</w:t>
            </w:r>
            <w:r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 xml:space="preserve"> Select the </w:t>
            </w:r>
            <w:r w:rsidR="0031368A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 xml:space="preserve">relevant </w:t>
            </w:r>
            <w:r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 xml:space="preserve">button to go to the </w:t>
            </w:r>
            <w:r w:rsidR="0031368A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>desire</w:t>
            </w:r>
            <w:r w:rsidR="00412B46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>d</w:t>
            </w:r>
            <w:r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 xml:space="preserve"> page. The dashboard contains data from </w:t>
            </w:r>
            <w:r w:rsidRPr="00EB7411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>2011</w:t>
            </w:r>
            <w:r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 xml:space="preserve"> to 20</w:t>
            </w:r>
            <w:r w:rsidR="00474909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>2</w:t>
            </w:r>
            <w:r w:rsidR="00C7170B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>4</w:t>
            </w:r>
            <w:r w:rsidR="00D16608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>*</w:t>
            </w:r>
            <w:r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>.</w:t>
            </w:r>
          </w:p>
          <w:p w14:paraId="0E63AFC6" w14:textId="7F7C7630" w:rsidR="001331FE" w:rsidRPr="00320FBF" w:rsidRDefault="00D16608" w:rsidP="00B51A53">
            <w:pPr>
              <w:spacing w:before="209" w:after="209" w:line="240" w:lineRule="auto"/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</w:pPr>
            <w:r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>*Bond University, University of Divinity and Torrens University for 2020 to 202</w:t>
            </w:r>
            <w:r w:rsidR="00C7170B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>4</w:t>
            </w:r>
            <w:r w:rsidR="00320FBF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 xml:space="preserve"> only</w:t>
            </w:r>
            <w:r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>.</w:t>
            </w:r>
            <w:r w:rsidR="00320FBF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 xml:space="preserve"> Avondale University for the 2023</w:t>
            </w:r>
            <w:r w:rsidR="00C7170B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 xml:space="preserve"> and 2024</w:t>
            </w:r>
            <w:r w:rsidR="00320FBF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 xml:space="preserve"> only.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15B0224" w14:textId="3CA5C80A" w:rsidR="001331FE" w:rsidRPr="00474909" w:rsidRDefault="00EB0115" w:rsidP="00B51A53">
            <w:pPr>
              <w:spacing w:before="209" w:after="209" w:line="240" w:lineRule="auto"/>
              <w:rPr>
                <w:rFonts w:ascii="&amp;quot" w:eastAsia="Times New Roman" w:hAnsi="&amp;quot" w:cs="Times New Roman"/>
                <w:color w:val="53565A"/>
                <w:sz w:val="21"/>
                <w:szCs w:val="21"/>
                <w:highlight w:val="yellow"/>
                <w:lang w:eastAsia="en-AU"/>
              </w:rPr>
            </w:pPr>
            <w:r w:rsidRPr="00EB0115">
              <w:rPr>
                <w:rFonts w:ascii="&amp;quot" w:eastAsia="Times New Roman" w:hAnsi="&amp;quot" w:cs="Times New Roman"/>
                <w:noProof/>
                <w:color w:val="53565A"/>
                <w:sz w:val="21"/>
                <w:szCs w:val="21"/>
                <w:lang w:eastAsia="en-AU"/>
              </w:rPr>
              <w:drawing>
                <wp:inline distT="0" distB="0" distL="0" distR="0" wp14:anchorId="3EF80CA3" wp14:editId="426147B7">
                  <wp:extent cx="3257550" cy="1867794"/>
                  <wp:effectExtent l="0" t="0" r="0" b="0"/>
                  <wp:docPr id="3021664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16641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0639" cy="1881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6053" w:rsidRPr="00DC650F" w14:paraId="423A2D4B" w14:textId="77777777" w:rsidTr="00B51A53">
        <w:tc>
          <w:tcPr>
            <w:tcW w:w="4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48E8593" w14:textId="77777777" w:rsidR="001331FE" w:rsidRPr="00A45DE7" w:rsidRDefault="001331FE" w:rsidP="00B51A53">
            <w:pPr>
              <w:spacing w:before="209" w:after="209" w:line="240" w:lineRule="auto"/>
              <w:rPr>
                <w:rFonts w:ascii="&amp;quot" w:eastAsia="Times New Roman" w:hAnsi="&amp;quot" w:cs="Times New Roman"/>
                <w:b/>
                <w:color w:val="53565A"/>
                <w:sz w:val="21"/>
                <w:szCs w:val="21"/>
                <w:lang w:eastAsia="en-AU"/>
              </w:rPr>
            </w:pPr>
            <w:r w:rsidRPr="00A45DE7">
              <w:rPr>
                <w:rFonts w:ascii="&amp;quot" w:eastAsia="Times New Roman" w:hAnsi="&amp;quot" w:cs="Times New Roman"/>
                <w:b/>
                <w:color w:val="53565A"/>
                <w:sz w:val="21"/>
                <w:szCs w:val="21"/>
                <w:lang w:eastAsia="en-AU"/>
              </w:rPr>
              <w:t>University selection</w:t>
            </w:r>
          </w:p>
          <w:p w14:paraId="6AA70236" w14:textId="77CAB8ED" w:rsidR="001331FE" w:rsidRPr="00DC650F" w:rsidRDefault="001331FE" w:rsidP="00B51A53">
            <w:pPr>
              <w:spacing w:before="209" w:after="209" w:line="240" w:lineRule="auto"/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</w:pPr>
            <w:r w:rsidRPr="00DC650F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 xml:space="preserve">You can explore the data </w:t>
            </w:r>
            <w:r w:rsidR="005215E8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 xml:space="preserve">for the whole sector or </w:t>
            </w:r>
            <w:r w:rsidRPr="00DC650F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 xml:space="preserve">by selecting </w:t>
            </w:r>
            <w:r w:rsidR="005215E8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 xml:space="preserve">individual </w:t>
            </w:r>
            <w:r w:rsidR="00FB35D8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>institutions</w:t>
            </w:r>
            <w:r w:rsidRPr="00DC650F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 xml:space="preserve"> </w:t>
            </w:r>
            <w:r w:rsidR="00FB35D8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>in the ‘University’ menu at the top of each page</w:t>
            </w:r>
            <w:r w:rsidRPr="00DC650F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>.</w:t>
            </w:r>
            <w:r w:rsidR="005215E8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 xml:space="preserve"> All institutions are selected by default.</w:t>
            </w:r>
          </w:p>
          <w:p w14:paraId="240CB918" w14:textId="77777777" w:rsidR="001331FE" w:rsidRPr="00C66421" w:rsidRDefault="001331FE" w:rsidP="001331FE">
            <w:pPr>
              <w:numPr>
                <w:ilvl w:val="0"/>
                <w:numId w:val="3"/>
              </w:numPr>
              <w:spacing w:after="0" w:line="240" w:lineRule="auto"/>
              <w:ind w:left="390"/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</w:pPr>
            <w:r w:rsidRPr="00DC650F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 xml:space="preserve">To view the data for just one university, click on </w:t>
            </w:r>
            <w:r w:rsidRPr="00C66421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>that university.</w:t>
            </w:r>
          </w:p>
          <w:p w14:paraId="1725A1A4" w14:textId="58628920" w:rsidR="001331FE" w:rsidRPr="00C66421" w:rsidRDefault="001331FE" w:rsidP="001331FE">
            <w:pPr>
              <w:numPr>
                <w:ilvl w:val="0"/>
                <w:numId w:val="3"/>
              </w:numPr>
              <w:spacing w:before="88" w:after="0" w:line="240" w:lineRule="auto"/>
              <w:ind w:left="390"/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</w:pPr>
            <w:r w:rsidRPr="00C66421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 xml:space="preserve">To view data for multiple universities, </w:t>
            </w:r>
            <w:r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>click on</w:t>
            </w:r>
            <w:r w:rsidR="00FB35D8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 xml:space="preserve"> each</w:t>
            </w:r>
            <w:r w:rsidRPr="00C66421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 xml:space="preserve"> relevant </w:t>
            </w:r>
            <w:r w:rsidR="00AF1721" w:rsidRPr="00C66421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>universi</w:t>
            </w:r>
            <w:r w:rsidR="00AF1721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>ty</w:t>
            </w:r>
            <w:r w:rsidRPr="00C66421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>.</w:t>
            </w:r>
          </w:p>
          <w:p w14:paraId="19B6D4D7" w14:textId="74AB44E1" w:rsidR="001331FE" w:rsidRPr="00DC650F" w:rsidRDefault="001331FE" w:rsidP="001331FE">
            <w:pPr>
              <w:numPr>
                <w:ilvl w:val="0"/>
                <w:numId w:val="3"/>
              </w:numPr>
              <w:spacing w:before="88" w:after="0" w:line="240" w:lineRule="auto"/>
              <w:ind w:left="390"/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</w:pPr>
            <w:r w:rsidRPr="00C66421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>To clear your selection,</w:t>
            </w:r>
            <w:r w:rsidRPr="00DC650F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 xml:space="preserve"> deselect the relevant boxes</w:t>
            </w:r>
            <w:r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 xml:space="preserve"> or click on </w:t>
            </w:r>
            <w:r>
              <w:rPr>
                <w:noProof/>
                <w:lang w:eastAsia="en-AU"/>
              </w:rPr>
              <w:drawing>
                <wp:inline distT="0" distB="0" distL="0" distR="0" wp14:anchorId="61A677B2" wp14:editId="4A4AD968">
                  <wp:extent cx="257175" cy="21907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7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1001CB" w14:textId="77777777" w:rsidR="001331FE" w:rsidRPr="00DC650F" w:rsidRDefault="001331FE" w:rsidP="00B51A53">
            <w:pPr>
              <w:spacing w:before="157" w:after="0" w:line="240" w:lineRule="auto"/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</w:pP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21C8CC1" w14:textId="13E1EA0F" w:rsidR="001331FE" w:rsidRDefault="00AD7832" w:rsidP="00B51A53">
            <w:pPr>
              <w:spacing w:before="209" w:after="209" w:line="240" w:lineRule="auto"/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</w:pPr>
            <w:r w:rsidRPr="00AD7832">
              <w:rPr>
                <w:rFonts w:ascii="&amp;quot" w:eastAsia="Times New Roman" w:hAnsi="&amp;quot" w:cs="Times New Roman"/>
                <w:noProof/>
                <w:color w:val="53565A"/>
                <w:sz w:val="21"/>
                <w:szCs w:val="21"/>
                <w:lang w:eastAsia="en-AU"/>
              </w:rPr>
              <w:drawing>
                <wp:inline distT="0" distB="0" distL="0" distR="0" wp14:anchorId="5CDCFCB7" wp14:editId="79CCFFBD">
                  <wp:extent cx="2943225" cy="2138167"/>
                  <wp:effectExtent l="0" t="0" r="0" b="0"/>
                  <wp:docPr id="1207929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79296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0057" cy="2143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F21795F" w14:textId="2D7A4B78" w:rsidR="00873F28" w:rsidRPr="00873F28" w:rsidRDefault="00873F28" w:rsidP="00873F28">
            <w:pPr>
              <w:rPr>
                <w:rFonts w:ascii="&amp;quot" w:eastAsia="Times New Roman" w:hAnsi="&amp;quot" w:cs="Times New Roman"/>
                <w:sz w:val="21"/>
                <w:szCs w:val="21"/>
                <w:lang w:eastAsia="en-AU"/>
              </w:rPr>
            </w:pPr>
          </w:p>
        </w:tc>
      </w:tr>
      <w:tr w:rsidR="003D6053" w:rsidRPr="00DC650F" w14:paraId="1BF0E01B" w14:textId="77777777" w:rsidTr="00B51A53">
        <w:tc>
          <w:tcPr>
            <w:tcW w:w="4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CE872C8" w14:textId="77777777" w:rsidR="001331FE" w:rsidRPr="00A45DE7" w:rsidRDefault="001331FE" w:rsidP="00B51A53">
            <w:pPr>
              <w:spacing w:before="209" w:after="209" w:line="240" w:lineRule="auto"/>
              <w:rPr>
                <w:rFonts w:ascii="&amp;quot" w:eastAsia="Times New Roman" w:hAnsi="&amp;quot" w:cs="Times New Roman"/>
                <w:b/>
                <w:color w:val="53565A"/>
                <w:sz w:val="21"/>
                <w:szCs w:val="21"/>
                <w:lang w:eastAsia="en-AU"/>
              </w:rPr>
            </w:pPr>
            <w:r w:rsidRPr="00A45DE7">
              <w:rPr>
                <w:rFonts w:ascii="&amp;quot" w:eastAsia="Times New Roman" w:hAnsi="&amp;quot" w:cs="Times New Roman"/>
                <w:b/>
                <w:color w:val="53565A"/>
                <w:sz w:val="21"/>
                <w:szCs w:val="21"/>
                <w:lang w:eastAsia="en-AU"/>
              </w:rPr>
              <w:lastRenderedPageBreak/>
              <w:t>Year selection</w:t>
            </w:r>
          </w:p>
          <w:p w14:paraId="0C884903" w14:textId="2BC22B8A" w:rsidR="001331FE" w:rsidRPr="00DC650F" w:rsidRDefault="001331FE" w:rsidP="00B51A53">
            <w:pPr>
              <w:spacing w:before="209" w:after="209" w:line="240" w:lineRule="auto"/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</w:pPr>
            <w:r w:rsidRPr="00DC650F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 xml:space="preserve">You can explore the data </w:t>
            </w:r>
            <w:r w:rsidR="005215E8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 xml:space="preserve">for different reporting periods </w:t>
            </w:r>
            <w:r w:rsidRPr="00DC650F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 xml:space="preserve">by selecting </w:t>
            </w:r>
            <w:r w:rsidR="005215E8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>from the ‘Y</w:t>
            </w:r>
            <w:r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>ear</w:t>
            </w:r>
            <w:r w:rsidR="005215E8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>’</w:t>
            </w:r>
            <w:r w:rsidRPr="00DC650F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 xml:space="preserve"> </w:t>
            </w:r>
            <w:r w:rsidR="005215E8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 xml:space="preserve">menu </w:t>
            </w:r>
            <w:r w:rsidR="00AF1721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>at</w:t>
            </w:r>
            <w:r w:rsidR="005215E8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 xml:space="preserve"> the top of each page</w:t>
            </w:r>
            <w:r w:rsidRPr="00DC650F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>.</w:t>
            </w:r>
          </w:p>
          <w:p w14:paraId="6365B036" w14:textId="77A6B43B" w:rsidR="001331FE" w:rsidRDefault="001331FE" w:rsidP="001331FE">
            <w:pPr>
              <w:numPr>
                <w:ilvl w:val="0"/>
                <w:numId w:val="3"/>
              </w:numPr>
              <w:spacing w:after="0" w:line="240" w:lineRule="auto"/>
              <w:ind w:left="390"/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</w:pPr>
            <w:r w:rsidRPr="00DC650F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 xml:space="preserve">To view the data </w:t>
            </w:r>
            <w:r w:rsidR="00FB35D8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>for a particular</w:t>
            </w:r>
            <w:r w:rsidRPr="00DC650F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 xml:space="preserve"> </w:t>
            </w:r>
            <w:r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>year</w:t>
            </w:r>
            <w:r w:rsidRPr="00DC650F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 xml:space="preserve">, click on that </w:t>
            </w:r>
            <w:r w:rsidRPr="00C66421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>year.</w:t>
            </w:r>
          </w:p>
          <w:p w14:paraId="36FF6C9B" w14:textId="2858E08D" w:rsidR="00665A7F" w:rsidRPr="00C66421" w:rsidRDefault="00665A7F" w:rsidP="001331FE">
            <w:pPr>
              <w:numPr>
                <w:ilvl w:val="0"/>
                <w:numId w:val="3"/>
              </w:numPr>
              <w:spacing w:after="0" w:line="240" w:lineRule="auto"/>
              <w:ind w:left="390"/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</w:pPr>
            <w:r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>Click the &gt; for previous year</w:t>
            </w:r>
            <w:r w:rsidR="00FE1FD4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>s.</w:t>
            </w:r>
          </w:p>
          <w:p w14:paraId="4F25E354" w14:textId="77777777" w:rsidR="001331FE" w:rsidRPr="00DC650F" w:rsidRDefault="001331FE" w:rsidP="00B51A53">
            <w:pPr>
              <w:spacing w:before="88" w:after="0" w:line="240" w:lineRule="auto"/>
              <w:ind w:left="30"/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</w:pPr>
          </w:p>
          <w:p w14:paraId="7B8EF3F0" w14:textId="77777777" w:rsidR="001331FE" w:rsidRPr="00DC650F" w:rsidRDefault="001331FE" w:rsidP="00B51A53">
            <w:pPr>
              <w:spacing w:after="0" w:line="240" w:lineRule="auto"/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</w:pP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36314A01" w14:textId="49BA506B" w:rsidR="001331FE" w:rsidRPr="00DC650F" w:rsidRDefault="00665A7F" w:rsidP="00B51A53">
            <w:pPr>
              <w:spacing w:before="157" w:after="0" w:line="240" w:lineRule="auto"/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</w:pPr>
            <w:r>
              <w:rPr>
                <w:rFonts w:ascii="&amp;quot" w:eastAsia="Times New Roman" w:hAnsi="&amp;quot" w:cs="Times New Roman"/>
                <w:noProof/>
                <w:color w:val="53565A"/>
                <w:sz w:val="21"/>
                <w:szCs w:val="21"/>
                <w:lang w:eastAsia="en-AU"/>
              </w:rPr>
              <w:drawing>
                <wp:inline distT="0" distB="0" distL="0" distR="0" wp14:anchorId="74BB5003" wp14:editId="1E33BF12">
                  <wp:extent cx="3425430" cy="533400"/>
                  <wp:effectExtent l="0" t="0" r="3810" b="0"/>
                  <wp:docPr id="195018397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40606" cy="5357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6053" w:rsidRPr="00DC650F" w14:paraId="32DF8709" w14:textId="77777777" w:rsidTr="00B51A53">
        <w:tc>
          <w:tcPr>
            <w:tcW w:w="4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2D23A30" w14:textId="77777777" w:rsidR="001331FE" w:rsidRPr="00D12B93" w:rsidRDefault="001C10F0" w:rsidP="00B51A53">
            <w:pPr>
              <w:spacing w:before="209" w:after="209" w:line="240" w:lineRule="auto"/>
              <w:rPr>
                <w:rFonts w:ascii="&amp;quot" w:eastAsia="Times New Roman" w:hAnsi="&amp;quot" w:cs="Times New Roman"/>
                <w:b/>
                <w:color w:val="53565A"/>
                <w:sz w:val="21"/>
                <w:szCs w:val="21"/>
                <w:lang w:eastAsia="en-AU"/>
              </w:rPr>
            </w:pPr>
            <w:r>
              <w:rPr>
                <w:rFonts w:ascii="&amp;quot" w:eastAsia="Times New Roman" w:hAnsi="&amp;quot" w:cs="Times New Roman"/>
                <w:b/>
                <w:color w:val="53565A"/>
                <w:sz w:val="21"/>
                <w:szCs w:val="21"/>
                <w:lang w:eastAsia="en-AU"/>
              </w:rPr>
              <w:t>Comparative Analysis</w:t>
            </w:r>
          </w:p>
          <w:p w14:paraId="560EF6C3" w14:textId="43212C5E" w:rsidR="001331FE" w:rsidRPr="00DC650F" w:rsidRDefault="001331FE" w:rsidP="00B51A53">
            <w:pPr>
              <w:spacing w:before="209" w:after="209" w:line="240" w:lineRule="auto"/>
              <w:rPr>
                <w:rFonts w:ascii="&amp;quot" w:eastAsia="Times New Roman" w:hAnsi="&amp;quot" w:cs="Times New Roman"/>
                <w:color w:val="53565A"/>
                <w:sz w:val="21"/>
                <w:szCs w:val="21"/>
                <w:highlight w:val="yellow"/>
                <w:lang w:eastAsia="en-AU"/>
              </w:rPr>
            </w:pPr>
            <w:r w:rsidRPr="00DC650F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 xml:space="preserve">This page allows you to </w:t>
            </w:r>
            <w:r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>compare financial</w:t>
            </w:r>
            <w:r w:rsidR="00FB54EC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 xml:space="preserve"> metrics and ratios</w:t>
            </w:r>
            <w:r w:rsidRPr="00D21EDA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 xml:space="preserve"> and </w:t>
            </w:r>
            <w:r w:rsidRPr="00DC650F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>visualise</w:t>
            </w:r>
            <w:r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 xml:space="preserve"> </w:t>
            </w:r>
            <w:r w:rsidR="00FB54EC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 xml:space="preserve">them </w:t>
            </w:r>
            <w:r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>on a clustered bar chart</w:t>
            </w:r>
            <w:r w:rsidRPr="00DC650F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>.</w:t>
            </w:r>
          </w:p>
          <w:p w14:paraId="65831677" w14:textId="04854399" w:rsidR="00FB54EC" w:rsidRDefault="00FB54EC" w:rsidP="001331FE">
            <w:pPr>
              <w:numPr>
                <w:ilvl w:val="0"/>
                <w:numId w:val="3"/>
              </w:numPr>
              <w:spacing w:before="88" w:after="0" w:line="240" w:lineRule="auto"/>
              <w:ind w:left="390"/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</w:pPr>
            <w:r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>Select the relevant institution and reporting period from the ‘University’ and ‘Year’ menus as outlined above</w:t>
            </w:r>
            <w:r w:rsidR="00E363A5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>.</w:t>
            </w:r>
          </w:p>
          <w:p w14:paraId="171D80F2" w14:textId="4F2C4788" w:rsidR="001331FE" w:rsidRPr="00326A16" w:rsidRDefault="001331FE" w:rsidP="001331FE">
            <w:pPr>
              <w:numPr>
                <w:ilvl w:val="0"/>
                <w:numId w:val="3"/>
              </w:numPr>
              <w:spacing w:before="88" w:after="0" w:line="240" w:lineRule="auto"/>
              <w:ind w:left="390"/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</w:pPr>
            <w:r w:rsidRPr="00326A16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 xml:space="preserve">Select </w:t>
            </w:r>
            <w:r w:rsidR="00595D0E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>a</w:t>
            </w:r>
            <w:r w:rsidRPr="00326A16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 xml:space="preserve"> financial </w:t>
            </w:r>
            <w:r w:rsidR="00FB54EC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>metric</w:t>
            </w:r>
            <w:r w:rsidRPr="00326A16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 xml:space="preserve"> </w:t>
            </w:r>
            <w:r w:rsidR="00C113E5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 xml:space="preserve">or a ratio </w:t>
            </w:r>
            <w:r w:rsidRPr="00326A16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>t</w:t>
            </w:r>
            <w:r w:rsidR="00FB54EC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 xml:space="preserve">o </w:t>
            </w:r>
            <w:r w:rsidR="00C113E5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>view</w:t>
            </w:r>
            <w:r w:rsidR="00682A44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 xml:space="preserve"> from the menu at the top of the page</w:t>
            </w:r>
            <w:r w:rsidRPr="00326A16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 xml:space="preserve">. </w:t>
            </w:r>
          </w:p>
          <w:p w14:paraId="5B53576E" w14:textId="2FE1A792" w:rsidR="001331FE" w:rsidRPr="00EB24B2" w:rsidRDefault="00EB24B2" w:rsidP="00EB24B2">
            <w:pPr>
              <w:numPr>
                <w:ilvl w:val="0"/>
                <w:numId w:val="3"/>
              </w:numPr>
              <w:spacing w:before="88" w:after="0" w:line="240" w:lineRule="auto"/>
              <w:ind w:left="390"/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</w:pPr>
            <w:r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>Only one</w:t>
            </w:r>
            <w:r w:rsidR="00C113E5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 xml:space="preserve"> </w:t>
            </w:r>
            <w:r w:rsidR="0071302E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>line item</w:t>
            </w:r>
            <w:r w:rsidR="00C113E5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 xml:space="preserve"> and one</w:t>
            </w:r>
            <w:r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 xml:space="preserve"> ratio can be viewed at a time.</w:t>
            </w:r>
          </w:p>
        </w:tc>
        <w:tc>
          <w:tcPr>
            <w:tcW w:w="4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74E0C13" w14:textId="078176F7" w:rsidR="001331FE" w:rsidRPr="00DC650F" w:rsidRDefault="00EB3586" w:rsidP="00B51A53">
            <w:pPr>
              <w:spacing w:before="209" w:after="209" w:line="240" w:lineRule="auto"/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</w:pPr>
            <w:r w:rsidRPr="00EB3586">
              <w:rPr>
                <w:rFonts w:ascii="&amp;quot" w:eastAsia="Times New Roman" w:hAnsi="&amp;quot" w:cs="Times New Roman"/>
                <w:noProof/>
                <w:color w:val="53565A"/>
                <w:sz w:val="21"/>
                <w:szCs w:val="21"/>
                <w:lang w:eastAsia="en-AU"/>
              </w:rPr>
              <w:drawing>
                <wp:inline distT="0" distB="0" distL="0" distR="0" wp14:anchorId="0CBDA219" wp14:editId="48008EA4">
                  <wp:extent cx="2952750" cy="2298603"/>
                  <wp:effectExtent l="0" t="0" r="0" b="6985"/>
                  <wp:docPr id="6962693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6269376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500" cy="23061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320B11" w14:textId="77777777" w:rsidR="001331FE" w:rsidRPr="00DC650F" w:rsidRDefault="001331FE" w:rsidP="00B51A53">
            <w:pPr>
              <w:spacing w:after="0" w:line="240" w:lineRule="auto"/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</w:pPr>
            <w:r w:rsidRPr="00DC650F">
              <w:rPr>
                <w:rFonts w:ascii="&amp;quot" w:eastAsia="Times New Roman" w:hAnsi="&amp;quot" w:cs="Times New Roman"/>
                <w:color w:val="53565A"/>
                <w:sz w:val="21"/>
                <w:szCs w:val="21"/>
                <w:lang w:eastAsia="en-AU"/>
              </w:rPr>
              <w:t xml:space="preserve">  </w:t>
            </w:r>
          </w:p>
        </w:tc>
      </w:tr>
    </w:tbl>
    <w:p w14:paraId="444C217C" w14:textId="77777777" w:rsidR="00390336" w:rsidRDefault="00390336"/>
    <w:p w14:paraId="37AD7B3F" w14:textId="77777777" w:rsidR="00613CEC" w:rsidRDefault="00613CEC"/>
    <w:p w14:paraId="155DFAA1" w14:textId="77777777" w:rsidR="00BF3357" w:rsidRDefault="00BF3357">
      <w:pPr>
        <w:rPr>
          <w:b/>
        </w:rPr>
      </w:pPr>
      <w:r>
        <w:rPr>
          <w:b/>
        </w:rPr>
        <w:br w:type="page"/>
      </w:r>
    </w:p>
    <w:p w14:paraId="5164A4B1" w14:textId="5A6F7B04" w:rsidR="00613CEC" w:rsidRDefault="00613CEC">
      <w:pPr>
        <w:rPr>
          <w:b/>
          <w:sz w:val="28"/>
          <w:szCs w:val="28"/>
        </w:rPr>
      </w:pPr>
      <w:r w:rsidRPr="00BF3357">
        <w:rPr>
          <w:b/>
          <w:sz w:val="28"/>
          <w:szCs w:val="28"/>
        </w:rPr>
        <w:lastRenderedPageBreak/>
        <w:t>Glossary</w:t>
      </w:r>
      <w:r w:rsidR="009B78D8">
        <w:rPr>
          <w:b/>
          <w:sz w:val="28"/>
          <w:szCs w:val="28"/>
        </w:rPr>
        <w:t xml:space="preserve"> of Terms Used in the Dashboard</w:t>
      </w:r>
    </w:p>
    <w:p w14:paraId="1D0EE89A" w14:textId="77777777" w:rsidR="001331FE" w:rsidRPr="00577B6C" w:rsidRDefault="001331FE" w:rsidP="001331FE">
      <w:pPr>
        <w:spacing w:after="0" w:line="480" w:lineRule="auto"/>
        <w:rPr>
          <w:b/>
          <w:sz w:val="20"/>
          <w:szCs w:val="20"/>
        </w:rPr>
      </w:pPr>
      <w:r w:rsidRPr="00577B6C">
        <w:rPr>
          <w:b/>
          <w:sz w:val="20"/>
          <w:szCs w:val="20"/>
        </w:rPr>
        <w:t>Net Operating Margin</w:t>
      </w:r>
    </w:p>
    <w:p w14:paraId="5FFE2EAA" w14:textId="77777777" w:rsidR="001331FE" w:rsidRPr="00577B6C" w:rsidRDefault="001647F4" w:rsidP="001331FE">
      <w:pPr>
        <w:spacing w:after="0" w:line="480" w:lineRule="auto"/>
        <w:rPr>
          <w:sz w:val="20"/>
          <w:szCs w:val="20"/>
        </w:rPr>
      </w:pPr>
      <w:r>
        <w:rPr>
          <w:sz w:val="20"/>
          <w:szCs w:val="20"/>
        </w:rPr>
        <w:t>N</w:t>
      </w:r>
      <w:r w:rsidR="001331FE" w:rsidRPr="00577B6C">
        <w:rPr>
          <w:sz w:val="20"/>
          <w:szCs w:val="20"/>
        </w:rPr>
        <w:t>et operating result</w:t>
      </w:r>
      <w:r>
        <w:rPr>
          <w:sz w:val="20"/>
          <w:szCs w:val="20"/>
        </w:rPr>
        <w:t xml:space="preserve"> divided by total revenue</w:t>
      </w:r>
      <w:r w:rsidR="001331FE" w:rsidRPr="00577B6C">
        <w:rPr>
          <w:sz w:val="20"/>
          <w:szCs w:val="20"/>
        </w:rPr>
        <w:t xml:space="preserve"> </w:t>
      </w:r>
    </w:p>
    <w:p w14:paraId="35511DFA" w14:textId="77777777" w:rsidR="001331FE" w:rsidRPr="009B1111" w:rsidRDefault="001331FE" w:rsidP="001331FE">
      <w:pPr>
        <w:tabs>
          <w:tab w:val="left" w:pos="6684"/>
        </w:tabs>
        <w:spacing w:after="0" w:line="480" w:lineRule="auto"/>
        <w:rPr>
          <w:rFonts w:cs="Arial"/>
          <w:b/>
          <w:sz w:val="20"/>
        </w:rPr>
      </w:pPr>
      <w:r>
        <w:rPr>
          <w:rFonts w:cs="Arial"/>
          <w:b/>
          <w:sz w:val="20"/>
        </w:rPr>
        <w:t xml:space="preserve">Australian </w:t>
      </w:r>
      <w:r w:rsidRPr="009B1111">
        <w:rPr>
          <w:rFonts w:cs="Arial"/>
          <w:b/>
          <w:sz w:val="20"/>
        </w:rPr>
        <w:t xml:space="preserve">Government </w:t>
      </w:r>
      <w:r>
        <w:rPr>
          <w:rFonts w:cs="Arial"/>
          <w:b/>
          <w:sz w:val="20"/>
        </w:rPr>
        <w:t>F</w:t>
      </w:r>
      <w:r w:rsidRPr="009B1111">
        <w:rPr>
          <w:rFonts w:cs="Arial"/>
          <w:b/>
          <w:sz w:val="20"/>
        </w:rPr>
        <w:t>unding</w:t>
      </w:r>
      <w:r>
        <w:rPr>
          <w:rFonts w:cs="Arial"/>
          <w:b/>
          <w:sz w:val="20"/>
        </w:rPr>
        <w:t xml:space="preserve"> as a Proportion of Revenue</w:t>
      </w:r>
    </w:p>
    <w:p w14:paraId="03F7E115" w14:textId="77777777" w:rsidR="001331FE" w:rsidRDefault="001647F4" w:rsidP="001331FE">
      <w:pPr>
        <w:spacing w:after="0" w:line="480" w:lineRule="auto"/>
        <w:rPr>
          <w:rFonts w:cs="Arial"/>
          <w:sz w:val="20"/>
        </w:rPr>
      </w:pPr>
      <w:r>
        <w:rPr>
          <w:rFonts w:cs="Arial"/>
          <w:sz w:val="20"/>
        </w:rPr>
        <w:t>T</w:t>
      </w:r>
      <w:r w:rsidR="001331FE">
        <w:rPr>
          <w:rFonts w:cs="Arial"/>
          <w:sz w:val="20"/>
        </w:rPr>
        <w:t>otal Australian</w:t>
      </w:r>
      <w:r w:rsidR="001331FE" w:rsidRPr="00A11C1C">
        <w:rPr>
          <w:rFonts w:cs="Arial"/>
          <w:sz w:val="20"/>
        </w:rPr>
        <w:t xml:space="preserve"> Government </w:t>
      </w:r>
      <w:r w:rsidR="001331FE">
        <w:rPr>
          <w:rFonts w:cs="Arial"/>
          <w:sz w:val="20"/>
        </w:rPr>
        <w:t xml:space="preserve">funding </w:t>
      </w:r>
      <w:r w:rsidR="001C10F0">
        <w:rPr>
          <w:rFonts w:cs="Arial"/>
          <w:sz w:val="20"/>
        </w:rPr>
        <w:t>divided by total revenue</w:t>
      </w:r>
    </w:p>
    <w:p w14:paraId="57828D43" w14:textId="77777777" w:rsidR="001331FE" w:rsidRPr="009B1111" w:rsidRDefault="001331FE" w:rsidP="001331FE">
      <w:pPr>
        <w:spacing w:after="0" w:line="480" w:lineRule="auto"/>
        <w:rPr>
          <w:b/>
        </w:rPr>
      </w:pPr>
      <w:r>
        <w:rPr>
          <w:rFonts w:cs="Arial"/>
          <w:b/>
          <w:sz w:val="20"/>
        </w:rPr>
        <w:t>International</w:t>
      </w:r>
      <w:r w:rsidRPr="009B1111">
        <w:rPr>
          <w:rFonts w:cs="Arial"/>
          <w:b/>
          <w:sz w:val="20"/>
        </w:rPr>
        <w:t xml:space="preserve"> </w:t>
      </w:r>
      <w:r>
        <w:rPr>
          <w:rFonts w:cs="Arial"/>
          <w:b/>
          <w:sz w:val="20"/>
        </w:rPr>
        <w:t>S</w:t>
      </w:r>
      <w:r w:rsidRPr="009B1111">
        <w:rPr>
          <w:rFonts w:cs="Arial"/>
          <w:b/>
          <w:sz w:val="20"/>
        </w:rPr>
        <w:t xml:space="preserve">tudent </w:t>
      </w:r>
      <w:r>
        <w:rPr>
          <w:rFonts w:cs="Arial"/>
          <w:b/>
          <w:sz w:val="20"/>
        </w:rPr>
        <w:t>F</w:t>
      </w:r>
      <w:r w:rsidRPr="009B1111">
        <w:rPr>
          <w:rFonts w:cs="Arial"/>
          <w:b/>
          <w:sz w:val="20"/>
        </w:rPr>
        <w:t>ees</w:t>
      </w:r>
      <w:r>
        <w:rPr>
          <w:rFonts w:cs="Arial"/>
          <w:b/>
          <w:sz w:val="20"/>
        </w:rPr>
        <w:t xml:space="preserve"> as a Proportion of Revenue</w:t>
      </w:r>
    </w:p>
    <w:p w14:paraId="46722ABE" w14:textId="77777777" w:rsidR="001331FE" w:rsidRDefault="00412B46" w:rsidP="001331FE">
      <w:pPr>
        <w:spacing w:after="0" w:line="480" w:lineRule="auto"/>
        <w:rPr>
          <w:rFonts w:cs="Arial"/>
          <w:sz w:val="20"/>
        </w:rPr>
      </w:pPr>
      <w:r>
        <w:rPr>
          <w:rFonts w:cs="Arial"/>
          <w:sz w:val="20"/>
        </w:rPr>
        <w:t>International</w:t>
      </w:r>
      <w:r w:rsidR="001647F4" w:rsidRPr="00C33084">
        <w:rPr>
          <w:rFonts w:cs="Arial"/>
          <w:sz w:val="20"/>
        </w:rPr>
        <w:t xml:space="preserve"> student fees </w:t>
      </w:r>
      <w:r w:rsidR="001647F4">
        <w:rPr>
          <w:rFonts w:cs="Arial"/>
          <w:sz w:val="20"/>
        </w:rPr>
        <w:t>divided by total revenue</w:t>
      </w:r>
      <w:r w:rsidR="001331FE">
        <w:rPr>
          <w:rFonts w:cs="Arial"/>
          <w:sz w:val="20"/>
        </w:rPr>
        <w:t xml:space="preserve"> </w:t>
      </w:r>
    </w:p>
    <w:sectPr w:rsidR="001331FE" w:rsidSect="007D23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4E800" w14:textId="77777777" w:rsidR="00924D31" w:rsidRDefault="00924D31" w:rsidP="00924D31">
      <w:pPr>
        <w:spacing w:after="0" w:line="240" w:lineRule="auto"/>
      </w:pPr>
      <w:r>
        <w:separator/>
      </w:r>
    </w:p>
  </w:endnote>
  <w:endnote w:type="continuationSeparator" w:id="0">
    <w:p w14:paraId="010AF92C" w14:textId="77777777" w:rsidR="00924D31" w:rsidRDefault="00924D31" w:rsidP="0092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D361C" w14:textId="77777777" w:rsidR="00924D31" w:rsidRDefault="00924D31" w:rsidP="00924D31">
      <w:pPr>
        <w:spacing w:after="0" w:line="240" w:lineRule="auto"/>
      </w:pPr>
      <w:r>
        <w:separator/>
      </w:r>
    </w:p>
  </w:footnote>
  <w:footnote w:type="continuationSeparator" w:id="0">
    <w:p w14:paraId="52624CBF" w14:textId="77777777" w:rsidR="00924D31" w:rsidRDefault="00924D31" w:rsidP="00924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24954"/>
    <w:multiLevelType w:val="multilevel"/>
    <w:tmpl w:val="C4463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E04E73"/>
    <w:multiLevelType w:val="multilevel"/>
    <w:tmpl w:val="89449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FE2BC2"/>
    <w:multiLevelType w:val="hybridMultilevel"/>
    <w:tmpl w:val="E976DF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42F11"/>
    <w:multiLevelType w:val="multilevel"/>
    <w:tmpl w:val="98DA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0B5D97"/>
    <w:multiLevelType w:val="multilevel"/>
    <w:tmpl w:val="6956A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28579791">
    <w:abstractNumId w:val="3"/>
  </w:num>
  <w:num w:numId="2" w16cid:durableId="1059675071">
    <w:abstractNumId w:val="4"/>
  </w:num>
  <w:num w:numId="3" w16cid:durableId="1773545499">
    <w:abstractNumId w:val="0"/>
  </w:num>
  <w:num w:numId="4" w16cid:durableId="1711759443">
    <w:abstractNumId w:val="1"/>
  </w:num>
  <w:num w:numId="5" w16cid:durableId="725490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50F"/>
    <w:rsid w:val="00001C42"/>
    <w:rsid w:val="0000389A"/>
    <w:rsid w:val="00065070"/>
    <w:rsid w:val="000709D3"/>
    <w:rsid w:val="000A15E2"/>
    <w:rsid w:val="000B0283"/>
    <w:rsid w:val="000C37A1"/>
    <w:rsid w:val="000D79B8"/>
    <w:rsid w:val="000E49C1"/>
    <w:rsid w:val="00117608"/>
    <w:rsid w:val="001331FE"/>
    <w:rsid w:val="00142969"/>
    <w:rsid w:val="0015476E"/>
    <w:rsid w:val="001647F4"/>
    <w:rsid w:val="0016718C"/>
    <w:rsid w:val="001734B6"/>
    <w:rsid w:val="00175C66"/>
    <w:rsid w:val="00183B1D"/>
    <w:rsid w:val="001C10F0"/>
    <w:rsid w:val="001F3D3E"/>
    <w:rsid w:val="002071D3"/>
    <w:rsid w:val="00234F6C"/>
    <w:rsid w:val="00263E22"/>
    <w:rsid w:val="00270BDC"/>
    <w:rsid w:val="002F6110"/>
    <w:rsid w:val="0031368A"/>
    <w:rsid w:val="00320FBF"/>
    <w:rsid w:val="00326A16"/>
    <w:rsid w:val="00334C9E"/>
    <w:rsid w:val="00341E15"/>
    <w:rsid w:val="00390336"/>
    <w:rsid w:val="003A173D"/>
    <w:rsid w:val="003D6053"/>
    <w:rsid w:val="003F2FBB"/>
    <w:rsid w:val="0041192F"/>
    <w:rsid w:val="00412B46"/>
    <w:rsid w:val="004605EF"/>
    <w:rsid w:val="00474909"/>
    <w:rsid w:val="004A29C6"/>
    <w:rsid w:val="004D285F"/>
    <w:rsid w:val="004D345C"/>
    <w:rsid w:val="004D5633"/>
    <w:rsid w:val="00506717"/>
    <w:rsid w:val="005104D8"/>
    <w:rsid w:val="005215E8"/>
    <w:rsid w:val="005406E3"/>
    <w:rsid w:val="00551602"/>
    <w:rsid w:val="00595D0E"/>
    <w:rsid w:val="005A05CA"/>
    <w:rsid w:val="005C5FEC"/>
    <w:rsid w:val="00605D72"/>
    <w:rsid w:val="00613CEC"/>
    <w:rsid w:val="00665A7F"/>
    <w:rsid w:val="0067216C"/>
    <w:rsid w:val="00682A44"/>
    <w:rsid w:val="006C6FF1"/>
    <w:rsid w:val="006D2B7F"/>
    <w:rsid w:val="006D5644"/>
    <w:rsid w:val="0071302E"/>
    <w:rsid w:val="00723DC1"/>
    <w:rsid w:val="007429EF"/>
    <w:rsid w:val="00761ED0"/>
    <w:rsid w:val="007B065B"/>
    <w:rsid w:val="007D232C"/>
    <w:rsid w:val="00806390"/>
    <w:rsid w:val="008654AC"/>
    <w:rsid w:val="00873F28"/>
    <w:rsid w:val="0088160A"/>
    <w:rsid w:val="008A08A6"/>
    <w:rsid w:val="008A64F8"/>
    <w:rsid w:val="00924D31"/>
    <w:rsid w:val="009B1111"/>
    <w:rsid w:val="009B78D8"/>
    <w:rsid w:val="009D6111"/>
    <w:rsid w:val="00A35FAB"/>
    <w:rsid w:val="00A45DE7"/>
    <w:rsid w:val="00A77A79"/>
    <w:rsid w:val="00A964BB"/>
    <w:rsid w:val="00AA5C00"/>
    <w:rsid w:val="00AD7832"/>
    <w:rsid w:val="00AF1721"/>
    <w:rsid w:val="00AF649B"/>
    <w:rsid w:val="00B01B95"/>
    <w:rsid w:val="00B17D32"/>
    <w:rsid w:val="00B50804"/>
    <w:rsid w:val="00B64C56"/>
    <w:rsid w:val="00B74817"/>
    <w:rsid w:val="00BA0BAC"/>
    <w:rsid w:val="00BB4F2C"/>
    <w:rsid w:val="00BF3357"/>
    <w:rsid w:val="00C02ED1"/>
    <w:rsid w:val="00C113E5"/>
    <w:rsid w:val="00C45CEC"/>
    <w:rsid w:val="00C46570"/>
    <w:rsid w:val="00C559E9"/>
    <w:rsid w:val="00C66421"/>
    <w:rsid w:val="00C709A2"/>
    <w:rsid w:val="00C7170B"/>
    <w:rsid w:val="00C91E3D"/>
    <w:rsid w:val="00CC1EF1"/>
    <w:rsid w:val="00CD7334"/>
    <w:rsid w:val="00CD787F"/>
    <w:rsid w:val="00D04422"/>
    <w:rsid w:val="00D11AC1"/>
    <w:rsid w:val="00D12B93"/>
    <w:rsid w:val="00D16608"/>
    <w:rsid w:val="00D21EDA"/>
    <w:rsid w:val="00D9036B"/>
    <w:rsid w:val="00D93086"/>
    <w:rsid w:val="00DC650F"/>
    <w:rsid w:val="00DE54F8"/>
    <w:rsid w:val="00E1067C"/>
    <w:rsid w:val="00E12AF0"/>
    <w:rsid w:val="00E363A5"/>
    <w:rsid w:val="00E743C0"/>
    <w:rsid w:val="00E84FE5"/>
    <w:rsid w:val="00E920C1"/>
    <w:rsid w:val="00EB0115"/>
    <w:rsid w:val="00EB24B2"/>
    <w:rsid w:val="00EB3586"/>
    <w:rsid w:val="00EB7411"/>
    <w:rsid w:val="00ED34FD"/>
    <w:rsid w:val="00ED4E83"/>
    <w:rsid w:val="00ED6BF0"/>
    <w:rsid w:val="00EF4803"/>
    <w:rsid w:val="00EF7ACF"/>
    <w:rsid w:val="00F433E0"/>
    <w:rsid w:val="00F84521"/>
    <w:rsid w:val="00F95458"/>
    <w:rsid w:val="00FB35D8"/>
    <w:rsid w:val="00FB54EC"/>
    <w:rsid w:val="00FE1FD4"/>
    <w:rsid w:val="00FF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0B23479"/>
  <w15:chartTrackingRefBased/>
  <w15:docId w15:val="{384C10FD-EEC8-4D4B-972D-611598D5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C65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C650F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DC6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DC650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C650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26A16"/>
    <w:pPr>
      <w:ind w:left="720"/>
      <w:contextualSpacing/>
    </w:pPr>
  </w:style>
  <w:style w:type="table" w:styleId="TableGrid">
    <w:name w:val="Table Grid"/>
    <w:basedOn w:val="TableNormal"/>
    <w:rsid w:val="00613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B24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24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24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4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4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4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4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85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FDBAF3-62A1-4429-99C6-CA2EB72ABC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FB1139-162F-4A9D-9F00-A41BE834C5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EEAF85-DF3E-47FE-9BAE-AA2E09B18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300</Words>
  <Characters>1541</Characters>
  <Application>Microsoft Office Word</Application>
  <DocSecurity>0</DocSecurity>
  <Lines>76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Australian Government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HON,Phoebe</dc:creator>
  <cp:keywords/>
  <dc:description/>
  <cp:lastModifiedBy>DOWNEY,Grace</cp:lastModifiedBy>
  <cp:revision>2</cp:revision>
  <dcterms:created xsi:type="dcterms:W3CDTF">2025-11-17T03:17:00Z</dcterms:created>
  <dcterms:modified xsi:type="dcterms:W3CDTF">2025-11-17T03:17:00Z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2022-10-24T03:27:05Z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656b1d03-8451-4b3c-8d24-68880c0b6e37</vt:lpwstr>
  </property>
  <property fmtid="{D5CDD505-2E9C-101B-9397-08002B2CF9AE}" pid="8" name="MSIP_Label_79d889eb-932f-4752-8739-64d25806ef64_ContentBits">
    <vt:lpwstr>0</vt:lpwstr>
  </property>
</Properties>
</file>