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3FCD" w14:textId="4DD161C1" w:rsidR="00C976B2" w:rsidRPr="00C976B2" w:rsidRDefault="00C976B2" w:rsidP="00C976B2">
      <w:pPr>
        <w:ind w:left="-1440"/>
      </w:pPr>
      <w:r w:rsidRPr="00A023BC">
        <w:rPr>
          <w:noProof/>
        </w:rPr>
        <w:drawing>
          <wp:inline distT="0" distB="0" distL="0" distR="0" wp14:anchorId="74A0117C" wp14:editId="54A69984">
            <wp:extent cx="7560000" cy="1267200"/>
            <wp:effectExtent l="0" t="0" r="3175" b="9525"/>
            <wp:docPr id="1221250107" name="Picture 1221250107"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94408" name="Picture 660994408" descr="Australian Government crest and Tuition Protection Serv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inline>
        </w:drawing>
      </w:r>
    </w:p>
    <w:p w14:paraId="3091710E" w14:textId="03644FE1" w:rsidR="00C976B2" w:rsidRDefault="0012322C" w:rsidP="002F26A8">
      <w:pPr>
        <w:pStyle w:val="Heading1"/>
        <w:sectPr w:rsidR="00C976B2" w:rsidSect="00C976B2">
          <w:footerReference w:type="default" r:id="rId12"/>
          <w:footerReference w:type="first" r:id="rId13"/>
          <w:type w:val="continuous"/>
          <w:pgSz w:w="11906" w:h="16838" w:code="9"/>
          <w:pgMar w:top="0" w:right="1440" w:bottom="1134" w:left="1440" w:header="709" w:footer="709" w:gutter="0"/>
          <w:cols w:space="708"/>
          <w:titlePg/>
          <w:docGrid w:linePitch="360"/>
        </w:sectPr>
      </w:pPr>
      <w:r>
        <w:t xml:space="preserve">2025 </w:t>
      </w:r>
      <w:r w:rsidR="001F05F0" w:rsidRPr="0012322C">
        <w:t xml:space="preserve">Higher Education Loan Program (HELP) </w:t>
      </w:r>
      <w:r w:rsidR="004B6426" w:rsidRPr="0012322C">
        <w:t xml:space="preserve">Tuition Protection </w:t>
      </w:r>
      <w:r w:rsidR="00F56D5C" w:rsidRPr="0012322C">
        <w:t>Levy</w:t>
      </w:r>
    </w:p>
    <w:p w14:paraId="270156ED" w14:textId="1BDDEA07" w:rsidR="004B6426" w:rsidRPr="0012322C" w:rsidRDefault="001A7EED" w:rsidP="0012322C">
      <w:pPr>
        <w:pStyle w:val="Subtitle"/>
      </w:pPr>
      <w:r w:rsidRPr="0012322C">
        <w:t>Calculation Guidelines</w:t>
      </w:r>
    </w:p>
    <w:p w14:paraId="79707C17" w14:textId="4E18D341" w:rsidR="004B6426" w:rsidRDefault="001F05F0" w:rsidP="0012322C">
      <w:pPr>
        <w:pStyle w:val="Heading2"/>
      </w:pPr>
      <w:r w:rsidRPr="0012322C">
        <w:t xml:space="preserve">The HELP </w:t>
      </w:r>
      <w:r w:rsidR="001928F2" w:rsidRPr="0012322C">
        <w:t>L</w:t>
      </w:r>
      <w:r w:rsidR="004B6426" w:rsidRPr="0012322C">
        <w:t xml:space="preserve">evy is </w:t>
      </w:r>
      <w:r w:rsidR="007B1B7B" w:rsidRPr="0012322C">
        <w:t>comprised of three parts</w:t>
      </w:r>
      <w:r w:rsidR="007E2DD2" w:rsidRPr="0012322C">
        <w:t>:</w:t>
      </w:r>
    </w:p>
    <w:tbl>
      <w:tblPr>
        <w:tblStyle w:val="TPSTable"/>
        <w:tblW w:w="2670" w:type="pct"/>
        <w:jc w:val="center"/>
        <w:tblBorders>
          <w:top w:val="single" w:sz="4" w:space="0" w:color="367079"/>
          <w:left w:val="single" w:sz="4" w:space="0" w:color="367079"/>
          <w:bottom w:val="single" w:sz="4" w:space="0" w:color="367079"/>
          <w:right w:val="single" w:sz="4" w:space="0" w:color="367079"/>
          <w:insideH w:val="single" w:sz="4" w:space="0" w:color="367079"/>
          <w:insideV w:val="single" w:sz="4" w:space="0" w:color="367079"/>
        </w:tblBorders>
        <w:shd w:val="clear" w:color="auto" w:fill="D8EBEE" w:themeFill="accent1" w:themeFillTint="33"/>
        <w:tblLook w:val="04A0" w:firstRow="1" w:lastRow="0" w:firstColumn="1" w:lastColumn="0" w:noHBand="0" w:noVBand="1"/>
      </w:tblPr>
      <w:tblGrid>
        <w:gridCol w:w="4815"/>
      </w:tblGrid>
      <w:tr w:rsidR="002A1760" w:rsidRPr="000A7B92" w14:paraId="72C39B35" w14:textId="77777777" w:rsidTr="00F75BC8">
        <w:trPr>
          <w:cnfStyle w:val="100000000000" w:firstRow="1" w:lastRow="0" w:firstColumn="0" w:lastColumn="0" w:oddVBand="0" w:evenVBand="0" w:oddHBand="0" w:evenHBand="0" w:firstRowFirstColumn="0" w:firstRowLastColumn="0" w:lastRowFirstColumn="0" w:lastRowLastColumn="0"/>
          <w:trHeight w:val="582"/>
          <w:jc w:val="center"/>
        </w:trPr>
        <w:tc>
          <w:tcPr>
            <w:tcW w:w="5000" w:type="pct"/>
            <w:tc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tcBorders>
            <w:shd w:val="clear" w:color="auto" w:fill="D8EBEE"/>
            <w:hideMark/>
          </w:tcPr>
          <w:p w14:paraId="3D369A20" w14:textId="018F8338" w:rsidR="002A1760" w:rsidRPr="002A1760" w:rsidRDefault="002A1760" w:rsidP="002A1760">
            <w:pPr>
              <w:pStyle w:val="Tablecontents"/>
              <w:rPr>
                <w:rFonts w:cstheme="minorBidi"/>
                <w:b w:val="0"/>
                <w:bCs/>
              </w:rPr>
            </w:pPr>
            <w:r w:rsidRPr="002A1760">
              <w:rPr>
                <w:b w:val="0"/>
                <w:bCs/>
              </w:rPr>
              <w:t>HELP Levy = A + R + S</w:t>
            </w:r>
          </w:p>
        </w:tc>
      </w:tr>
    </w:tbl>
    <w:p w14:paraId="6FC18085" w14:textId="296D4D11" w:rsidR="00191C07" w:rsidRPr="000A7B92" w:rsidRDefault="00A03002" w:rsidP="00C33F82">
      <w:pPr>
        <w:tabs>
          <w:tab w:val="left" w:pos="3825"/>
        </w:tabs>
        <w:spacing w:before="120" w:after="0"/>
        <w:rPr>
          <w:rFonts w:cs="Calibri"/>
          <w:i/>
          <w:iCs/>
        </w:rPr>
      </w:pPr>
      <w:r>
        <w:rPr>
          <w:rFonts w:cs="Calibri"/>
          <w:i/>
          <w:iCs/>
        </w:rPr>
        <w:t>w</w:t>
      </w:r>
      <w:r w:rsidR="004C1ABC" w:rsidRPr="000A7B92">
        <w:rPr>
          <w:rFonts w:cs="Calibri"/>
          <w:i/>
          <w:iCs/>
        </w:rPr>
        <w:t>here:</w:t>
      </w:r>
    </w:p>
    <w:p w14:paraId="26E531BB" w14:textId="0DF39FBC" w:rsidR="004C1ABC" w:rsidRPr="000A7B92" w:rsidRDefault="004C1ABC" w:rsidP="007E2DD2">
      <w:pPr>
        <w:spacing w:after="0"/>
        <w:ind w:firstLine="720"/>
        <w:rPr>
          <w:rFonts w:cs="Calibri"/>
        </w:rPr>
      </w:pPr>
      <w:r w:rsidRPr="000A7B92">
        <w:rPr>
          <w:rFonts w:cs="Calibri"/>
        </w:rPr>
        <w:t>A = t</w:t>
      </w:r>
      <w:r w:rsidR="004B6426" w:rsidRPr="000A7B92">
        <w:rPr>
          <w:rFonts w:cs="Calibri"/>
        </w:rPr>
        <w:t xml:space="preserve">he </w:t>
      </w:r>
      <w:r w:rsidR="00D86281" w:rsidRPr="000A7B92">
        <w:rPr>
          <w:rFonts w:cs="Calibri"/>
        </w:rPr>
        <w:t>A</w:t>
      </w:r>
      <w:r w:rsidR="004B6426" w:rsidRPr="000A7B92">
        <w:rPr>
          <w:rFonts w:cs="Calibri"/>
        </w:rPr>
        <w:t xml:space="preserve">dministrative </w:t>
      </w:r>
      <w:r w:rsidR="004B7C56">
        <w:rPr>
          <w:rFonts w:cs="Calibri"/>
        </w:rPr>
        <w:t>F</w:t>
      </w:r>
      <w:r w:rsidR="004B6426" w:rsidRPr="000A7B92">
        <w:rPr>
          <w:rFonts w:cs="Calibri"/>
        </w:rPr>
        <w:t xml:space="preserve">ee </w:t>
      </w:r>
      <w:proofErr w:type="gramStart"/>
      <w:r w:rsidR="004B6426" w:rsidRPr="000A7B92">
        <w:rPr>
          <w:rFonts w:cs="Calibri"/>
        </w:rPr>
        <w:t>component;</w:t>
      </w:r>
      <w:proofErr w:type="gramEnd"/>
    </w:p>
    <w:p w14:paraId="07EE762A" w14:textId="77777777" w:rsidR="004C1ABC" w:rsidRPr="000A7B92" w:rsidRDefault="004C1ABC" w:rsidP="007E2DD2">
      <w:pPr>
        <w:spacing w:after="0"/>
        <w:ind w:firstLine="720"/>
        <w:rPr>
          <w:rFonts w:cs="Calibri"/>
        </w:rPr>
      </w:pPr>
      <w:r w:rsidRPr="000A7B92">
        <w:rPr>
          <w:rFonts w:cs="Calibri"/>
        </w:rPr>
        <w:t xml:space="preserve">R = </w:t>
      </w:r>
      <w:r w:rsidR="004B6426" w:rsidRPr="000A7B92">
        <w:rPr>
          <w:rFonts w:cs="Calibri"/>
        </w:rPr>
        <w:t xml:space="preserve">the </w:t>
      </w:r>
      <w:r w:rsidR="00D86281" w:rsidRPr="000A7B92">
        <w:rPr>
          <w:rFonts w:cs="Calibri"/>
        </w:rPr>
        <w:t>R</w:t>
      </w:r>
      <w:r w:rsidR="004B6426" w:rsidRPr="000A7B92">
        <w:rPr>
          <w:rFonts w:cs="Calibri"/>
        </w:rPr>
        <w:t xml:space="preserve">isk </w:t>
      </w:r>
      <w:r w:rsidR="00D86281" w:rsidRPr="000A7B92">
        <w:rPr>
          <w:rFonts w:cs="Calibri"/>
        </w:rPr>
        <w:t>R</w:t>
      </w:r>
      <w:r w:rsidR="004B6426" w:rsidRPr="000A7B92">
        <w:rPr>
          <w:rFonts w:cs="Calibri"/>
        </w:rPr>
        <w:t xml:space="preserve">ated </w:t>
      </w:r>
      <w:r w:rsidR="00D86281" w:rsidRPr="000A7B92">
        <w:rPr>
          <w:rFonts w:cs="Calibri"/>
        </w:rPr>
        <w:t>P</w:t>
      </w:r>
      <w:r w:rsidR="004B6426" w:rsidRPr="000A7B92">
        <w:rPr>
          <w:rFonts w:cs="Calibri"/>
        </w:rPr>
        <w:t xml:space="preserve">remium component; and </w:t>
      </w:r>
    </w:p>
    <w:p w14:paraId="7C55810E" w14:textId="1FF37298" w:rsidR="004B6426" w:rsidRDefault="004C1ABC" w:rsidP="007E2DD2">
      <w:pPr>
        <w:spacing w:after="0"/>
        <w:ind w:firstLine="720"/>
        <w:rPr>
          <w:rFonts w:cs="Calibri"/>
        </w:rPr>
      </w:pPr>
      <w:r w:rsidRPr="000A7B92">
        <w:rPr>
          <w:rFonts w:cs="Calibri"/>
        </w:rPr>
        <w:t xml:space="preserve">S = </w:t>
      </w:r>
      <w:r w:rsidR="004B6426" w:rsidRPr="000A7B92">
        <w:rPr>
          <w:rFonts w:cs="Calibri"/>
        </w:rPr>
        <w:t xml:space="preserve">the </w:t>
      </w:r>
      <w:r w:rsidR="00D86281" w:rsidRPr="000A7B92">
        <w:rPr>
          <w:rFonts w:cs="Calibri"/>
        </w:rPr>
        <w:t>S</w:t>
      </w:r>
      <w:r w:rsidR="004B6426" w:rsidRPr="000A7B92">
        <w:rPr>
          <w:rFonts w:cs="Calibri"/>
        </w:rPr>
        <w:t xml:space="preserve">pecial </w:t>
      </w:r>
      <w:r w:rsidR="00D86281" w:rsidRPr="000A7B92">
        <w:rPr>
          <w:rFonts w:cs="Calibri"/>
        </w:rPr>
        <w:t>T</w:t>
      </w:r>
      <w:r w:rsidR="004B6426" w:rsidRPr="000A7B92">
        <w:rPr>
          <w:rFonts w:cs="Calibri"/>
        </w:rPr>
        <w:t xml:space="preserve">uition </w:t>
      </w:r>
      <w:r w:rsidR="00D86281" w:rsidRPr="000A7B92">
        <w:rPr>
          <w:rFonts w:cs="Calibri"/>
        </w:rPr>
        <w:t>P</w:t>
      </w:r>
      <w:r w:rsidR="004B6426" w:rsidRPr="000A7B92">
        <w:rPr>
          <w:rFonts w:cs="Calibri"/>
        </w:rPr>
        <w:t>rotection component.</w:t>
      </w:r>
    </w:p>
    <w:p w14:paraId="0C1A1689" w14:textId="77777777" w:rsidR="006646FE" w:rsidRDefault="006646FE" w:rsidP="006646FE">
      <w:pPr>
        <w:spacing w:after="0"/>
        <w:rPr>
          <w:rFonts w:cs="Calibri"/>
        </w:rPr>
      </w:pPr>
    </w:p>
    <w:p w14:paraId="791597D4" w14:textId="339D0D4E" w:rsidR="006646FE" w:rsidRDefault="005D0CAD" w:rsidP="006646FE">
      <w:pPr>
        <w:spacing w:after="0"/>
        <w:rPr>
          <w:rFonts w:cs="Calibri"/>
        </w:rPr>
      </w:pPr>
      <w:r>
        <w:rPr>
          <w:rFonts w:cs="Calibri"/>
        </w:rPr>
        <w:t xml:space="preserve">All non-exempt higher education providers </w:t>
      </w:r>
      <w:r w:rsidR="00141A88">
        <w:rPr>
          <w:rFonts w:cs="Calibri"/>
        </w:rPr>
        <w:t>who offer H</w:t>
      </w:r>
      <w:r w:rsidR="00E73114">
        <w:rPr>
          <w:rFonts w:cs="Calibri"/>
        </w:rPr>
        <w:t>igher Education Loans Program (HELP) courses are required to pay the annual HELP Tuition Protection Levy (HELP Levy)</w:t>
      </w:r>
      <w:r w:rsidR="00295A34">
        <w:rPr>
          <w:rFonts w:cs="Calibri"/>
        </w:rPr>
        <w:t>. The HELP Levy funds the student placement and loan re-credit activities of the TPS in the event of a higher education provider default, as well as TPS operational costs.</w:t>
      </w:r>
      <w:r w:rsidR="00162096">
        <w:rPr>
          <w:rFonts w:cs="Calibri"/>
        </w:rPr>
        <w:t xml:space="preserve"> The HELP Levy is paid into the Higher Education Tuition Protection Fund (HE Fund), which is managed by the TPS Director</w:t>
      </w:r>
      <w:r w:rsidR="005C22C7">
        <w:rPr>
          <w:rFonts w:cs="Calibri"/>
        </w:rPr>
        <w:t>.</w:t>
      </w:r>
    </w:p>
    <w:p w14:paraId="47A9DCAF" w14:textId="77777777" w:rsidR="006646FE" w:rsidRDefault="006646FE" w:rsidP="006646FE">
      <w:pPr>
        <w:spacing w:after="0"/>
        <w:rPr>
          <w:rFonts w:cs="Calibri"/>
        </w:rPr>
      </w:pPr>
    </w:p>
    <w:p w14:paraId="2E401917" w14:textId="0F693D1F" w:rsidR="006646FE" w:rsidRPr="000A7B92" w:rsidRDefault="006646FE" w:rsidP="006646FE">
      <w:pPr>
        <w:spacing w:after="0"/>
        <w:rPr>
          <w:rFonts w:cs="Calibri"/>
        </w:rPr>
      </w:pPr>
      <w:r w:rsidRPr="000A7B92">
        <w:rPr>
          <w:rFonts w:cs="Calibri"/>
        </w:rPr>
        <w:t xml:space="preserve">Legislative authority to collect the </w:t>
      </w:r>
      <w:r w:rsidRPr="000A7B92">
        <w:rPr>
          <w:rFonts w:cs="Calibri"/>
          <w:b/>
          <w:bCs/>
        </w:rPr>
        <w:t>HELP Levy</w:t>
      </w:r>
      <w:r w:rsidRPr="000A7B92">
        <w:rPr>
          <w:rFonts w:cs="Calibri"/>
        </w:rPr>
        <w:t xml:space="preserve"> is outlined in the </w:t>
      </w:r>
      <w:hyperlink r:id="rId14" w:history="1">
        <w:r w:rsidRPr="000A7B92">
          <w:rPr>
            <w:rStyle w:val="Hyperlink"/>
            <w:rFonts w:cs="Calibri"/>
            <w:i/>
            <w:iCs/>
          </w:rPr>
          <w:t>Higher Education Support (HELP Tuition Protection Levy) Act 2020</w:t>
        </w:r>
      </w:hyperlink>
      <w:r w:rsidR="005C22C7">
        <w:t>.</w:t>
      </w:r>
      <w:r>
        <w:rPr>
          <w:rStyle w:val="FootnoteReference"/>
          <w:rFonts w:cs="Calibri"/>
          <w:i/>
          <w:iCs/>
        </w:rPr>
        <w:footnoteReference w:id="2"/>
      </w:r>
      <w:r w:rsidRPr="000A7B92">
        <w:rPr>
          <w:rFonts w:cs="Calibri"/>
        </w:rPr>
        <w:t xml:space="preserve"> </w:t>
      </w:r>
    </w:p>
    <w:p w14:paraId="7744EB92" w14:textId="0A66B7DA" w:rsidR="004B6426" w:rsidRPr="0012322C" w:rsidRDefault="004B6426" w:rsidP="0012322C">
      <w:pPr>
        <w:pStyle w:val="Heading3"/>
      </w:pPr>
      <w:r w:rsidRPr="0012322C">
        <w:t xml:space="preserve">Administrative </w:t>
      </w:r>
      <w:r w:rsidR="004B7C56" w:rsidRPr="0012322C">
        <w:t>F</w:t>
      </w:r>
      <w:r w:rsidRPr="0012322C">
        <w:t>ee component</w:t>
      </w:r>
    </w:p>
    <w:p w14:paraId="3E7F8CC4" w14:textId="7BCC2D23" w:rsidR="004E6224" w:rsidRDefault="004E6224" w:rsidP="004B6426">
      <w:pPr>
        <w:rPr>
          <w:rFonts w:cs="Calibri"/>
        </w:rPr>
      </w:pPr>
      <w:r>
        <w:rPr>
          <w:rFonts w:cs="Calibri"/>
        </w:rPr>
        <w:t xml:space="preserve">The Administrative Fee component is intended to contribute to the ongoing administration costs of the HELP tuition protection arrangements. The two amounts for the Administrative Fee component are determined by the Minister for Education through a legislative instrument </w:t>
      </w:r>
      <w:r w:rsidR="0040230D">
        <w:rPr>
          <w:rFonts w:cs="Calibri"/>
        </w:rPr>
        <w:t>(</w:t>
      </w:r>
      <w:r>
        <w:rPr>
          <w:rFonts w:cs="Calibri"/>
        </w:rPr>
        <w:t>or</w:t>
      </w:r>
      <w:r w:rsidR="009679B7">
        <w:rPr>
          <w:rFonts w:cs="Calibri"/>
        </w:rPr>
        <w:t xml:space="preserve"> indexed annually if the Minister chooses not to make a</w:t>
      </w:r>
      <w:r w:rsidR="0040230D">
        <w:rPr>
          <w:rFonts w:cs="Calibri"/>
        </w:rPr>
        <w:t xml:space="preserve"> new</w:t>
      </w:r>
      <w:r w:rsidR="009679B7">
        <w:rPr>
          <w:rFonts w:cs="Calibri"/>
        </w:rPr>
        <w:t xml:space="preserve"> legislative instrument for a particular year</w:t>
      </w:r>
      <w:r w:rsidR="0040230D">
        <w:rPr>
          <w:rFonts w:cs="Calibri"/>
        </w:rPr>
        <w:t>)</w:t>
      </w:r>
      <w:r w:rsidR="009679B7">
        <w:rPr>
          <w:rFonts w:cs="Calibri"/>
        </w:rPr>
        <w:t xml:space="preserve">. </w:t>
      </w:r>
    </w:p>
    <w:p w14:paraId="076F3FCC" w14:textId="7EB5F5B0" w:rsidR="009679B7" w:rsidRDefault="009679B7" w:rsidP="004B6426">
      <w:pPr>
        <w:rPr>
          <w:rFonts w:cs="Calibri"/>
        </w:rPr>
      </w:pPr>
      <w:r>
        <w:rPr>
          <w:rFonts w:cs="Calibri"/>
        </w:rPr>
        <w:t>The two amounts for the Administrative Fee component for 2025 are $129 (per provider charge) and $10.85 (per student charge).</w:t>
      </w:r>
    </w:p>
    <w:p w14:paraId="2A0E390D" w14:textId="54D65B75" w:rsidR="004B6426" w:rsidRPr="000A7B92" w:rsidRDefault="00A11261" w:rsidP="004B6426">
      <w:pPr>
        <w:rPr>
          <w:rFonts w:cs="Calibri"/>
        </w:rPr>
      </w:pPr>
      <w:r w:rsidRPr="000A7B92">
        <w:rPr>
          <w:rFonts w:cs="Calibri"/>
          <w:noProof/>
        </w:rPr>
        <mc:AlternateContent>
          <mc:Choice Requires="wps">
            <w:drawing>
              <wp:anchor distT="0" distB="0" distL="114300" distR="114300" simplePos="0" relativeHeight="251658240" behindDoc="1" locked="0" layoutInCell="1" allowOverlap="1" wp14:anchorId="54775C19" wp14:editId="2B467B9E">
                <wp:simplePos x="0" y="0"/>
                <wp:positionH relativeFrom="column">
                  <wp:posOffset>-680720</wp:posOffset>
                </wp:positionH>
                <wp:positionV relativeFrom="paragraph">
                  <wp:posOffset>327025</wp:posOffset>
                </wp:positionV>
                <wp:extent cx="2950234" cy="293298"/>
                <wp:effectExtent l="0" t="0" r="0" b="0"/>
                <wp:wrapNone/>
                <wp:docPr id="1791686707" name="Rectangle 1"/>
                <wp:cNvGraphicFramePr/>
                <a:graphic xmlns:a="http://schemas.openxmlformats.org/drawingml/2006/main">
                  <a:graphicData uri="http://schemas.microsoft.com/office/word/2010/wordprocessingShape">
                    <wps:wsp>
                      <wps:cNvSpPr/>
                      <wps:spPr>
                        <a:xfrm>
                          <a:off x="0" y="0"/>
                          <a:ext cx="2950234" cy="29329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6DF903" id="Rectangle 1" o:spid="_x0000_s1026" style="position:absolute;margin-left:-53.6pt;margin-top:25.75pt;width:232.3pt;height:23.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gObAIAADYFAAAOAAAAZHJzL2Uyb0RvYy54bWysVMFu2zAMvQ/YPwi6r3bcdGuCOkWQosOA&#10;oi3WDj2rshQbkEWNUuJkXz9KdpyuLXYYdrElkXwknx51cblrDdsq9A3Ykk9Ocs6UlVA1dl3yH4/X&#10;n84580HYShiwquR75fnl4uOHi87NVQE1mEohIxDr550reR2Cm2eZl7VqhT8BpywZNWArAm1xnVUo&#10;OkJvTVbk+eesA6wcglTe0+lVb+SLhK+1kuFOa68CMyWn2kL6Yvo+x2+2uBDzNQpXN3IoQ/xDFa1o&#10;LCUdoa5EEGyDzRuotpEIHnQ4kdBmoHUjVeqBupnkr7p5qIVTqRcix7uRJv//YOXt9sHdI9HQOT/3&#10;tIxd7DS28U/1sV0iaz+SpXaBSTosZmd5cTrlTJKtmJ0Ws/PIZnaMdujDVwUti4uSI11G4khsb3zo&#10;XQ8uMZmF68aYdCHG/nFAmPEkO5aYVmFvVPQz9rvSrKliUSlBUo9aGWRbQfcupFQ2THpTLSrVH0/O&#10;8jwJgODHiNRAAozImgoasQeAqMy32H07g38MVUl8Y3D+t8L64DEiZQYbxuC2sYDvARjqasjc+x9I&#10;6qmJLD1Dtb9HhtBL3zt53dB13Agf7gWS1mkqaH7DHX20ga7kMKw4qwF/vXce/UmCZOWso9kpuf+5&#10;Eag4M98siXM2mU7jsKXN9OxLQRt8aXl+abGbdgV0TRN6KZxMy+gfzGGpEdonGvNlzEomYSXlLrkM&#10;eNisQj/T9FBItVwmNxowJ8KNfXAygkdWo9wed08C3aDJQGq+hcOcifkrafa+MdLCchNAN0m3R14H&#10;vmk4k3CGhyRO/8t98jo+d4vfAAAA//8DAFBLAwQUAAYACAAAACEAP9PeOuAAAAAKAQAADwAAAGRy&#10;cy9kb3ducmV2LnhtbEyPy07DMBBF90j8gzVI7FonhZAS4lSAhBDqAlFg79jTJCIeR7bz6N9jVmU5&#10;ukf3nil3i+nZhM53lgSk6wQYkrK6o0bA1+fLagvMB0la9pZQwAk97KrLi1IW2s70gdMhNCyWkC+k&#10;gDaEoeDcqxaN9Gs7IMXsaJ2RIZ6u4drJOZabnm+S5I4b2VFcaOWAzy2qn8NoBHzb49NsVE1v0+m9&#10;G1/3TqntXojrq+XxAVjAJZxh+NOP6lBFp9qOpD3rBazSJN9EVkCWZsAicZPlt8BqAfd5Drwq+f8X&#10;ql8AAAD//wMAUEsBAi0AFAAGAAgAAAAhALaDOJL+AAAA4QEAABMAAAAAAAAAAAAAAAAAAAAAAFtD&#10;b250ZW50X1R5cGVzXS54bWxQSwECLQAUAAYACAAAACEAOP0h/9YAAACUAQAACwAAAAAAAAAAAAAA&#10;AAAvAQAAX3JlbHMvLnJlbHNQSwECLQAUAAYACAAAACEAVoFIDmwCAAA2BQAADgAAAAAAAAAAAAAA&#10;AAAuAgAAZHJzL2Uyb0RvYy54bWxQSwECLQAUAAYACAAAACEAP9PeOuAAAAAKAQAADwAAAAAAAAAA&#10;AAAAAADGBAAAZHJzL2Rvd25yZXYueG1sUEsFBgAAAAAEAAQA8wAAANMFAAAAAA==&#10;" filled="f" stroked="f" strokeweight="1pt"/>
            </w:pict>
          </mc:Fallback>
        </mc:AlternateContent>
      </w:r>
      <w:r w:rsidR="004B6426" w:rsidRPr="000A7B92">
        <w:rPr>
          <w:rFonts w:cs="Calibri"/>
        </w:rPr>
        <w:t xml:space="preserve">The Administrative </w:t>
      </w:r>
      <w:r w:rsidR="00414A33">
        <w:rPr>
          <w:rFonts w:cs="Calibri"/>
        </w:rPr>
        <w:t>F</w:t>
      </w:r>
      <w:r w:rsidR="004B6426" w:rsidRPr="000A7B92">
        <w:rPr>
          <w:rFonts w:cs="Calibri"/>
        </w:rPr>
        <w:t>ee component</w:t>
      </w:r>
      <w:r w:rsidR="001F509A">
        <w:rPr>
          <w:rFonts w:cs="Calibri"/>
        </w:rPr>
        <w:t xml:space="preserve"> (A)</w:t>
      </w:r>
      <w:r w:rsidR="004B6426" w:rsidRPr="000A7B92">
        <w:rPr>
          <w:rFonts w:cs="Calibri"/>
        </w:rPr>
        <w:t xml:space="preserve"> is calculated as: </w:t>
      </w:r>
    </w:p>
    <w:p w14:paraId="2F1FB7E1" w14:textId="0261D2C4" w:rsidR="00091B37" w:rsidRPr="00AA1D11" w:rsidRDefault="00AA1D11" w:rsidP="00160C6D">
      <w:pPr>
        <w:spacing w:after="0"/>
        <w:rPr>
          <w:rFonts w:cs="Calibri"/>
        </w:rPr>
      </w:pPr>
      <m:oMathPara>
        <m:oMath>
          <m:r>
            <m:rPr>
              <m:nor/>
            </m:rPr>
            <w:rPr>
              <w:rFonts w:cs="Calibri"/>
            </w:rPr>
            <m:t>A</m:t>
          </m:r>
          <m:r>
            <m:rPr>
              <m:nor/>
            </m:rPr>
            <w:rPr>
              <w:rFonts w:ascii="Cambria Math" w:cs="Calibri"/>
            </w:rPr>
            <m:t xml:space="preserve"> </m:t>
          </m:r>
          <m:r>
            <m:rPr>
              <m:nor/>
            </m:rPr>
            <w:rPr>
              <w:rFonts w:cs="Calibri"/>
            </w:rPr>
            <m:t>=</m:t>
          </m:r>
          <m:r>
            <m:rPr>
              <m:nor/>
            </m:rPr>
            <w:rPr>
              <w:rFonts w:ascii="Cambria Math" w:cs="Calibri"/>
            </w:rPr>
            <m:t xml:space="preserve"> </m:t>
          </m:r>
          <m:r>
            <m:rPr>
              <m:nor/>
            </m:rPr>
            <w:rPr>
              <w:rFonts w:cs="Calibri"/>
            </w:rPr>
            <m:t>$129</m:t>
          </m:r>
          <m:r>
            <m:rPr>
              <m:nor/>
            </m:rPr>
            <w:rPr>
              <w:rFonts w:ascii="Cambria Math" w:cs="Calibri"/>
            </w:rPr>
            <m:t xml:space="preserve"> </m:t>
          </m:r>
          <m:r>
            <m:rPr>
              <m:nor/>
            </m:rPr>
            <w:rPr>
              <w:rFonts w:cs="Calibri"/>
            </w:rPr>
            <m:t>+</m:t>
          </m:r>
          <m:r>
            <m:rPr>
              <m:nor/>
            </m:rPr>
            <w:rPr>
              <w:rFonts w:ascii="Cambria Math" w:cs="Calibri"/>
            </w:rPr>
            <m:t xml:space="preserve"> </m:t>
          </m:r>
          <m:r>
            <m:rPr>
              <m:nor/>
            </m:rPr>
            <w:rPr>
              <w:rFonts w:cs="Calibri"/>
            </w:rPr>
            <m:t>($10.85</m:t>
          </m:r>
          <m:r>
            <m:rPr>
              <m:nor/>
            </m:rPr>
            <w:rPr>
              <w:rFonts w:ascii="Cambria Math" w:cs="Calibri"/>
            </w:rPr>
            <m:t xml:space="preserve"> </m:t>
          </m:r>
          <m:r>
            <m:rPr>
              <m:nor/>
            </m:rPr>
            <w:rPr>
              <w:rFonts w:cs="Calibri"/>
            </w:rPr>
            <m:t>×</m:t>
          </m:r>
          <m:r>
            <m:rPr>
              <m:nor/>
            </m:rPr>
            <w:rPr>
              <w:rFonts w:ascii="Cambria Math" w:cs="Calibri"/>
            </w:rPr>
            <m:t xml:space="preserve"> </m:t>
          </m:r>
          <m:r>
            <m:rPr>
              <m:nor/>
            </m:rPr>
            <w:rPr>
              <w:rFonts w:cs="Calibri"/>
            </w:rPr>
            <m:t>HELP students)</m:t>
          </m:r>
        </m:oMath>
      </m:oMathPara>
    </w:p>
    <w:p w14:paraId="57674363" w14:textId="05269448" w:rsidR="004B6426" w:rsidRPr="000A7B92" w:rsidRDefault="004E1BEA" w:rsidP="004B6426">
      <w:pPr>
        <w:spacing w:after="0"/>
        <w:rPr>
          <w:rFonts w:cs="Calibri"/>
          <w:i/>
          <w:iCs/>
        </w:rPr>
      </w:pPr>
      <w:r w:rsidRPr="000A7B92">
        <w:rPr>
          <w:rFonts w:cs="Calibri"/>
          <w:i/>
          <w:iCs/>
        </w:rPr>
        <w:t>where:</w:t>
      </w:r>
    </w:p>
    <w:p w14:paraId="41021228" w14:textId="4C2187DB" w:rsidR="00763B14" w:rsidRPr="0065515C" w:rsidRDefault="00763B14" w:rsidP="004E1BEA">
      <w:pPr>
        <w:spacing w:after="0"/>
        <w:ind w:firstLine="720"/>
        <w:rPr>
          <w:rFonts w:cs="Calibri"/>
        </w:rPr>
      </w:pPr>
      <w:r w:rsidRPr="0065515C">
        <w:rPr>
          <w:rFonts w:cs="Calibri"/>
        </w:rPr>
        <w:t>HELP s</w:t>
      </w:r>
      <w:r w:rsidR="00A25B25" w:rsidRPr="0065515C">
        <w:rPr>
          <w:rFonts w:cs="Calibri"/>
        </w:rPr>
        <w:t>tudent</w:t>
      </w:r>
      <w:r w:rsidR="00191C07" w:rsidRPr="0065515C">
        <w:rPr>
          <w:rFonts w:cs="Calibri"/>
        </w:rPr>
        <w:t xml:space="preserve">s </w:t>
      </w:r>
      <w:r w:rsidR="00E85B52" w:rsidRPr="0065515C">
        <w:rPr>
          <w:rFonts w:cs="Calibri"/>
        </w:rPr>
        <w:t xml:space="preserve">= </w:t>
      </w:r>
      <w:r w:rsidR="00826060" w:rsidRPr="0065515C">
        <w:rPr>
          <w:rFonts w:cs="Calibri"/>
        </w:rPr>
        <w:t xml:space="preserve">headcount of </w:t>
      </w:r>
      <w:r w:rsidR="00191C07" w:rsidRPr="0065515C">
        <w:rPr>
          <w:rFonts w:cs="Calibri"/>
        </w:rPr>
        <w:t xml:space="preserve">HELP </w:t>
      </w:r>
      <w:r w:rsidR="00826060" w:rsidRPr="0065515C">
        <w:rPr>
          <w:rFonts w:cs="Calibri"/>
        </w:rPr>
        <w:t>students f</w:t>
      </w:r>
      <w:r w:rsidR="005C1853" w:rsidRPr="0065515C">
        <w:rPr>
          <w:rFonts w:cs="Calibri"/>
        </w:rPr>
        <w:t>or</w:t>
      </w:r>
      <w:r w:rsidR="00774998" w:rsidRPr="0065515C">
        <w:rPr>
          <w:rFonts w:cs="Calibri"/>
        </w:rPr>
        <w:t xml:space="preserve"> </w:t>
      </w:r>
      <w:r w:rsidR="00826060" w:rsidRPr="0065515C">
        <w:rPr>
          <w:rFonts w:cs="Calibri"/>
        </w:rPr>
        <w:t>202</w:t>
      </w:r>
      <w:r w:rsidR="00585208">
        <w:rPr>
          <w:rFonts w:cs="Calibri"/>
        </w:rPr>
        <w:t>4</w:t>
      </w:r>
      <w:r w:rsidR="00826060" w:rsidRPr="0065515C">
        <w:rPr>
          <w:rFonts w:cs="Calibri"/>
        </w:rPr>
        <w:t xml:space="preserve"> </w:t>
      </w:r>
      <w:r w:rsidR="005C1853" w:rsidRPr="0065515C">
        <w:rPr>
          <w:rFonts w:cs="Calibri"/>
        </w:rPr>
        <w:t>(</w:t>
      </w:r>
      <w:r w:rsidR="00826060" w:rsidRPr="0065515C">
        <w:rPr>
          <w:rFonts w:cs="Calibri"/>
        </w:rPr>
        <w:t>calendar year</w:t>
      </w:r>
      <w:r w:rsidR="005C1853" w:rsidRPr="0065515C">
        <w:rPr>
          <w:rFonts w:cs="Calibri"/>
        </w:rPr>
        <w:t>)</w:t>
      </w:r>
      <w:r w:rsidR="000A7B92" w:rsidRPr="0065515C">
        <w:rPr>
          <w:rFonts w:cs="Calibri"/>
        </w:rPr>
        <w:t>.</w:t>
      </w:r>
    </w:p>
    <w:p w14:paraId="332D423E" w14:textId="5B56122E" w:rsidR="008A3BCE" w:rsidRPr="0065515C" w:rsidRDefault="001D63CC" w:rsidP="004E1BEA">
      <w:pPr>
        <w:spacing w:after="0"/>
        <w:ind w:left="720"/>
        <w:rPr>
          <w:rFonts w:cs="Calibri"/>
          <w:sz w:val="18"/>
          <w:szCs w:val="18"/>
        </w:rPr>
      </w:pPr>
      <w:r w:rsidRPr="0065515C">
        <w:rPr>
          <w:rFonts w:cs="Calibri"/>
          <w:sz w:val="18"/>
          <w:szCs w:val="18"/>
        </w:rPr>
        <w:t xml:space="preserve">Source: </w:t>
      </w:r>
      <w:r w:rsidR="004B6426" w:rsidRPr="0065515C">
        <w:rPr>
          <w:rFonts w:cs="Calibri"/>
          <w:sz w:val="18"/>
          <w:szCs w:val="18"/>
        </w:rPr>
        <w:t>Tertiary Collection of Student Information (TCSI)</w:t>
      </w:r>
      <w:r w:rsidR="00191C07" w:rsidRPr="0065515C">
        <w:rPr>
          <w:rFonts w:cs="Calibri"/>
          <w:sz w:val="18"/>
          <w:szCs w:val="18"/>
        </w:rPr>
        <w:t xml:space="preserve"> – data is submitted by each provider as a requirement under the </w:t>
      </w:r>
      <w:r w:rsidR="00191C07" w:rsidRPr="0065515C">
        <w:rPr>
          <w:rFonts w:cs="Calibri"/>
          <w:i/>
          <w:iCs/>
          <w:sz w:val="18"/>
          <w:szCs w:val="18"/>
        </w:rPr>
        <w:t xml:space="preserve">Higher Education Support Act 2003 </w:t>
      </w:r>
      <w:r w:rsidR="00191C07" w:rsidRPr="00602836">
        <w:rPr>
          <w:rFonts w:cs="Calibri"/>
          <w:i/>
          <w:iCs/>
          <w:sz w:val="18"/>
          <w:szCs w:val="18"/>
        </w:rPr>
        <w:t>(HESA)</w:t>
      </w:r>
    </w:p>
    <w:p w14:paraId="68B38A88" w14:textId="51117E65" w:rsidR="004B6426" w:rsidRPr="000A7B92" w:rsidRDefault="004B6426" w:rsidP="0012322C">
      <w:pPr>
        <w:pStyle w:val="Heading3"/>
      </w:pPr>
      <w:r w:rsidRPr="000A7B92">
        <w:t xml:space="preserve">Risk </w:t>
      </w:r>
      <w:r w:rsidR="00356E01" w:rsidRPr="000A7B92">
        <w:t>R</w:t>
      </w:r>
      <w:r w:rsidRPr="000A7B92">
        <w:t xml:space="preserve">ated </w:t>
      </w:r>
      <w:r w:rsidR="00356E01" w:rsidRPr="000A7B92">
        <w:t>P</w:t>
      </w:r>
      <w:r w:rsidRPr="000A7B92">
        <w:t>remium component</w:t>
      </w:r>
    </w:p>
    <w:p w14:paraId="70E25A00" w14:textId="77777777" w:rsidR="00FB17D4" w:rsidRDefault="00FB17D4" w:rsidP="00720E1F">
      <w:pPr>
        <w:spacing w:after="80"/>
      </w:pPr>
      <w:r w:rsidRPr="000A7B92">
        <w:t xml:space="preserve">The </w:t>
      </w:r>
      <w:r>
        <w:t>Risk Rated Premium</w:t>
      </w:r>
      <w:r w:rsidRPr="000A7B92">
        <w:t xml:space="preserve"> component is determined by the </w:t>
      </w:r>
      <w:r>
        <w:t xml:space="preserve">TPS Director through a legislative instrument each year. The TPS Director determines the annual Risk Rated Premium component </w:t>
      </w:r>
      <w:r>
        <w:lastRenderedPageBreak/>
        <w:t>settings in collaboration with the Australian Government Actuary (AGA), the TPS Advisory Board and feedback from stakeholders.</w:t>
      </w:r>
    </w:p>
    <w:p w14:paraId="3F1A8609" w14:textId="33DC819B" w:rsidR="00616162" w:rsidRPr="000A7B92" w:rsidRDefault="004B6426" w:rsidP="008C0419">
      <w:pPr>
        <w:spacing w:after="80"/>
        <w:rPr>
          <w:rFonts w:cs="Calibri"/>
        </w:rPr>
      </w:pPr>
      <w:r w:rsidRPr="000A7B92">
        <w:rPr>
          <w:rFonts w:cs="Calibri"/>
        </w:rPr>
        <w:t xml:space="preserve">The Risk </w:t>
      </w:r>
      <w:r w:rsidR="00395153" w:rsidRPr="000A7B92">
        <w:rPr>
          <w:rFonts w:cs="Calibri"/>
        </w:rPr>
        <w:t>R</w:t>
      </w:r>
      <w:r w:rsidRPr="000A7B92">
        <w:rPr>
          <w:rFonts w:cs="Calibri"/>
        </w:rPr>
        <w:t xml:space="preserve">ated </w:t>
      </w:r>
      <w:r w:rsidR="00395153" w:rsidRPr="000A7B92">
        <w:rPr>
          <w:rFonts w:cs="Calibri"/>
        </w:rPr>
        <w:t>P</w:t>
      </w:r>
      <w:r w:rsidRPr="000A7B92">
        <w:rPr>
          <w:rFonts w:cs="Calibri"/>
        </w:rPr>
        <w:t xml:space="preserve">remium component </w:t>
      </w:r>
      <w:r w:rsidR="007F12DE" w:rsidRPr="000A7B92">
        <w:rPr>
          <w:rFonts w:cs="Calibri"/>
        </w:rPr>
        <w:t xml:space="preserve">(R) </w:t>
      </w:r>
      <w:r w:rsidRPr="000A7B92">
        <w:rPr>
          <w:rFonts w:cs="Calibri"/>
        </w:rPr>
        <w:t>is calculated as:</w:t>
      </w:r>
    </w:p>
    <w:p w14:paraId="166CD8FC" w14:textId="5C8D236E" w:rsidR="0083253A" w:rsidRPr="007E5878" w:rsidRDefault="007E5878">
      <w:pPr>
        <w:rPr>
          <w:rFonts w:cs="Calibri"/>
        </w:rPr>
      </w:pPr>
      <m:oMathPara>
        <m:oMath>
          <m:r>
            <m:rPr>
              <m:nor/>
            </m:rPr>
            <w:rPr>
              <w:rFonts w:cs="Calibri"/>
            </w:rPr>
            <m:t xml:space="preserve">R= </m:t>
          </m:r>
          <m:d>
            <m:dPr>
              <m:begChr m:val="["/>
              <m:endChr m:val="]"/>
              <m:ctrlPr>
                <w:rPr>
                  <w:rFonts w:ascii="Cambria Math" w:hAnsi="Cambria Math" w:cs="Calibri"/>
                </w:rPr>
              </m:ctrlPr>
            </m:dPr>
            <m:e>
              <m:d>
                <m:dPr>
                  <m:ctrlPr>
                    <w:rPr>
                      <w:rFonts w:ascii="Cambria Math" w:hAnsi="Cambria Math" w:cs="Calibri"/>
                    </w:rPr>
                  </m:ctrlPr>
                </m:dPr>
                <m:e>
                  <m:eqArr>
                    <m:eqArrPr>
                      <m:ctrlPr>
                        <w:rPr>
                          <w:rFonts w:ascii="Cambria Math" w:hAnsi="Cambria Math" w:cs="Calibri"/>
                        </w:rPr>
                      </m:ctrlPr>
                    </m:eqArrPr>
                    <m:e>
                      <m:r>
                        <m:rPr>
                          <m:nor/>
                        </m:rPr>
                        <w:rPr>
                          <w:rFonts w:cs="Calibri"/>
                        </w:rPr>
                        <m:t>$6</m:t>
                      </m:r>
                    </m:e>
                    <m:e>
                      <m:r>
                        <m:rPr>
                          <m:nor/>
                        </m:rPr>
                        <w:rPr>
                          <w:rFonts w:cs="Calibri"/>
                        </w:rPr>
                        <m:t>×</m:t>
                      </m:r>
                    </m:e>
                    <m:e>
                      <m:r>
                        <m:rPr>
                          <m:nor/>
                        </m:rPr>
                        <w:rPr>
                          <w:rFonts w:cs="Calibri"/>
                        </w:rPr>
                        <m:t xml:space="preserve">HELP </m:t>
                      </m:r>
                      <m:ctrlPr>
                        <w:rPr>
                          <w:rFonts w:ascii="Cambria Math" w:eastAsia="Cambria Math" w:hAnsi="Cambria Math" w:cs="Calibri"/>
                        </w:rPr>
                      </m:ctrlPr>
                    </m:e>
                    <m:e>
                      <m:r>
                        <m:rPr>
                          <m:nor/>
                        </m:rPr>
                        <w:rPr>
                          <w:rFonts w:cs="Calibri"/>
                        </w:rPr>
                        <m:t xml:space="preserve"> students </m:t>
                      </m:r>
                    </m:e>
                  </m:eqArr>
                </m:e>
              </m:d>
              <m:r>
                <m:rPr>
                  <m:nor/>
                </m:rPr>
                <w:rPr>
                  <w:rFonts w:cs="Calibri"/>
                </w:rPr>
                <m:t>+</m:t>
              </m:r>
              <m:d>
                <m:dPr>
                  <m:ctrlPr>
                    <w:rPr>
                      <w:rFonts w:ascii="Cambria Math" w:hAnsi="Cambria Math" w:cs="Calibri"/>
                    </w:rPr>
                  </m:ctrlPr>
                </m:dPr>
                <m:e>
                  <m:eqArr>
                    <m:eqArrPr>
                      <m:ctrlPr>
                        <w:rPr>
                          <w:rFonts w:ascii="Cambria Math" w:hAnsi="Cambria Math" w:cs="Calibri"/>
                          <w:iCs/>
                        </w:rPr>
                      </m:ctrlPr>
                    </m:eqArrPr>
                    <m:e>
                      <m:r>
                        <m:rPr>
                          <m:nor/>
                        </m:rPr>
                        <w:rPr>
                          <w:rFonts w:eastAsia="Cambria Math" w:cs="Calibri"/>
                        </w:rPr>
                        <m:t xml:space="preserve"> 0.06%</m:t>
                      </m:r>
                      <m:ctrlPr>
                        <w:rPr>
                          <w:rFonts w:ascii="Cambria Math" w:eastAsia="Cambria Math" w:hAnsi="Cambria Math" w:cs="Calibri"/>
                          <w:iCs/>
                        </w:rPr>
                      </m:ctrlPr>
                    </m:e>
                    <m:e>
                      <m:r>
                        <m:rPr>
                          <m:nor/>
                        </m:rPr>
                        <w:rPr>
                          <w:rFonts w:cs="Calibri"/>
                        </w:rPr>
                        <m:t>×</m:t>
                      </m:r>
                    </m:e>
                    <m:e>
                      <m:r>
                        <m:rPr>
                          <m:nor/>
                        </m:rPr>
                        <w:rPr>
                          <w:rFonts w:cs="Calibri"/>
                        </w:rPr>
                        <m:t xml:space="preserve">HELP loan </m:t>
                      </m:r>
                      <m:ctrlPr>
                        <w:rPr>
                          <w:rFonts w:ascii="Cambria Math" w:eastAsia="Cambria Math" w:hAnsi="Cambria Math" w:cs="Calibri"/>
                        </w:rPr>
                      </m:ctrlPr>
                    </m:e>
                    <m:e>
                      <m:r>
                        <m:rPr>
                          <m:nor/>
                        </m:rPr>
                        <w:rPr>
                          <w:rFonts w:cs="Calibri"/>
                        </w:rPr>
                        <m:t>amount</m:t>
                      </m:r>
                    </m:e>
                  </m:eqArr>
                </m:e>
              </m:d>
            </m:e>
          </m:d>
          <m:r>
            <m:rPr>
              <m:nor/>
            </m:rPr>
            <w:rPr>
              <w:rFonts w:cs="Calibri"/>
            </w:rPr>
            <m:t>×</m:t>
          </m:r>
          <m:d>
            <m:dPr>
              <m:ctrlPr>
                <w:rPr>
                  <w:rFonts w:ascii="Cambria Math" w:hAnsi="Cambria Math" w:cs="Calibri"/>
                  <w:i/>
                </w:rPr>
              </m:ctrlPr>
            </m:dPr>
            <m:e>
              <m:m>
                <m:mPr>
                  <m:mcs>
                    <m:mc>
                      <m:mcPr>
                        <m:count m:val="1"/>
                        <m:mcJc m:val="center"/>
                      </m:mcPr>
                    </m:mc>
                  </m:mcs>
                  <m:ctrlPr>
                    <w:rPr>
                      <w:rFonts w:ascii="Cambria Math" w:hAnsi="Cambria Math" w:cs="Calibri"/>
                      <w:iCs/>
                    </w:rPr>
                  </m:ctrlPr>
                </m:mPr>
                <m:mr>
                  <m:e>
                    <m:r>
                      <m:rPr>
                        <m:nor/>
                      </m:rPr>
                      <w:rPr>
                        <w:rFonts w:cs="Calibri"/>
                      </w:rPr>
                      <m:t>sum of</m:t>
                    </m:r>
                  </m:e>
                </m:mr>
                <m:mr>
                  <m:e>
                    <m:r>
                      <m:rPr>
                        <m:nor/>
                      </m:rPr>
                      <w:rPr>
                        <w:rFonts w:cs="Calibri"/>
                      </w:rPr>
                      <m:t xml:space="preserve">risk factor </m:t>
                    </m:r>
                  </m:e>
                </m:mr>
                <m:mr>
                  <m:e>
                    <m:r>
                      <m:rPr>
                        <m:nor/>
                      </m:rPr>
                      <w:rPr>
                        <w:rFonts w:cs="Calibri"/>
                      </w:rPr>
                      <m:t>values</m:t>
                    </m:r>
                  </m:e>
                </m:mr>
              </m:m>
              <m:r>
                <m:rPr>
                  <m:nor/>
                </m:rPr>
                <w:rPr>
                  <w:rFonts w:cs="Calibri"/>
                </w:rPr>
                <m:t>+1</m:t>
              </m:r>
            </m:e>
          </m:d>
        </m:oMath>
      </m:oMathPara>
    </w:p>
    <w:p w14:paraId="6E419907" w14:textId="10F8B59D" w:rsidR="0000038B" w:rsidRPr="000A7B92" w:rsidRDefault="007E2DD2" w:rsidP="0000038B">
      <w:pPr>
        <w:spacing w:after="0"/>
        <w:rPr>
          <w:rFonts w:cs="Calibri"/>
          <w:i/>
          <w:iCs/>
        </w:rPr>
      </w:pPr>
      <w:r w:rsidRPr="000A7B92">
        <w:rPr>
          <w:rFonts w:cs="Calibri"/>
          <w:i/>
          <w:iCs/>
        </w:rPr>
        <w:t>w</w:t>
      </w:r>
      <w:r w:rsidR="0000038B" w:rsidRPr="000A7B92">
        <w:rPr>
          <w:rFonts w:cs="Calibri"/>
          <w:i/>
          <w:iCs/>
        </w:rPr>
        <w:t>here:</w:t>
      </w:r>
    </w:p>
    <w:p w14:paraId="4EA78CAE" w14:textId="3D65AB9C" w:rsidR="00BF5E7D" w:rsidRDefault="0090357C" w:rsidP="007E2DD2">
      <w:pPr>
        <w:spacing w:after="0"/>
        <w:ind w:firstLine="720"/>
        <w:rPr>
          <w:rFonts w:cs="Calibri"/>
        </w:rPr>
      </w:pPr>
      <w:r w:rsidRPr="000A7B92">
        <w:rPr>
          <w:rFonts w:cs="Calibri"/>
        </w:rPr>
        <w:t>HELP students</w:t>
      </w:r>
      <w:r w:rsidR="00ED096C" w:rsidRPr="000A7B92">
        <w:rPr>
          <w:rFonts w:cs="Calibri"/>
        </w:rPr>
        <w:t xml:space="preserve"> = headcount of </w:t>
      </w:r>
      <w:r w:rsidRPr="000A7B92">
        <w:rPr>
          <w:rFonts w:cs="Calibri"/>
        </w:rPr>
        <w:t xml:space="preserve">HELP </w:t>
      </w:r>
      <w:r w:rsidR="00ED096C" w:rsidRPr="000A7B92">
        <w:rPr>
          <w:rFonts w:cs="Calibri"/>
        </w:rPr>
        <w:t>students f</w:t>
      </w:r>
      <w:r w:rsidR="00AB1A3A" w:rsidRPr="000A7B92">
        <w:rPr>
          <w:rFonts w:cs="Calibri"/>
        </w:rPr>
        <w:t>or</w:t>
      </w:r>
      <w:r w:rsidR="00ED096C" w:rsidRPr="000A7B92">
        <w:rPr>
          <w:rFonts w:cs="Calibri"/>
        </w:rPr>
        <w:t xml:space="preserve"> 202</w:t>
      </w:r>
      <w:r w:rsidR="00585208">
        <w:rPr>
          <w:rFonts w:cs="Calibri"/>
        </w:rPr>
        <w:t>4</w:t>
      </w:r>
      <w:r w:rsidR="00ED096C" w:rsidRPr="000A7B92">
        <w:rPr>
          <w:rFonts w:cs="Calibri"/>
        </w:rPr>
        <w:t xml:space="preserve"> </w:t>
      </w:r>
      <w:r w:rsidR="00AB1A3A" w:rsidRPr="000A7B92">
        <w:rPr>
          <w:rFonts w:cs="Calibri"/>
        </w:rPr>
        <w:t>(</w:t>
      </w:r>
      <w:r w:rsidR="008A5403" w:rsidRPr="000A7B92">
        <w:rPr>
          <w:rFonts w:cs="Calibri"/>
        </w:rPr>
        <w:t>calendar year</w:t>
      </w:r>
      <w:r w:rsidR="00AB1A3A" w:rsidRPr="000A7B92">
        <w:rPr>
          <w:rFonts w:cs="Calibri"/>
        </w:rPr>
        <w:t>)</w:t>
      </w:r>
      <w:r w:rsidR="005825CE">
        <w:rPr>
          <w:rFonts w:cs="Calibri"/>
        </w:rPr>
        <w:t>.</w:t>
      </w:r>
    </w:p>
    <w:p w14:paraId="5807B4F8" w14:textId="0CCCD378" w:rsidR="00761410" w:rsidRPr="000A7B92" w:rsidRDefault="00761410" w:rsidP="007E2DD2">
      <w:pPr>
        <w:spacing w:after="0"/>
        <w:ind w:firstLine="720"/>
        <w:rPr>
          <w:rFonts w:cs="Calibri"/>
          <w:sz w:val="18"/>
          <w:szCs w:val="18"/>
        </w:rPr>
      </w:pPr>
      <w:r w:rsidRPr="000A7B92">
        <w:rPr>
          <w:rFonts w:cs="Calibri"/>
          <w:sz w:val="18"/>
          <w:szCs w:val="18"/>
        </w:rPr>
        <w:t>Source: TCSI</w:t>
      </w:r>
    </w:p>
    <w:p w14:paraId="32499BA5" w14:textId="00754B5B" w:rsidR="00E240F4" w:rsidRPr="000A7B92" w:rsidRDefault="00AB1A3A" w:rsidP="0000038B">
      <w:pPr>
        <w:spacing w:after="0"/>
        <w:ind w:firstLine="720"/>
        <w:rPr>
          <w:rFonts w:cs="Calibri"/>
        </w:rPr>
      </w:pPr>
      <w:r w:rsidRPr="000A7B92">
        <w:rPr>
          <w:rFonts w:cs="Calibri"/>
        </w:rPr>
        <w:t>HELP loan amount = total</w:t>
      </w:r>
      <w:r w:rsidR="00E21EAD" w:rsidRPr="000A7B92">
        <w:rPr>
          <w:rFonts w:cs="Calibri"/>
        </w:rPr>
        <w:t xml:space="preserve"> HELP</w:t>
      </w:r>
      <w:r w:rsidRPr="000A7B92">
        <w:rPr>
          <w:rFonts w:cs="Calibri"/>
        </w:rPr>
        <w:t xml:space="preserve"> loan amounts received for 202</w:t>
      </w:r>
      <w:r w:rsidR="00585208">
        <w:rPr>
          <w:rFonts w:cs="Calibri"/>
        </w:rPr>
        <w:t>4</w:t>
      </w:r>
      <w:r w:rsidRPr="000A7B92">
        <w:rPr>
          <w:rFonts w:cs="Calibri"/>
        </w:rPr>
        <w:t xml:space="preserve"> (calendar year)</w:t>
      </w:r>
      <w:r w:rsidR="006524C2" w:rsidRPr="000A7B92">
        <w:rPr>
          <w:rFonts w:cs="Calibri"/>
        </w:rPr>
        <w:t>.</w:t>
      </w:r>
    </w:p>
    <w:p w14:paraId="6CBB5469" w14:textId="77777777" w:rsidR="00351F74" w:rsidRDefault="003850EE" w:rsidP="00351F74">
      <w:pPr>
        <w:ind w:firstLine="720"/>
        <w:rPr>
          <w:rFonts w:cs="Calibri"/>
          <w:sz w:val="18"/>
          <w:szCs w:val="18"/>
        </w:rPr>
      </w:pPr>
      <w:r w:rsidRPr="000A7B92">
        <w:rPr>
          <w:rFonts w:cs="Calibri"/>
          <w:sz w:val="18"/>
          <w:szCs w:val="18"/>
        </w:rPr>
        <w:t>Source: TCSI</w:t>
      </w:r>
    </w:p>
    <w:p w14:paraId="6D55F333" w14:textId="2612431E" w:rsidR="005834C4" w:rsidRDefault="00437E38" w:rsidP="00720E1F">
      <w:pPr>
        <w:spacing w:after="0"/>
        <w:rPr>
          <w:rFonts w:cstheme="minorHAnsi"/>
        </w:rPr>
      </w:pPr>
      <w:r>
        <w:t>There are three risk factors in the HELP Levy which comprise the ‘sum of risk factor values’</w:t>
      </w:r>
      <w:r w:rsidR="005834C4" w:rsidRPr="005834C4">
        <w:rPr>
          <w:rFonts w:cstheme="minorHAnsi"/>
        </w:rPr>
        <w:t xml:space="preserve"> </w:t>
      </w:r>
      <w:r w:rsidR="00503D8A">
        <w:rPr>
          <w:rFonts w:cstheme="minorHAnsi"/>
        </w:rPr>
        <w:t>t</w:t>
      </w:r>
      <w:r w:rsidR="005834C4">
        <w:rPr>
          <w:rFonts w:cstheme="minorHAnsi"/>
        </w:rPr>
        <w:t>hey are:</w:t>
      </w:r>
    </w:p>
    <w:p w14:paraId="155FD062" w14:textId="77777777" w:rsidR="005834C4" w:rsidRPr="009823D0" w:rsidRDefault="005834C4" w:rsidP="005834C4">
      <w:pPr>
        <w:pStyle w:val="ListParagraph"/>
        <w:numPr>
          <w:ilvl w:val="0"/>
          <w:numId w:val="9"/>
        </w:numPr>
        <w:ind w:left="1134"/>
        <w:rPr>
          <w:rFonts w:cs="Calibri"/>
        </w:rPr>
      </w:pPr>
      <w:r w:rsidRPr="009823D0">
        <w:rPr>
          <w:rFonts w:cs="Calibri"/>
        </w:rPr>
        <w:t>Financial Strength</w:t>
      </w:r>
    </w:p>
    <w:p w14:paraId="17CA05F6" w14:textId="77777777" w:rsidR="005834C4" w:rsidRPr="009823D0" w:rsidRDefault="005834C4" w:rsidP="005834C4">
      <w:pPr>
        <w:pStyle w:val="ListParagraph"/>
        <w:numPr>
          <w:ilvl w:val="0"/>
          <w:numId w:val="9"/>
        </w:numPr>
        <w:ind w:left="1134"/>
        <w:rPr>
          <w:rFonts w:cs="Calibri"/>
        </w:rPr>
      </w:pPr>
      <w:r w:rsidRPr="009823D0">
        <w:rPr>
          <w:rFonts w:cs="Calibri"/>
        </w:rPr>
        <w:t>Completion Rate</w:t>
      </w:r>
    </w:p>
    <w:p w14:paraId="3C537759" w14:textId="77777777" w:rsidR="005834C4" w:rsidRPr="009823D0" w:rsidRDefault="005834C4" w:rsidP="005834C4">
      <w:pPr>
        <w:pStyle w:val="ListParagraph"/>
        <w:numPr>
          <w:ilvl w:val="0"/>
          <w:numId w:val="9"/>
        </w:numPr>
        <w:spacing w:after="80"/>
        <w:ind w:left="1134" w:hanging="357"/>
        <w:rPr>
          <w:rFonts w:cs="Calibri"/>
        </w:rPr>
      </w:pPr>
      <w:r w:rsidRPr="009823D0">
        <w:rPr>
          <w:rFonts w:cs="Calibri"/>
        </w:rPr>
        <w:t>Non-compliance history and registration renewal</w:t>
      </w:r>
    </w:p>
    <w:p w14:paraId="28565724" w14:textId="69166806" w:rsidR="00BB256F" w:rsidRPr="0012322C" w:rsidRDefault="00012024" w:rsidP="0012322C">
      <w:pPr>
        <w:pStyle w:val="Heading4"/>
      </w:pPr>
      <w:r w:rsidRPr="0012322C">
        <w:t>Sum of risk factor values</w:t>
      </w:r>
    </w:p>
    <w:p w14:paraId="4444BB64" w14:textId="291931E9" w:rsidR="0083253A" w:rsidRPr="007E5878" w:rsidRDefault="00000000" w:rsidP="008C5660">
      <w:pPr>
        <w:spacing w:after="80"/>
        <w:rPr>
          <w:rFonts w:cs="Calibri"/>
          <w:iCs/>
        </w:rPr>
      </w:pPr>
      <m:oMathPara>
        <m:oMath>
          <m:d>
            <m:dPr>
              <m:begChr m:val=""/>
              <m:endChr m:val=""/>
              <m:grow m:val="0"/>
              <m:ctrlPr>
                <w:rPr>
                  <w:rFonts w:ascii="Cambria Math" w:hAnsi="Cambria Math" w:cs="Calibri"/>
                  <w:iCs/>
                </w:rPr>
              </m:ctrlPr>
            </m:dPr>
            <m:e>
              <m:m>
                <m:mPr>
                  <m:mcs>
                    <m:mc>
                      <m:mcPr>
                        <m:count m:val="1"/>
                        <m:mcJc m:val="center"/>
                      </m:mcPr>
                    </m:mc>
                  </m:mcs>
                  <m:ctrlPr>
                    <w:rPr>
                      <w:rFonts w:ascii="Cambria Math" w:hAnsi="Cambria Math" w:cs="Calibri"/>
                      <w:iCs/>
                    </w:rPr>
                  </m:ctrlPr>
                </m:mPr>
                <m:mr>
                  <m:e>
                    <m:r>
                      <m:rPr>
                        <m:nor/>
                      </m:rPr>
                      <w:rPr>
                        <w:rFonts w:cs="Calibri"/>
                      </w:rPr>
                      <m:t>sum of</m:t>
                    </m:r>
                  </m:e>
                </m:mr>
                <m:mr>
                  <m:e>
                    <m:r>
                      <m:rPr>
                        <m:nor/>
                      </m:rPr>
                      <w:rPr>
                        <w:rFonts w:cs="Calibri"/>
                      </w:rPr>
                      <m:t xml:space="preserve">risk factor </m:t>
                    </m:r>
                  </m:e>
                </m:mr>
                <m:mr>
                  <m:e>
                    <m:r>
                      <m:rPr>
                        <m:nor/>
                      </m:rPr>
                      <w:rPr>
                        <w:rFonts w:cs="Calibri"/>
                      </w:rPr>
                      <m:t>values</m:t>
                    </m:r>
                  </m:e>
                </m:mr>
              </m:m>
            </m:e>
          </m:d>
          <m:r>
            <m:rPr>
              <m:nor/>
            </m:rPr>
            <w:rPr>
              <w:rFonts w:cs="Calibri"/>
            </w:rPr>
            <m:t>=</m:t>
          </m:r>
          <m:d>
            <m:dPr>
              <m:ctrlPr>
                <w:rPr>
                  <w:rFonts w:ascii="Cambria Math" w:hAnsi="Cambria Math" w:cs="Calibri"/>
                  <w:iCs/>
                </w:rPr>
              </m:ctrlPr>
            </m:dPr>
            <m:e>
              <m:r>
                <m:rPr>
                  <m:nor/>
                </m:rPr>
                <w:rPr>
                  <w:rFonts w:cs="Calibri"/>
                </w:rPr>
                <m:t xml:space="preserve">  </m:t>
              </m:r>
              <m:m>
                <m:mPr>
                  <m:mcs>
                    <m:mc>
                      <m:mcPr>
                        <m:count m:val="1"/>
                        <m:mcJc m:val="center"/>
                      </m:mcPr>
                    </m:mc>
                  </m:mcs>
                  <m:ctrlPr>
                    <w:rPr>
                      <w:rFonts w:ascii="Cambria Math" w:hAnsi="Cambria Math" w:cs="Calibri"/>
                      <w:iCs/>
                    </w:rPr>
                  </m:ctrlPr>
                </m:mPr>
                <m:mr>
                  <m:e>
                    <m:r>
                      <m:rPr>
                        <m:nor/>
                      </m:rPr>
                      <w:rPr>
                        <w:rFonts w:cs="Calibri"/>
                      </w:rPr>
                      <m:t>Financial</m:t>
                    </m:r>
                  </m:e>
                </m:mr>
                <m:mr>
                  <m:e>
                    <m:r>
                      <m:rPr>
                        <m:nor/>
                      </m:rPr>
                      <w:rPr>
                        <w:rFonts w:cs="Calibri"/>
                      </w:rPr>
                      <m:t>strength</m:t>
                    </m:r>
                  </m:e>
                </m:mr>
              </m:m>
              <m:r>
                <m:rPr>
                  <m:nor/>
                </m:rPr>
                <w:rPr>
                  <w:rFonts w:cs="Calibri"/>
                </w:rPr>
                <m:t xml:space="preserve">  </m:t>
              </m:r>
            </m:e>
          </m:d>
          <m:r>
            <m:rPr>
              <m:nor/>
            </m:rPr>
            <w:rPr>
              <w:rFonts w:cs="Calibri"/>
            </w:rPr>
            <m:t>+</m:t>
          </m:r>
          <m:d>
            <m:dPr>
              <m:ctrlPr>
                <w:rPr>
                  <w:rFonts w:ascii="Cambria Math" w:hAnsi="Cambria Math" w:cs="Calibri"/>
                  <w:iCs/>
                </w:rPr>
              </m:ctrlPr>
            </m:dPr>
            <m:e>
              <m:r>
                <m:rPr>
                  <m:nor/>
                </m:rPr>
                <w:rPr>
                  <w:rFonts w:cs="Calibri"/>
                </w:rPr>
                <m:t xml:space="preserve">  </m:t>
              </m:r>
              <m:m>
                <m:mPr>
                  <m:mcs>
                    <m:mc>
                      <m:mcPr>
                        <m:count m:val="1"/>
                        <m:mcJc m:val="center"/>
                      </m:mcPr>
                    </m:mc>
                  </m:mcs>
                  <m:ctrlPr>
                    <w:rPr>
                      <w:rFonts w:ascii="Cambria Math" w:hAnsi="Cambria Math" w:cs="Calibri"/>
                      <w:iCs/>
                    </w:rPr>
                  </m:ctrlPr>
                </m:mPr>
                <m:mr>
                  <m:e>
                    <m:r>
                      <m:rPr>
                        <m:nor/>
                      </m:rPr>
                      <w:rPr>
                        <w:rFonts w:cs="Calibri"/>
                      </w:rPr>
                      <m:t xml:space="preserve">Completion  </m:t>
                    </m:r>
                  </m:e>
                </m:mr>
                <m:mr>
                  <m:e>
                    <m:r>
                      <m:rPr>
                        <m:nor/>
                      </m:rPr>
                      <w:rPr>
                        <w:rFonts w:cs="Calibri"/>
                      </w:rPr>
                      <m:t>rate</m:t>
                    </m:r>
                  </m:e>
                </m:mr>
              </m:m>
            </m:e>
          </m:d>
          <m:r>
            <m:rPr>
              <m:nor/>
            </m:rPr>
            <w:rPr>
              <w:rFonts w:cs="Calibri"/>
            </w:rPr>
            <m:t>+</m:t>
          </m:r>
          <m:d>
            <m:dPr>
              <m:ctrlPr>
                <w:rPr>
                  <w:rFonts w:ascii="Cambria Math" w:hAnsi="Cambria Math" w:cs="Calibri"/>
                  <w:iCs/>
                </w:rPr>
              </m:ctrlPr>
            </m:dPr>
            <m:e>
              <m:m>
                <m:mPr>
                  <m:mcs>
                    <m:mc>
                      <m:mcPr>
                        <m:count m:val="1"/>
                        <m:mcJc m:val="center"/>
                      </m:mcPr>
                    </m:mc>
                  </m:mcs>
                  <m:ctrlPr>
                    <w:rPr>
                      <w:rFonts w:ascii="Cambria Math" w:hAnsi="Cambria Math" w:cs="Calibri"/>
                      <w:iCs/>
                    </w:rPr>
                  </m:ctrlPr>
                </m:mPr>
                <m:mr>
                  <m:e>
                    <m:r>
                      <m:rPr>
                        <m:nor/>
                      </m:rPr>
                      <w:rPr>
                        <w:rFonts w:cs="Calibri"/>
                      </w:rPr>
                      <m:t>Non</m:t>
                    </m:r>
                    <m:r>
                      <m:rPr>
                        <m:nor/>
                      </m:rPr>
                      <w:rPr>
                        <w:rFonts w:cs="Calibri"/>
                        <w:iCs/>
                      </w:rPr>
                      <m:t>-</m:t>
                    </m:r>
                    <m:r>
                      <m:rPr>
                        <m:nor/>
                      </m:rPr>
                      <w:rPr>
                        <w:rFonts w:cs="Calibri"/>
                      </w:rPr>
                      <m:t>compliance</m:t>
                    </m:r>
                  </m:e>
                </m:mr>
                <m:mr>
                  <m:e>
                    <m:r>
                      <m:rPr>
                        <m:nor/>
                      </m:rPr>
                      <w:rPr>
                        <w:rFonts w:cs="Calibri"/>
                      </w:rPr>
                      <m:t>history &amp;</m:t>
                    </m:r>
                  </m:e>
                </m:mr>
                <m:mr>
                  <m:e>
                    <m:r>
                      <m:rPr>
                        <m:nor/>
                      </m:rPr>
                      <w:rPr>
                        <w:rFonts w:cs="Calibri"/>
                      </w:rPr>
                      <m:t>registration renewal</m:t>
                    </m:r>
                  </m:e>
                </m:mr>
              </m:m>
            </m:e>
          </m:d>
        </m:oMath>
      </m:oMathPara>
    </w:p>
    <w:p w14:paraId="47269ED7" w14:textId="6B50EBC7" w:rsidR="00C63A4C" w:rsidRDefault="00C63A4C" w:rsidP="003A58A7">
      <w:pPr>
        <w:spacing w:after="80"/>
        <w:rPr>
          <w:rFonts w:cs="Calibri"/>
          <w:b/>
          <w:bCs/>
          <w:sz w:val="27"/>
          <w:szCs w:val="27"/>
        </w:rPr>
      </w:pPr>
      <w:r w:rsidRPr="000A7B92">
        <w:rPr>
          <w:rFonts w:cs="Calibri"/>
          <w:b/>
          <w:bCs/>
          <w:sz w:val="27"/>
          <w:szCs w:val="27"/>
        </w:rPr>
        <w:t xml:space="preserve">Financial </w:t>
      </w:r>
      <w:r w:rsidR="000B647F">
        <w:rPr>
          <w:rFonts w:cs="Calibri"/>
          <w:b/>
          <w:bCs/>
          <w:sz w:val="27"/>
          <w:szCs w:val="27"/>
        </w:rPr>
        <w:t>s</w:t>
      </w:r>
      <w:r w:rsidRPr="000A7B92">
        <w:rPr>
          <w:rFonts w:cs="Calibri"/>
          <w:b/>
          <w:bCs/>
          <w:sz w:val="27"/>
          <w:szCs w:val="27"/>
        </w:rPr>
        <w:t xml:space="preserve">trength </w:t>
      </w:r>
    </w:p>
    <w:p w14:paraId="0933A33B" w14:textId="759F025E" w:rsidR="008363BD" w:rsidRPr="000A7B92" w:rsidRDefault="008363BD" w:rsidP="00720E1F">
      <w:pPr>
        <w:spacing w:after="80"/>
        <w:rPr>
          <w:rFonts w:cs="Calibri"/>
        </w:rPr>
      </w:pPr>
      <w:r w:rsidRPr="000A7B92">
        <w:rPr>
          <w:rFonts w:cs="Calibri"/>
        </w:rPr>
        <w:t xml:space="preserve">To calculate </w:t>
      </w:r>
      <w:r w:rsidR="00E214BA">
        <w:rPr>
          <w:rFonts w:cs="Calibri"/>
        </w:rPr>
        <w:t xml:space="preserve">the </w:t>
      </w:r>
      <w:r w:rsidR="00F22283" w:rsidRPr="000A7B92">
        <w:rPr>
          <w:rFonts w:cs="Calibri"/>
        </w:rPr>
        <w:t>financial</w:t>
      </w:r>
      <w:r w:rsidRPr="000A7B92">
        <w:rPr>
          <w:rFonts w:cs="Calibri"/>
        </w:rPr>
        <w:t xml:space="preserve"> strength</w:t>
      </w:r>
      <w:r w:rsidR="00F22283" w:rsidRPr="000A7B92">
        <w:rPr>
          <w:rFonts w:cs="Calibri"/>
        </w:rPr>
        <w:t xml:space="preserve"> </w:t>
      </w:r>
      <w:r w:rsidR="00957CC8">
        <w:rPr>
          <w:rFonts w:cs="Calibri"/>
        </w:rPr>
        <w:t>risk factor value</w:t>
      </w:r>
      <w:r w:rsidRPr="000A7B92">
        <w:rPr>
          <w:rFonts w:cs="Calibri"/>
        </w:rPr>
        <w:t>, follow these steps:</w:t>
      </w:r>
    </w:p>
    <w:p w14:paraId="1D09BAA5" w14:textId="25A5A2DA" w:rsidR="008363BD" w:rsidRPr="001900C3" w:rsidRDefault="008363BD" w:rsidP="00D35645">
      <w:pPr>
        <w:pStyle w:val="ListParagraph"/>
        <w:numPr>
          <w:ilvl w:val="0"/>
          <w:numId w:val="12"/>
        </w:numPr>
        <w:spacing w:before="160"/>
        <w:ind w:left="992" w:hanging="357"/>
        <w:rPr>
          <w:rFonts w:cs="Calibri"/>
        </w:rPr>
      </w:pPr>
      <w:r w:rsidRPr="001900C3">
        <w:rPr>
          <w:rFonts w:cs="Calibri"/>
        </w:rPr>
        <w:t xml:space="preserve">Calculate </w:t>
      </w:r>
      <w:r w:rsidR="000A2E23">
        <w:rPr>
          <w:rFonts w:cs="Calibri"/>
        </w:rPr>
        <w:t>ratios</w:t>
      </w:r>
      <w:r w:rsidR="00C25F96" w:rsidRPr="00C25F96">
        <w:rPr>
          <w:rFonts w:cs="Calibri"/>
        </w:rPr>
        <w:t xml:space="preserve"> </w:t>
      </w:r>
      <w:r w:rsidR="00C25F96">
        <w:rPr>
          <w:rFonts w:cs="Calibri"/>
        </w:rPr>
        <w:t>as seen in</w:t>
      </w:r>
      <w:r w:rsidR="00C25F96" w:rsidRPr="000A7B92">
        <w:rPr>
          <w:rFonts w:cs="Calibri"/>
        </w:rPr>
        <w:t xml:space="preserve"> Table 1</w:t>
      </w:r>
      <w:r w:rsidR="00C25F96">
        <w:rPr>
          <w:rFonts w:cs="Calibri"/>
        </w:rPr>
        <w:t>.</w:t>
      </w:r>
    </w:p>
    <w:p w14:paraId="194A05DD" w14:textId="6F5DEC12" w:rsidR="008363BD" w:rsidRPr="001900C3" w:rsidRDefault="003C1F7C" w:rsidP="001319A8">
      <w:pPr>
        <w:pStyle w:val="ListParagraph"/>
        <w:numPr>
          <w:ilvl w:val="0"/>
          <w:numId w:val="12"/>
        </w:numPr>
        <w:ind w:left="993"/>
        <w:rPr>
          <w:rFonts w:cs="Calibri"/>
        </w:rPr>
      </w:pPr>
      <w:r>
        <w:rPr>
          <w:rFonts w:cs="Calibri"/>
        </w:rPr>
        <w:t>Determin</w:t>
      </w:r>
      <w:r w:rsidR="00B90BD1">
        <w:rPr>
          <w:rFonts w:cs="Calibri"/>
        </w:rPr>
        <w:t xml:space="preserve">e the </w:t>
      </w:r>
      <w:r w:rsidR="000A2E23">
        <w:rPr>
          <w:rFonts w:cs="Calibri"/>
        </w:rPr>
        <w:t>associated</w:t>
      </w:r>
      <w:r w:rsidR="00B90BD1">
        <w:rPr>
          <w:rFonts w:cs="Calibri"/>
        </w:rPr>
        <w:t xml:space="preserve"> score according to the </w:t>
      </w:r>
      <w:r w:rsidR="000A2E23">
        <w:rPr>
          <w:rFonts w:cs="Calibri"/>
        </w:rPr>
        <w:t>calculation</w:t>
      </w:r>
      <w:r w:rsidR="00332064">
        <w:rPr>
          <w:rFonts w:cs="Calibri"/>
        </w:rPr>
        <w:t xml:space="preserve"> (Table 1).</w:t>
      </w:r>
    </w:p>
    <w:p w14:paraId="47CFB26C" w14:textId="2C3C52DC" w:rsidR="008363BD" w:rsidRPr="001900C3" w:rsidRDefault="00A36318" w:rsidP="001319A8">
      <w:pPr>
        <w:pStyle w:val="ListParagraph"/>
        <w:numPr>
          <w:ilvl w:val="0"/>
          <w:numId w:val="12"/>
        </w:numPr>
        <w:ind w:left="993"/>
        <w:rPr>
          <w:rFonts w:cs="Calibri"/>
        </w:rPr>
      </w:pPr>
      <w:r w:rsidRPr="001900C3">
        <w:rPr>
          <w:rFonts w:cs="Calibri"/>
        </w:rPr>
        <w:t>Add scores, then i</w:t>
      </w:r>
      <w:r w:rsidR="008363BD" w:rsidRPr="001900C3">
        <w:rPr>
          <w:rFonts w:cs="Calibri"/>
        </w:rPr>
        <w:t xml:space="preserve">dentify </w:t>
      </w:r>
      <w:r w:rsidR="00EA5125" w:rsidRPr="001900C3">
        <w:rPr>
          <w:rFonts w:cs="Calibri"/>
        </w:rPr>
        <w:t xml:space="preserve">the </w:t>
      </w:r>
      <w:r w:rsidR="008363BD" w:rsidRPr="001900C3">
        <w:rPr>
          <w:rFonts w:cs="Calibri"/>
        </w:rPr>
        <w:t>risk factor value</w:t>
      </w:r>
      <w:r w:rsidR="00F22283" w:rsidRPr="001900C3">
        <w:rPr>
          <w:rFonts w:cs="Calibri"/>
        </w:rPr>
        <w:t xml:space="preserve"> </w:t>
      </w:r>
      <w:r w:rsidR="00EA5125" w:rsidRPr="001900C3">
        <w:rPr>
          <w:rFonts w:cs="Calibri"/>
        </w:rPr>
        <w:t xml:space="preserve">in </w:t>
      </w:r>
      <w:r w:rsidR="00F22283" w:rsidRPr="001900C3">
        <w:rPr>
          <w:rFonts w:cs="Calibri"/>
        </w:rPr>
        <w:t>Table 2</w:t>
      </w:r>
      <w:r w:rsidR="008363BD" w:rsidRPr="001900C3">
        <w:rPr>
          <w:rFonts w:cs="Calibri"/>
        </w:rPr>
        <w:t>.</w:t>
      </w:r>
    </w:p>
    <w:p w14:paraId="54B92510" w14:textId="7196CD08" w:rsidR="00FB6769" w:rsidRPr="00D061F8" w:rsidRDefault="00EB56DA" w:rsidP="0012322C">
      <w:pPr>
        <w:pStyle w:val="Heading4"/>
      </w:pPr>
      <w:r w:rsidRPr="00D061F8">
        <w:t xml:space="preserve">Table 1: </w:t>
      </w:r>
      <w:r w:rsidR="00DA7E04">
        <w:t>F</w:t>
      </w:r>
      <w:r w:rsidRPr="00B55B44">
        <w:t>inancial</w:t>
      </w:r>
      <w:r w:rsidRPr="00D061F8">
        <w:t xml:space="preserve"> strength calculations and scores</w:t>
      </w:r>
    </w:p>
    <w:tbl>
      <w:tblPr>
        <w:tblStyle w:val="TableGrid"/>
        <w:tblW w:w="0" w:type="auto"/>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Look w:val="04A0" w:firstRow="1" w:lastRow="0" w:firstColumn="1" w:lastColumn="0" w:noHBand="0" w:noVBand="1"/>
      </w:tblPr>
      <w:tblGrid>
        <w:gridCol w:w="1838"/>
        <w:gridCol w:w="1961"/>
        <w:gridCol w:w="1866"/>
        <w:gridCol w:w="1701"/>
        <w:gridCol w:w="1650"/>
      </w:tblGrid>
      <w:tr w:rsidR="00645C70" w:rsidRPr="000A7B92" w14:paraId="53A964F8" w14:textId="77777777" w:rsidTr="00CF7B5B">
        <w:tc>
          <w:tcPr>
            <w:tcW w:w="1838" w:type="dxa"/>
            <w:shd w:val="clear" w:color="auto" w:fill="367079"/>
          </w:tcPr>
          <w:p w14:paraId="5AD1DCD7" w14:textId="77777777" w:rsidR="00645C70" w:rsidRPr="000A7B92" w:rsidRDefault="00645C70" w:rsidP="002A1760">
            <w:pPr>
              <w:pStyle w:val="TableHeader"/>
            </w:pPr>
            <w:r w:rsidRPr="000A7B92">
              <w:t>Ratio</w:t>
            </w:r>
          </w:p>
        </w:tc>
        <w:tc>
          <w:tcPr>
            <w:tcW w:w="1961" w:type="dxa"/>
            <w:shd w:val="clear" w:color="auto" w:fill="367079"/>
          </w:tcPr>
          <w:p w14:paraId="4012001E" w14:textId="77777777" w:rsidR="00645C70" w:rsidRPr="000A7B92" w:rsidRDefault="00645C70" w:rsidP="002A1760">
            <w:pPr>
              <w:pStyle w:val="TableHeader"/>
            </w:pPr>
            <w:r w:rsidRPr="000A7B92">
              <w:t>Formula</w:t>
            </w:r>
          </w:p>
        </w:tc>
        <w:tc>
          <w:tcPr>
            <w:tcW w:w="1866" w:type="dxa"/>
            <w:shd w:val="clear" w:color="auto" w:fill="367079"/>
          </w:tcPr>
          <w:p w14:paraId="0D9B5AD7" w14:textId="74823932" w:rsidR="00645C70" w:rsidRPr="000A7B92" w:rsidRDefault="00D164D3" w:rsidP="002A1760">
            <w:pPr>
              <w:pStyle w:val="TableHeader"/>
            </w:pPr>
            <w:r>
              <w:t>Low</w:t>
            </w:r>
          </w:p>
        </w:tc>
        <w:tc>
          <w:tcPr>
            <w:tcW w:w="1701" w:type="dxa"/>
            <w:shd w:val="clear" w:color="auto" w:fill="367079"/>
          </w:tcPr>
          <w:p w14:paraId="1BF898B7" w14:textId="355018CF" w:rsidR="00645C70" w:rsidRPr="000A7B92" w:rsidRDefault="00D164D3" w:rsidP="002A1760">
            <w:pPr>
              <w:pStyle w:val="TableHeader"/>
            </w:pPr>
            <w:r>
              <w:t>Medium</w:t>
            </w:r>
          </w:p>
        </w:tc>
        <w:tc>
          <w:tcPr>
            <w:tcW w:w="1650" w:type="dxa"/>
            <w:shd w:val="clear" w:color="auto" w:fill="367079"/>
          </w:tcPr>
          <w:p w14:paraId="2B075735" w14:textId="4DEA42A5" w:rsidR="00645C70" w:rsidRPr="000A7B92" w:rsidRDefault="00D164D3" w:rsidP="002A1760">
            <w:pPr>
              <w:pStyle w:val="TableHeader"/>
            </w:pPr>
            <w:r>
              <w:t>High</w:t>
            </w:r>
          </w:p>
        </w:tc>
      </w:tr>
      <w:tr w:rsidR="00645C70" w:rsidRPr="000A7B92" w14:paraId="6E923E45" w14:textId="77777777" w:rsidTr="00CF7B5B">
        <w:trPr>
          <w:trHeight w:val="684"/>
        </w:trPr>
        <w:tc>
          <w:tcPr>
            <w:tcW w:w="1838" w:type="dxa"/>
            <w:shd w:val="clear" w:color="auto" w:fill="FFFFFF" w:themeFill="background1"/>
            <w:vAlign w:val="center"/>
          </w:tcPr>
          <w:p w14:paraId="24935A55" w14:textId="77777777" w:rsidR="00645C70" w:rsidRPr="000A7B92" w:rsidRDefault="00645C70" w:rsidP="002A1760">
            <w:pPr>
              <w:pStyle w:val="Tablecontents"/>
            </w:pPr>
            <w:r w:rsidRPr="000A7B92">
              <w:t>Return on assets</w:t>
            </w:r>
          </w:p>
        </w:tc>
        <w:tc>
          <w:tcPr>
            <w:tcW w:w="1961" w:type="dxa"/>
            <w:shd w:val="clear" w:color="auto" w:fill="FFFFFF" w:themeFill="background1"/>
            <w:vAlign w:val="center"/>
          </w:tcPr>
          <w:p w14:paraId="43FD395C" w14:textId="77777777" w:rsidR="00645C70" w:rsidRPr="00EA152B" w:rsidRDefault="00000000" w:rsidP="002A1760">
            <w:pPr>
              <w:pStyle w:val="Tablecontents"/>
            </w:pPr>
            <m:oMathPara>
              <m:oMath>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NPBT</m:t>
                        </m:r>
                      </m:num>
                      <m:den>
                        <m:r>
                          <m:rPr>
                            <m:sty m:val="p"/>
                          </m:rPr>
                          <w:rPr>
                            <w:rFonts w:ascii="Cambria Math" w:hAnsi="Cambria Math"/>
                          </w:rPr>
                          <m:t>Total assets</m:t>
                        </m:r>
                      </m:den>
                    </m:f>
                  </m:e>
                </m:d>
              </m:oMath>
            </m:oMathPara>
          </w:p>
        </w:tc>
        <w:tc>
          <w:tcPr>
            <w:tcW w:w="1866" w:type="dxa"/>
            <w:shd w:val="clear" w:color="auto" w:fill="FFFFFF" w:themeFill="background1"/>
            <w:vAlign w:val="center"/>
          </w:tcPr>
          <w:p w14:paraId="648E4707" w14:textId="77777777" w:rsidR="00645C70" w:rsidRPr="000A7B92" w:rsidRDefault="00645C70" w:rsidP="002A1760">
            <w:pPr>
              <w:pStyle w:val="Tablecontents"/>
              <w:jc w:val="center"/>
            </w:pPr>
            <w:r w:rsidRPr="000A7B92">
              <w:t>≤ 0.0</w:t>
            </w:r>
          </w:p>
        </w:tc>
        <w:tc>
          <w:tcPr>
            <w:tcW w:w="1701" w:type="dxa"/>
            <w:shd w:val="clear" w:color="auto" w:fill="FFFFFF" w:themeFill="background1"/>
            <w:vAlign w:val="center"/>
          </w:tcPr>
          <w:p w14:paraId="4147B1C2" w14:textId="77777777" w:rsidR="00645C70" w:rsidRPr="000A7B92" w:rsidRDefault="00645C70" w:rsidP="002A1760">
            <w:pPr>
              <w:pStyle w:val="Tablecontents"/>
              <w:jc w:val="center"/>
            </w:pPr>
            <w:r w:rsidRPr="000A7B92">
              <w:t>&gt; 0.0 to ≤ 0.1</w:t>
            </w:r>
          </w:p>
        </w:tc>
        <w:tc>
          <w:tcPr>
            <w:tcW w:w="1650" w:type="dxa"/>
            <w:shd w:val="clear" w:color="auto" w:fill="FFFFFF" w:themeFill="background1"/>
            <w:vAlign w:val="center"/>
          </w:tcPr>
          <w:p w14:paraId="767B2DA0" w14:textId="77777777" w:rsidR="00645C70" w:rsidRPr="000A7B92" w:rsidRDefault="00645C70" w:rsidP="002A1760">
            <w:pPr>
              <w:pStyle w:val="Tablecontents"/>
              <w:jc w:val="center"/>
            </w:pPr>
            <w:r w:rsidRPr="000A7B92">
              <w:t>&gt; 0.1</w:t>
            </w:r>
          </w:p>
        </w:tc>
      </w:tr>
      <w:tr w:rsidR="00645C70" w:rsidRPr="000A7B92" w14:paraId="05AE9753" w14:textId="77777777" w:rsidTr="00CF7B5B">
        <w:trPr>
          <w:trHeight w:val="340"/>
        </w:trPr>
        <w:tc>
          <w:tcPr>
            <w:tcW w:w="1838" w:type="dxa"/>
            <w:shd w:val="clear" w:color="auto" w:fill="D8EBEE"/>
            <w:vAlign w:val="center"/>
          </w:tcPr>
          <w:p w14:paraId="7B6BD3AD" w14:textId="77777777" w:rsidR="00645C70" w:rsidRPr="00591E7F" w:rsidRDefault="00645C70" w:rsidP="002A1760">
            <w:pPr>
              <w:pStyle w:val="Tablecontents"/>
              <w:rPr>
                <w:b/>
                <w:bCs/>
              </w:rPr>
            </w:pPr>
            <w:r w:rsidRPr="00591E7F">
              <w:rPr>
                <w:b/>
                <w:bCs/>
              </w:rPr>
              <w:t>Score</w:t>
            </w:r>
          </w:p>
        </w:tc>
        <w:tc>
          <w:tcPr>
            <w:tcW w:w="1961" w:type="dxa"/>
            <w:shd w:val="clear" w:color="auto" w:fill="D8EBEE"/>
            <w:vAlign w:val="center"/>
          </w:tcPr>
          <w:p w14:paraId="72A4825D" w14:textId="77777777" w:rsidR="00645C70" w:rsidRPr="000A7B92" w:rsidRDefault="00645C70" w:rsidP="002A1760">
            <w:pPr>
              <w:pStyle w:val="Tablecontents"/>
            </w:pPr>
          </w:p>
        </w:tc>
        <w:tc>
          <w:tcPr>
            <w:tcW w:w="1866" w:type="dxa"/>
            <w:shd w:val="clear" w:color="auto" w:fill="D8EBEE"/>
            <w:vAlign w:val="center"/>
          </w:tcPr>
          <w:p w14:paraId="2C2A26FE" w14:textId="77777777" w:rsidR="00645C70" w:rsidRPr="000A7B92" w:rsidRDefault="00645C70" w:rsidP="002A1760">
            <w:pPr>
              <w:pStyle w:val="Tablecontents"/>
              <w:jc w:val="center"/>
              <w:rPr>
                <w:b/>
                <w:bCs/>
              </w:rPr>
            </w:pPr>
            <w:r w:rsidRPr="000A7B92">
              <w:rPr>
                <w:b/>
                <w:bCs/>
              </w:rPr>
              <w:t>1.5</w:t>
            </w:r>
          </w:p>
        </w:tc>
        <w:tc>
          <w:tcPr>
            <w:tcW w:w="1701" w:type="dxa"/>
            <w:shd w:val="clear" w:color="auto" w:fill="D8EBEE"/>
            <w:vAlign w:val="center"/>
          </w:tcPr>
          <w:p w14:paraId="6826A5D4" w14:textId="77777777" w:rsidR="00645C70" w:rsidRPr="000A7B92" w:rsidRDefault="00645C70" w:rsidP="002A1760">
            <w:pPr>
              <w:pStyle w:val="Tablecontents"/>
              <w:jc w:val="center"/>
              <w:rPr>
                <w:b/>
                <w:bCs/>
              </w:rPr>
            </w:pPr>
            <w:r w:rsidRPr="000A7B92">
              <w:rPr>
                <w:b/>
                <w:bCs/>
              </w:rPr>
              <w:t>3.0</w:t>
            </w:r>
          </w:p>
        </w:tc>
        <w:tc>
          <w:tcPr>
            <w:tcW w:w="1650" w:type="dxa"/>
            <w:shd w:val="clear" w:color="auto" w:fill="D8EBEE"/>
            <w:vAlign w:val="center"/>
          </w:tcPr>
          <w:p w14:paraId="2DB4A1C4" w14:textId="77777777" w:rsidR="00645C70" w:rsidRPr="000A7B92" w:rsidRDefault="00645C70" w:rsidP="002A1760">
            <w:pPr>
              <w:pStyle w:val="Tablecontents"/>
              <w:jc w:val="center"/>
              <w:rPr>
                <w:b/>
                <w:bCs/>
              </w:rPr>
            </w:pPr>
            <w:r w:rsidRPr="000A7B92">
              <w:rPr>
                <w:b/>
                <w:bCs/>
              </w:rPr>
              <w:t>4.5</w:t>
            </w:r>
          </w:p>
        </w:tc>
      </w:tr>
      <w:tr w:rsidR="00645C70" w:rsidRPr="000A7B92" w14:paraId="048F8BB3" w14:textId="77777777" w:rsidTr="00CF7B5B">
        <w:tc>
          <w:tcPr>
            <w:tcW w:w="1838" w:type="dxa"/>
            <w:vAlign w:val="center"/>
          </w:tcPr>
          <w:p w14:paraId="15F00AB2" w14:textId="77777777" w:rsidR="00645C70" w:rsidRPr="000A7B92" w:rsidRDefault="00645C70" w:rsidP="002A1760">
            <w:pPr>
              <w:pStyle w:val="Tablecontents"/>
            </w:pPr>
            <w:r w:rsidRPr="000A7B92">
              <w:t>Debt to equity</w:t>
            </w:r>
          </w:p>
        </w:tc>
        <w:tc>
          <w:tcPr>
            <w:tcW w:w="1961" w:type="dxa"/>
            <w:vAlign w:val="center"/>
          </w:tcPr>
          <w:p w14:paraId="34D70357" w14:textId="77777777" w:rsidR="00645C70" w:rsidRPr="00EA152B" w:rsidRDefault="00000000" w:rsidP="002A1760">
            <w:pPr>
              <w:pStyle w:val="Tablecontents"/>
              <w:rPr>
                <w:rFonts w:ascii="Cambria" w:hAnsi="Cambria"/>
              </w:rPr>
            </w:pPr>
            <m:oMathPara>
              <m:oMath>
                <m:d>
                  <m:dPr>
                    <m:begChr m:val="["/>
                    <m:endChr m:val="]"/>
                    <m:ctrlPr>
                      <w:rPr>
                        <w:rFonts w:ascii="Cambria Math" w:hAnsi="Cambria Math"/>
                        <w:i/>
                        <w:iCs/>
                      </w:rPr>
                    </m:ctrlPr>
                  </m:dPr>
                  <m:e>
                    <m:f>
                      <m:fPr>
                        <m:ctrlPr>
                          <w:rPr>
                            <w:rFonts w:ascii="Cambria Math" w:hAnsi="Cambria Math"/>
                            <w:i/>
                            <w:iCs/>
                          </w:rPr>
                        </m:ctrlPr>
                      </m:fPr>
                      <m:num>
                        <m:eqArr>
                          <m:eqArrPr>
                            <m:ctrlPr>
                              <w:rPr>
                                <w:rFonts w:ascii="Cambria Math" w:hAnsi="Cambria Math"/>
                              </w:rPr>
                            </m:ctrlPr>
                          </m:eqArrPr>
                          <m:e>
                            <m:r>
                              <m:rPr>
                                <m:sty m:val="p"/>
                              </m:rPr>
                              <w:rPr>
                                <w:rFonts w:ascii="Cambria Math" w:hAnsi="Cambria Math"/>
                              </w:rPr>
                              <m:t>Total liabilities</m:t>
                            </m:r>
                          </m:e>
                        </m:eqArr>
                      </m:num>
                      <m:den>
                        <m:r>
                          <m:rPr>
                            <m:sty m:val="p"/>
                          </m:rPr>
                          <w:rPr>
                            <w:rFonts w:ascii="Cambria Math" w:hAnsi="Cambria Math"/>
                          </w:rPr>
                          <m:t>Total equity</m:t>
                        </m:r>
                      </m:den>
                    </m:f>
                  </m:e>
                </m:d>
              </m:oMath>
            </m:oMathPara>
          </w:p>
        </w:tc>
        <w:tc>
          <w:tcPr>
            <w:tcW w:w="1866" w:type="dxa"/>
            <w:vAlign w:val="center"/>
          </w:tcPr>
          <w:p w14:paraId="407C6D64" w14:textId="3C62F5EC" w:rsidR="00645C70" w:rsidRPr="000A7B92" w:rsidRDefault="00645C70" w:rsidP="002A1760">
            <w:pPr>
              <w:pStyle w:val="Tablecontents"/>
              <w:jc w:val="center"/>
            </w:pPr>
            <w:r w:rsidRPr="000A7B92">
              <w:t>≥ 2.5</w:t>
            </w:r>
            <w:r w:rsidR="00784CCC">
              <w:t xml:space="preserve"> </w:t>
            </w:r>
            <w:r w:rsidRPr="000A7B92">
              <w:t>or</w:t>
            </w:r>
          </w:p>
          <w:p w14:paraId="007D698D" w14:textId="77777777" w:rsidR="00645C70" w:rsidRPr="000A7B92" w:rsidRDefault="00645C70" w:rsidP="002A1760">
            <w:pPr>
              <w:pStyle w:val="Tablecontents"/>
              <w:jc w:val="center"/>
            </w:pPr>
            <w:r w:rsidRPr="000A7B92">
              <w:t>total equity ≤ 0.0</w:t>
            </w:r>
          </w:p>
        </w:tc>
        <w:tc>
          <w:tcPr>
            <w:tcW w:w="1701" w:type="dxa"/>
            <w:vAlign w:val="center"/>
          </w:tcPr>
          <w:p w14:paraId="6646FFFE" w14:textId="77777777" w:rsidR="00645C70" w:rsidRPr="000A7B92" w:rsidRDefault="00645C70" w:rsidP="002A1760">
            <w:pPr>
              <w:pStyle w:val="Tablecontents"/>
              <w:jc w:val="center"/>
            </w:pPr>
            <w:r w:rsidRPr="000A7B92">
              <w:t>≥ 1.5 to &lt; 2.5</w:t>
            </w:r>
          </w:p>
        </w:tc>
        <w:tc>
          <w:tcPr>
            <w:tcW w:w="1650" w:type="dxa"/>
            <w:vAlign w:val="center"/>
          </w:tcPr>
          <w:p w14:paraId="4CD78ED6" w14:textId="77777777" w:rsidR="00645C70" w:rsidRPr="000A7B92" w:rsidRDefault="00645C70" w:rsidP="002A1760">
            <w:pPr>
              <w:pStyle w:val="Tablecontents"/>
              <w:jc w:val="center"/>
            </w:pPr>
            <w:r w:rsidRPr="000A7B92">
              <w:t>≥ 0.0 to &lt; 1.5</w:t>
            </w:r>
          </w:p>
        </w:tc>
      </w:tr>
      <w:tr w:rsidR="00645C70" w:rsidRPr="000A7B92" w14:paraId="2D7A14A6" w14:textId="77777777" w:rsidTr="00CF7B5B">
        <w:trPr>
          <w:trHeight w:val="340"/>
        </w:trPr>
        <w:tc>
          <w:tcPr>
            <w:tcW w:w="1838" w:type="dxa"/>
            <w:shd w:val="clear" w:color="auto" w:fill="D8EBEE"/>
            <w:vAlign w:val="center"/>
          </w:tcPr>
          <w:p w14:paraId="11EF1158" w14:textId="77777777" w:rsidR="00645C70" w:rsidRPr="00591E7F" w:rsidRDefault="00645C70" w:rsidP="002A1760">
            <w:pPr>
              <w:pStyle w:val="Tablecontents"/>
              <w:rPr>
                <w:b/>
                <w:bCs/>
              </w:rPr>
            </w:pPr>
            <w:bookmarkStart w:id="0" w:name="_Hlk182482478"/>
            <w:r w:rsidRPr="00591E7F">
              <w:rPr>
                <w:b/>
                <w:bCs/>
              </w:rPr>
              <w:t>Score</w:t>
            </w:r>
          </w:p>
        </w:tc>
        <w:tc>
          <w:tcPr>
            <w:tcW w:w="1961" w:type="dxa"/>
            <w:shd w:val="clear" w:color="auto" w:fill="D8EBEE"/>
            <w:vAlign w:val="center"/>
          </w:tcPr>
          <w:p w14:paraId="1B79231B" w14:textId="77777777" w:rsidR="00645C70" w:rsidRPr="000A7B92" w:rsidRDefault="00645C70" w:rsidP="002A1760">
            <w:pPr>
              <w:pStyle w:val="Tablecontents"/>
            </w:pPr>
          </w:p>
        </w:tc>
        <w:tc>
          <w:tcPr>
            <w:tcW w:w="1866" w:type="dxa"/>
            <w:shd w:val="clear" w:color="auto" w:fill="D8EBEE"/>
            <w:vAlign w:val="center"/>
          </w:tcPr>
          <w:p w14:paraId="114476E3" w14:textId="77777777" w:rsidR="00645C70" w:rsidRPr="000A7B92" w:rsidRDefault="00645C70" w:rsidP="002A1760">
            <w:pPr>
              <w:pStyle w:val="Tablecontents"/>
              <w:jc w:val="center"/>
              <w:rPr>
                <w:b/>
                <w:bCs/>
              </w:rPr>
            </w:pPr>
            <w:r w:rsidRPr="000A7B92">
              <w:rPr>
                <w:b/>
                <w:bCs/>
              </w:rPr>
              <w:t>1.5</w:t>
            </w:r>
          </w:p>
        </w:tc>
        <w:tc>
          <w:tcPr>
            <w:tcW w:w="1701" w:type="dxa"/>
            <w:shd w:val="clear" w:color="auto" w:fill="D8EBEE"/>
            <w:vAlign w:val="center"/>
          </w:tcPr>
          <w:p w14:paraId="0A919F29" w14:textId="77777777" w:rsidR="00645C70" w:rsidRPr="000A7B92" w:rsidRDefault="00645C70" w:rsidP="002A1760">
            <w:pPr>
              <w:pStyle w:val="Tablecontents"/>
              <w:jc w:val="center"/>
              <w:rPr>
                <w:b/>
                <w:bCs/>
              </w:rPr>
            </w:pPr>
            <w:r w:rsidRPr="000A7B92">
              <w:rPr>
                <w:b/>
                <w:bCs/>
              </w:rPr>
              <w:t>3.0</w:t>
            </w:r>
          </w:p>
        </w:tc>
        <w:tc>
          <w:tcPr>
            <w:tcW w:w="1650" w:type="dxa"/>
            <w:shd w:val="clear" w:color="auto" w:fill="D8EBEE"/>
            <w:vAlign w:val="center"/>
          </w:tcPr>
          <w:p w14:paraId="0F93A052" w14:textId="77777777" w:rsidR="00645C70" w:rsidRPr="000A7B92" w:rsidRDefault="00645C70" w:rsidP="002A1760">
            <w:pPr>
              <w:pStyle w:val="Tablecontents"/>
              <w:jc w:val="center"/>
              <w:rPr>
                <w:b/>
                <w:bCs/>
              </w:rPr>
            </w:pPr>
            <w:r w:rsidRPr="000A7B92">
              <w:rPr>
                <w:b/>
                <w:bCs/>
              </w:rPr>
              <w:t>4.5</w:t>
            </w:r>
          </w:p>
        </w:tc>
      </w:tr>
    </w:tbl>
    <w:bookmarkEnd w:id="0"/>
    <w:p w14:paraId="79A21111" w14:textId="77777777" w:rsidR="00487455" w:rsidRDefault="00FB6769" w:rsidP="003D32D5">
      <w:pPr>
        <w:spacing w:after="0"/>
        <w:rPr>
          <w:rFonts w:cs="Calibri"/>
          <w:sz w:val="18"/>
          <w:szCs w:val="18"/>
        </w:rPr>
      </w:pPr>
      <w:r w:rsidRPr="000A7B92">
        <w:rPr>
          <w:rFonts w:cs="Calibri"/>
          <w:sz w:val="18"/>
          <w:szCs w:val="18"/>
        </w:rPr>
        <w:t>NPBT</w:t>
      </w:r>
      <w:r w:rsidR="003D32D5" w:rsidRPr="000A7B92">
        <w:rPr>
          <w:rFonts w:cs="Calibri"/>
          <w:sz w:val="18"/>
          <w:szCs w:val="18"/>
        </w:rPr>
        <w:t xml:space="preserve"> =</w:t>
      </w:r>
      <w:r w:rsidRPr="000A7B92">
        <w:rPr>
          <w:rFonts w:cs="Calibri"/>
          <w:sz w:val="18"/>
          <w:szCs w:val="18"/>
        </w:rPr>
        <w:t xml:space="preserve"> Net profit before tax</w:t>
      </w:r>
      <w:r w:rsidR="00645C70">
        <w:rPr>
          <w:rFonts w:cs="Calibri"/>
          <w:sz w:val="18"/>
          <w:szCs w:val="18"/>
        </w:rPr>
        <w:t xml:space="preserve">.  </w:t>
      </w:r>
    </w:p>
    <w:p w14:paraId="6F7AEBD6" w14:textId="57372562" w:rsidR="00BA7F13" w:rsidRDefault="00BD0958" w:rsidP="003D32D5">
      <w:pPr>
        <w:spacing w:after="0"/>
        <w:rPr>
          <w:rFonts w:cs="Calibri"/>
          <w:sz w:val="18"/>
          <w:szCs w:val="18"/>
        </w:rPr>
      </w:pPr>
      <w:r w:rsidRPr="000A7B92">
        <w:rPr>
          <w:rFonts w:cs="Calibri"/>
          <w:sz w:val="18"/>
          <w:szCs w:val="18"/>
        </w:rPr>
        <w:t>Source:</w:t>
      </w:r>
      <w:r w:rsidR="00AF165D" w:rsidRPr="000A7B92">
        <w:rPr>
          <w:rFonts w:cs="Calibri"/>
          <w:sz w:val="18"/>
          <w:szCs w:val="18"/>
        </w:rPr>
        <w:t xml:space="preserve"> Financial statements provided in HITS.</w:t>
      </w:r>
    </w:p>
    <w:p w14:paraId="7718DD48" w14:textId="032998E2" w:rsidR="00397B6B" w:rsidRPr="00D061F8" w:rsidRDefault="00397B6B" w:rsidP="00F75BC8">
      <w:pPr>
        <w:pStyle w:val="Heading4"/>
        <w:keepNext/>
      </w:pPr>
      <w:r w:rsidRPr="00D061F8">
        <w:lastRenderedPageBreak/>
        <w:t xml:space="preserve">Table 2: </w:t>
      </w:r>
      <w:r w:rsidR="00DA7E04">
        <w:t>F</w:t>
      </w:r>
      <w:r w:rsidRPr="00B55B44">
        <w:t>inancial</w:t>
      </w:r>
      <w:r w:rsidRPr="00D061F8">
        <w:t xml:space="preserve"> strength risk factor </w:t>
      </w:r>
      <w:r w:rsidR="00D66772" w:rsidRPr="00D061F8">
        <w:t>value</w:t>
      </w:r>
    </w:p>
    <w:tbl>
      <w:tblPr>
        <w:tblStyle w:val="TableGrid"/>
        <w:tblW w:w="0" w:type="auto"/>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Look w:val="04A0" w:firstRow="1" w:lastRow="0" w:firstColumn="1" w:lastColumn="0" w:noHBand="0" w:noVBand="1"/>
      </w:tblPr>
      <w:tblGrid>
        <w:gridCol w:w="3397"/>
        <w:gridCol w:w="2977"/>
      </w:tblGrid>
      <w:tr w:rsidR="00670E46" w:rsidRPr="000A7B92" w14:paraId="13E652FC" w14:textId="77777777" w:rsidTr="00CF7B5B">
        <w:trPr>
          <w:trHeight w:val="284"/>
        </w:trPr>
        <w:tc>
          <w:tcPr>
            <w:tcW w:w="3397" w:type="dxa"/>
            <w:shd w:val="clear" w:color="auto" w:fill="367079"/>
          </w:tcPr>
          <w:p w14:paraId="007E0531" w14:textId="77777777" w:rsidR="00670E46" w:rsidRPr="000A7B92" w:rsidRDefault="00670E46" w:rsidP="00F75BC8">
            <w:pPr>
              <w:pStyle w:val="TableHeader"/>
              <w:keepNext/>
            </w:pPr>
            <w:r w:rsidRPr="000A7B92">
              <w:t>Financial strength score</w:t>
            </w:r>
          </w:p>
        </w:tc>
        <w:tc>
          <w:tcPr>
            <w:tcW w:w="2977" w:type="dxa"/>
            <w:shd w:val="clear" w:color="auto" w:fill="367079"/>
          </w:tcPr>
          <w:p w14:paraId="7D99E4AA" w14:textId="2ED880B5" w:rsidR="00670E46" w:rsidRPr="000A7B92" w:rsidRDefault="00670E46" w:rsidP="00F75BC8">
            <w:pPr>
              <w:pStyle w:val="TableHeader"/>
              <w:keepNext/>
            </w:pPr>
            <w:r w:rsidRPr="000A7B92">
              <w:t>202</w:t>
            </w:r>
            <w:r w:rsidR="006C04ED">
              <w:t>5</w:t>
            </w:r>
            <w:r w:rsidRPr="000A7B92">
              <w:t xml:space="preserve"> risk factor value</w:t>
            </w:r>
          </w:p>
        </w:tc>
      </w:tr>
      <w:tr w:rsidR="00670E46" w:rsidRPr="000A7B92" w14:paraId="23ABA228" w14:textId="77777777" w:rsidTr="00CF7B5B">
        <w:trPr>
          <w:trHeight w:val="340"/>
        </w:trPr>
        <w:tc>
          <w:tcPr>
            <w:tcW w:w="3397" w:type="dxa"/>
            <w:shd w:val="clear" w:color="auto" w:fill="D8EBEE"/>
            <w:vAlign w:val="center"/>
          </w:tcPr>
          <w:p w14:paraId="060A4AEB" w14:textId="42CE5E65" w:rsidR="00670E46" w:rsidRPr="000A7B92" w:rsidRDefault="00670E46" w:rsidP="00F75BC8">
            <w:pPr>
              <w:pStyle w:val="Tablecontents"/>
              <w:keepNext/>
              <w:jc w:val="center"/>
            </w:pPr>
            <w:r w:rsidRPr="000A7B92">
              <w:t>9</w:t>
            </w:r>
          </w:p>
        </w:tc>
        <w:tc>
          <w:tcPr>
            <w:tcW w:w="2977" w:type="dxa"/>
            <w:shd w:val="clear" w:color="auto" w:fill="D8EBEE"/>
            <w:vAlign w:val="center"/>
          </w:tcPr>
          <w:p w14:paraId="53E8C3C8" w14:textId="02082857" w:rsidR="00670E46" w:rsidRPr="000A7B92" w:rsidRDefault="006C04ED" w:rsidP="00F75BC8">
            <w:pPr>
              <w:pStyle w:val="Tablecontents"/>
              <w:keepNext/>
              <w:jc w:val="center"/>
            </w:pPr>
            <w:r>
              <w:t>0.0</w:t>
            </w:r>
          </w:p>
        </w:tc>
      </w:tr>
      <w:tr w:rsidR="00670E46" w:rsidRPr="000A7B92" w14:paraId="09690F37" w14:textId="77777777" w:rsidTr="00CF7B5B">
        <w:trPr>
          <w:trHeight w:val="340"/>
        </w:trPr>
        <w:tc>
          <w:tcPr>
            <w:tcW w:w="3397" w:type="dxa"/>
            <w:vAlign w:val="center"/>
          </w:tcPr>
          <w:p w14:paraId="0A788B7C" w14:textId="296FFFD1" w:rsidR="00670E46" w:rsidRPr="000A7B92" w:rsidRDefault="00670E46" w:rsidP="00F75BC8">
            <w:pPr>
              <w:pStyle w:val="Tablecontents"/>
              <w:keepNext/>
              <w:jc w:val="center"/>
            </w:pPr>
            <w:r w:rsidRPr="000A7B92">
              <w:t>6 or 7</w:t>
            </w:r>
            <w:r w:rsidR="006C04ED">
              <w:t>.5</w:t>
            </w:r>
          </w:p>
        </w:tc>
        <w:tc>
          <w:tcPr>
            <w:tcW w:w="2977" w:type="dxa"/>
            <w:vAlign w:val="center"/>
          </w:tcPr>
          <w:p w14:paraId="4D8BDB4E" w14:textId="77777777" w:rsidR="00670E46" w:rsidRPr="000A7B92" w:rsidRDefault="00670E46" w:rsidP="00F75BC8">
            <w:pPr>
              <w:pStyle w:val="Tablecontents"/>
              <w:keepNext/>
              <w:jc w:val="center"/>
            </w:pPr>
            <w:r w:rsidRPr="000A7B92">
              <w:t>1.0</w:t>
            </w:r>
          </w:p>
        </w:tc>
      </w:tr>
      <w:tr w:rsidR="00670E46" w:rsidRPr="000A7B92" w14:paraId="46573683" w14:textId="77777777" w:rsidTr="00CF7B5B">
        <w:trPr>
          <w:trHeight w:val="340"/>
        </w:trPr>
        <w:tc>
          <w:tcPr>
            <w:tcW w:w="3397" w:type="dxa"/>
            <w:shd w:val="clear" w:color="auto" w:fill="D8EBEE"/>
            <w:vAlign w:val="center"/>
          </w:tcPr>
          <w:p w14:paraId="1E795639" w14:textId="0825BBEC" w:rsidR="00670E46" w:rsidRPr="000A7B92" w:rsidRDefault="00DB4063" w:rsidP="00F75BC8">
            <w:pPr>
              <w:pStyle w:val="Tablecontents"/>
              <w:keepNext/>
              <w:jc w:val="center"/>
            </w:pPr>
            <w:r>
              <w:t>3</w:t>
            </w:r>
            <w:r w:rsidR="00670E46" w:rsidRPr="000A7B92">
              <w:t xml:space="preserve"> </w:t>
            </w:r>
            <w:r>
              <w:t>or</w:t>
            </w:r>
            <w:r w:rsidR="00670E46" w:rsidRPr="000A7B92">
              <w:t xml:space="preserve"> </w:t>
            </w:r>
            <w:r>
              <w:t>4.5</w:t>
            </w:r>
          </w:p>
        </w:tc>
        <w:tc>
          <w:tcPr>
            <w:tcW w:w="2977" w:type="dxa"/>
            <w:shd w:val="clear" w:color="auto" w:fill="D8EBEE"/>
            <w:vAlign w:val="center"/>
          </w:tcPr>
          <w:p w14:paraId="2FED86C0" w14:textId="77777777" w:rsidR="00670E46" w:rsidRPr="000A7B92" w:rsidRDefault="00670E46" w:rsidP="00F75BC8">
            <w:pPr>
              <w:pStyle w:val="Tablecontents"/>
              <w:keepNext/>
              <w:jc w:val="center"/>
            </w:pPr>
            <w:r w:rsidRPr="000A7B92">
              <w:t>2.0</w:t>
            </w:r>
          </w:p>
        </w:tc>
      </w:tr>
      <w:tr w:rsidR="00670E46" w:rsidRPr="000A7B92" w14:paraId="7A243918" w14:textId="77777777" w:rsidTr="00CF7B5B">
        <w:trPr>
          <w:trHeight w:val="340"/>
        </w:trPr>
        <w:tc>
          <w:tcPr>
            <w:tcW w:w="3397" w:type="dxa"/>
            <w:shd w:val="clear" w:color="auto" w:fill="FFFFFF" w:themeFill="background1"/>
            <w:vAlign w:val="center"/>
          </w:tcPr>
          <w:p w14:paraId="1AD3135D" w14:textId="77777777" w:rsidR="00670E46" w:rsidRPr="000A7B92" w:rsidRDefault="00670E46" w:rsidP="002A1760">
            <w:pPr>
              <w:pStyle w:val="Tablecontents"/>
              <w:jc w:val="center"/>
            </w:pPr>
            <w:r w:rsidRPr="000A7B92">
              <w:t>Financial statements not provided</w:t>
            </w:r>
          </w:p>
        </w:tc>
        <w:tc>
          <w:tcPr>
            <w:tcW w:w="2977" w:type="dxa"/>
            <w:shd w:val="clear" w:color="auto" w:fill="FFFFFF" w:themeFill="background1"/>
            <w:vAlign w:val="center"/>
          </w:tcPr>
          <w:p w14:paraId="2E9A8D1C" w14:textId="77777777" w:rsidR="00670E46" w:rsidRPr="000A7B92" w:rsidRDefault="00670E46" w:rsidP="002A1760">
            <w:pPr>
              <w:pStyle w:val="Tablecontents"/>
              <w:jc w:val="center"/>
            </w:pPr>
            <w:r w:rsidRPr="000A7B92">
              <w:t>2.5</w:t>
            </w:r>
          </w:p>
        </w:tc>
      </w:tr>
    </w:tbl>
    <w:p w14:paraId="34B01992" w14:textId="0D8F7BD8" w:rsidR="00B371D7" w:rsidRPr="000A7B92" w:rsidRDefault="00B371D7" w:rsidP="0012322C">
      <w:pPr>
        <w:pStyle w:val="Heading3"/>
      </w:pPr>
      <w:r w:rsidRPr="000A7B92">
        <w:t>Completion rate</w:t>
      </w:r>
    </w:p>
    <w:p w14:paraId="7F552330" w14:textId="0C3F5D15" w:rsidR="00BD580C" w:rsidRDefault="00BD580C" w:rsidP="00BD580C">
      <w:r w:rsidRPr="000A7B92">
        <w:t xml:space="preserve">To calculate </w:t>
      </w:r>
      <w:r w:rsidR="00957CC8">
        <w:t xml:space="preserve">the </w:t>
      </w:r>
      <w:r w:rsidRPr="000A7B92">
        <w:t xml:space="preserve">completion rate </w:t>
      </w:r>
      <w:r w:rsidR="00957CC8">
        <w:t>risk factor value</w:t>
      </w:r>
      <w:r>
        <w:t>, follow these steps:</w:t>
      </w:r>
    </w:p>
    <w:p w14:paraId="019F4A05" w14:textId="77777777" w:rsidR="00882069" w:rsidRDefault="00882069" w:rsidP="00D35645">
      <w:pPr>
        <w:pStyle w:val="ListParagraph"/>
        <w:numPr>
          <w:ilvl w:val="0"/>
          <w:numId w:val="4"/>
        </w:numPr>
        <w:spacing w:before="160"/>
        <w:ind w:left="1134" w:hanging="357"/>
        <w:rPr>
          <w:rFonts w:cs="Calibri"/>
        </w:rPr>
      </w:pPr>
      <w:r>
        <w:rPr>
          <w:rFonts w:cs="Calibri"/>
        </w:rPr>
        <w:t>Calculate</w:t>
      </w:r>
      <w:r w:rsidRPr="00A127E5">
        <w:rPr>
          <w:rFonts w:cs="Calibri"/>
        </w:rPr>
        <w:t xml:space="preserve"> completion rate </w:t>
      </w:r>
      <w:r>
        <w:rPr>
          <w:rFonts w:cs="Calibri"/>
        </w:rPr>
        <w:t>percentage</w:t>
      </w:r>
      <w:r w:rsidRPr="00A127E5">
        <w:rPr>
          <w:rFonts w:cs="Calibri"/>
        </w:rPr>
        <w:t>:</w:t>
      </w:r>
    </w:p>
    <w:p w14:paraId="56E764BA" w14:textId="42320FFB" w:rsidR="00882069" w:rsidRPr="008A58B1" w:rsidRDefault="00882069" w:rsidP="00882069">
      <w:pPr>
        <w:ind w:left="709"/>
        <w:jc w:val="center"/>
        <w:rPr>
          <w:rFonts w:cs="Calibri"/>
        </w:rPr>
      </w:pPr>
      <w:r w:rsidRPr="008A58B1">
        <w:rPr>
          <w:rFonts w:eastAsiaTheme="minorEastAsia" w:cs="Calibri"/>
        </w:rPr>
        <w:t>Completion rate percentage =</w:t>
      </w:r>
      <m:oMath>
        <m:d>
          <m:dPr>
            <m:ctrlPr>
              <w:rPr>
                <w:rFonts w:ascii="Cambria Math" w:hAnsi="Cambria Math" w:cs="Calibri"/>
                <w:i/>
              </w:rPr>
            </m:ctrlPr>
          </m:dPr>
          <m:e>
            <m:f>
              <m:fPr>
                <m:ctrlPr>
                  <w:rPr>
                    <w:rFonts w:ascii="Cambria Math" w:hAnsi="Cambria Math" w:cs="Calibri"/>
                    <w:iCs/>
                  </w:rPr>
                </m:ctrlPr>
              </m:fPr>
              <m:num>
                <m:r>
                  <m:rPr>
                    <m:nor/>
                  </m:rPr>
                  <w:rPr>
                    <w:rFonts w:cs="Calibri"/>
                  </w:rPr>
                  <m:t>Passed EFTSL</m:t>
                </m:r>
              </m:num>
              <m:den>
                <m:d>
                  <m:dPr>
                    <m:ctrlPr>
                      <w:rPr>
                        <w:rFonts w:ascii="Cambria Math" w:hAnsi="Cambria Math" w:cs="Calibri"/>
                        <w:iCs/>
                      </w:rPr>
                    </m:ctrlPr>
                  </m:dPr>
                  <m:e>
                    <m:r>
                      <m:rPr>
                        <m:nor/>
                      </m:rPr>
                      <w:rPr>
                        <w:rFonts w:cs="Calibri"/>
                      </w:rPr>
                      <m:t>Passed</m:t>
                    </m:r>
                    <m:r>
                      <m:rPr>
                        <m:nor/>
                      </m:rPr>
                      <w:rPr>
                        <w:rFonts w:ascii="Cambria Math" w:cs="Calibri"/>
                      </w:rPr>
                      <m:t xml:space="preserve"> </m:t>
                    </m:r>
                    <m:r>
                      <m:rPr>
                        <m:nor/>
                      </m:rPr>
                      <w:rPr>
                        <w:rFonts w:cs="Calibri"/>
                      </w:rPr>
                      <m:t>+</m:t>
                    </m:r>
                    <m:r>
                      <m:rPr>
                        <m:nor/>
                      </m:rPr>
                      <w:rPr>
                        <w:rFonts w:ascii="Cambria Math" w:cs="Calibri"/>
                      </w:rPr>
                      <m:t xml:space="preserve"> </m:t>
                    </m:r>
                    <m:r>
                      <m:rPr>
                        <m:nor/>
                      </m:rPr>
                      <w:rPr>
                        <w:rFonts w:cs="Calibri"/>
                      </w:rPr>
                      <m:t>Failed</m:t>
                    </m:r>
                    <m:r>
                      <m:rPr>
                        <m:nor/>
                      </m:rPr>
                      <w:rPr>
                        <w:rFonts w:ascii="Cambria Math" w:cs="Calibri"/>
                      </w:rPr>
                      <m:t xml:space="preserve"> </m:t>
                    </m:r>
                    <m:r>
                      <m:rPr>
                        <m:nor/>
                      </m:rPr>
                      <w:rPr>
                        <w:rFonts w:cs="Calibri"/>
                      </w:rPr>
                      <m:t>+</m:t>
                    </m:r>
                    <m:r>
                      <m:rPr>
                        <m:nor/>
                      </m:rPr>
                      <w:rPr>
                        <w:rFonts w:ascii="Cambria Math" w:cs="Calibri"/>
                      </w:rPr>
                      <m:t xml:space="preserve"> </m:t>
                    </m:r>
                    <m:r>
                      <m:rPr>
                        <m:nor/>
                      </m:rPr>
                      <w:rPr>
                        <w:rFonts w:cs="Calibri"/>
                      </w:rPr>
                      <m:t>Ongoing</m:t>
                    </m:r>
                    <m:r>
                      <m:rPr>
                        <m:nor/>
                      </m:rPr>
                      <w:rPr>
                        <w:rFonts w:ascii="Cambria Math" w:cs="Calibri"/>
                      </w:rPr>
                      <m:t xml:space="preserve"> </m:t>
                    </m:r>
                    <m:r>
                      <m:rPr>
                        <m:nor/>
                      </m:rPr>
                      <w:rPr>
                        <w:rFonts w:cs="Calibri"/>
                      </w:rPr>
                      <m:t>+</m:t>
                    </m:r>
                    <m:r>
                      <m:rPr>
                        <m:nor/>
                      </m:rPr>
                      <w:rPr>
                        <w:rFonts w:ascii="Cambria Math" w:cs="Calibri"/>
                      </w:rPr>
                      <m:t xml:space="preserve"> </m:t>
                    </m:r>
                    <m:r>
                      <m:rPr>
                        <m:nor/>
                      </m:rPr>
                      <w:rPr>
                        <w:rFonts w:cs="Calibri"/>
                      </w:rPr>
                      <m:t>Data Missing EFTSLs</m:t>
                    </m:r>
                  </m:e>
                </m:d>
              </m:den>
            </m:f>
          </m:e>
        </m:d>
        <m:r>
          <m:rPr>
            <m:nor/>
          </m:rPr>
          <w:rPr>
            <w:rFonts w:cs="Calibri"/>
          </w:rPr>
          <m:t>×100</m:t>
        </m:r>
      </m:oMath>
    </w:p>
    <w:p w14:paraId="06101548" w14:textId="65667647" w:rsidR="00882069" w:rsidRPr="001D0808" w:rsidRDefault="00882069" w:rsidP="00936ABB">
      <w:pPr>
        <w:spacing w:after="0"/>
        <w:ind w:left="1134"/>
        <w:rPr>
          <w:rFonts w:cs="Calibri"/>
          <w:sz w:val="18"/>
          <w:szCs w:val="18"/>
        </w:rPr>
      </w:pPr>
      <w:r w:rsidRPr="001D0808">
        <w:rPr>
          <w:rFonts w:cs="Calibri"/>
          <w:sz w:val="18"/>
          <w:szCs w:val="18"/>
        </w:rPr>
        <w:t>Source: TCSI, with completion rate using EFTSL counts for all categories for 202</w:t>
      </w:r>
      <w:r w:rsidR="00585208">
        <w:rPr>
          <w:rFonts w:cs="Calibri"/>
          <w:sz w:val="18"/>
          <w:szCs w:val="18"/>
        </w:rPr>
        <w:t>4</w:t>
      </w:r>
    </w:p>
    <w:p w14:paraId="320D24B4" w14:textId="5ECD5C6E" w:rsidR="00882069" w:rsidRPr="001D0808" w:rsidRDefault="00882069" w:rsidP="00936ABB">
      <w:pPr>
        <w:spacing w:after="0"/>
        <w:ind w:left="1134"/>
        <w:rPr>
          <w:rFonts w:cs="Calibri"/>
          <w:sz w:val="18"/>
          <w:szCs w:val="18"/>
        </w:rPr>
      </w:pPr>
      <w:r w:rsidRPr="001D0808">
        <w:rPr>
          <w:rFonts w:cs="Calibri"/>
          <w:sz w:val="18"/>
          <w:szCs w:val="18"/>
        </w:rPr>
        <w:t xml:space="preserve">For more detail, see the accompanying fact sheet </w:t>
      </w:r>
      <w:hyperlink r:id="rId15" w:history="1">
        <w:r w:rsidRPr="001D0808">
          <w:rPr>
            <w:rStyle w:val="Hyperlink"/>
            <w:rFonts w:cs="Calibri"/>
            <w:sz w:val="18"/>
            <w:szCs w:val="18"/>
          </w:rPr>
          <w:t>'Unit Completion Rate Risk Factor Calculation'</w:t>
        </w:r>
      </w:hyperlink>
      <w:r w:rsidR="00332064">
        <w:rPr>
          <w:rStyle w:val="FootnoteReference"/>
          <w:rFonts w:cs="Calibri"/>
          <w:sz w:val="18"/>
          <w:szCs w:val="18"/>
        </w:rPr>
        <w:footnoteReference w:id="3"/>
      </w:r>
    </w:p>
    <w:p w14:paraId="3D45D40C" w14:textId="69EF6D19" w:rsidR="00882069" w:rsidRPr="007C56FC" w:rsidRDefault="00882069" w:rsidP="00C176C5">
      <w:pPr>
        <w:pStyle w:val="ListParagraph"/>
        <w:numPr>
          <w:ilvl w:val="0"/>
          <w:numId w:val="4"/>
        </w:numPr>
        <w:spacing w:before="240"/>
        <w:ind w:left="1134" w:hanging="357"/>
        <w:rPr>
          <w:rFonts w:cs="Calibri"/>
        </w:rPr>
      </w:pPr>
      <w:r w:rsidRPr="007C56FC">
        <w:rPr>
          <w:rFonts w:cs="Calibri"/>
        </w:rPr>
        <w:t xml:space="preserve">Identify completion rate </w:t>
      </w:r>
      <w:r w:rsidR="00957CC8">
        <w:rPr>
          <w:rFonts w:cs="Calibri"/>
        </w:rPr>
        <w:t>risk factor value</w:t>
      </w:r>
      <w:r w:rsidRPr="007C56FC">
        <w:rPr>
          <w:rFonts w:cs="Calibri"/>
        </w:rPr>
        <w:t xml:space="preserve"> </w:t>
      </w:r>
      <w:r>
        <w:rPr>
          <w:rFonts w:cs="Calibri"/>
        </w:rPr>
        <w:t xml:space="preserve">using </w:t>
      </w:r>
      <w:r w:rsidRPr="007C56FC">
        <w:rPr>
          <w:rFonts w:cs="Calibri"/>
        </w:rPr>
        <w:t>Table 3</w:t>
      </w:r>
      <w:r>
        <w:rPr>
          <w:rFonts w:cs="Calibri"/>
        </w:rPr>
        <w:t xml:space="preserve"> below</w:t>
      </w:r>
      <w:r w:rsidR="00064CF4">
        <w:rPr>
          <w:rFonts w:cs="Calibri"/>
        </w:rPr>
        <w:t>.</w:t>
      </w:r>
    </w:p>
    <w:p w14:paraId="710AFF85" w14:textId="35C50E2D" w:rsidR="00F5179B" w:rsidRPr="00373C88" w:rsidRDefault="00F5179B" w:rsidP="0012322C">
      <w:pPr>
        <w:pStyle w:val="Heading4"/>
      </w:pPr>
      <w:r w:rsidRPr="00373C88">
        <w:t xml:space="preserve">Table 3: </w:t>
      </w:r>
      <w:r w:rsidR="00E62CA2">
        <w:t>C</w:t>
      </w:r>
      <w:r w:rsidRPr="00373C88">
        <w:t xml:space="preserve">ompletion rate risk factor </w:t>
      </w:r>
      <w:r w:rsidR="00076706" w:rsidRPr="00373C88">
        <w:t>value</w:t>
      </w:r>
    </w:p>
    <w:tbl>
      <w:tblPr>
        <w:tblStyle w:val="TPSTable"/>
        <w:tblW w:w="2985" w:type="pct"/>
        <w:tblLook w:val="04A0" w:firstRow="1" w:lastRow="0" w:firstColumn="1" w:lastColumn="0" w:noHBand="0" w:noVBand="1"/>
      </w:tblPr>
      <w:tblGrid>
        <w:gridCol w:w="2548"/>
        <w:gridCol w:w="2835"/>
      </w:tblGrid>
      <w:tr w:rsidR="00FC3833" w:rsidRPr="000A7B92" w14:paraId="53ACB291" w14:textId="77777777" w:rsidTr="00CF7B5B">
        <w:trPr>
          <w:cnfStyle w:val="100000000000" w:firstRow="1" w:lastRow="0" w:firstColumn="0" w:lastColumn="0" w:oddVBand="0" w:evenVBand="0" w:oddHBand="0" w:evenHBand="0" w:firstRowFirstColumn="0" w:firstRowLastColumn="0" w:lastRowFirstColumn="0" w:lastRowLastColumn="0"/>
          <w:trHeight w:val="340"/>
        </w:trPr>
        <w:tc>
          <w:tcPr>
            <w:tcW w:w="2367" w:type="pct"/>
            <w:shd w:val="clear" w:color="auto" w:fill="367079"/>
          </w:tcPr>
          <w:p w14:paraId="65F12BA9" w14:textId="77777777" w:rsidR="00FC3833" w:rsidRPr="002A1760" w:rsidRDefault="00FC3833" w:rsidP="002A1760">
            <w:pPr>
              <w:pStyle w:val="TableHeader"/>
              <w:rPr>
                <w:b/>
                <w:bCs/>
              </w:rPr>
            </w:pPr>
            <w:r w:rsidRPr="002A1760">
              <w:rPr>
                <w:b/>
                <w:bCs/>
              </w:rPr>
              <w:t>Completion rate value</w:t>
            </w:r>
          </w:p>
        </w:tc>
        <w:tc>
          <w:tcPr>
            <w:tcW w:w="2633" w:type="pct"/>
            <w:shd w:val="clear" w:color="auto" w:fill="367079"/>
          </w:tcPr>
          <w:p w14:paraId="7024ED33" w14:textId="2D6D7EE1" w:rsidR="00FC3833" w:rsidRPr="002A1760" w:rsidRDefault="00FC3833" w:rsidP="002A1760">
            <w:pPr>
              <w:pStyle w:val="TableHeader"/>
              <w:rPr>
                <w:b/>
                <w:bCs/>
              </w:rPr>
            </w:pPr>
            <w:r w:rsidRPr="002A1760">
              <w:rPr>
                <w:b/>
                <w:bCs/>
              </w:rPr>
              <w:t>202</w:t>
            </w:r>
            <w:r w:rsidR="00585208" w:rsidRPr="002A1760">
              <w:rPr>
                <w:b/>
                <w:bCs/>
              </w:rPr>
              <w:t>5</w:t>
            </w:r>
            <w:r w:rsidRPr="002A1760">
              <w:rPr>
                <w:b/>
                <w:bCs/>
              </w:rPr>
              <w:t xml:space="preserve"> risk factor value</w:t>
            </w:r>
          </w:p>
        </w:tc>
      </w:tr>
      <w:tr w:rsidR="00FC3833" w:rsidRPr="000A7B92" w14:paraId="030A2DD3" w14:textId="77777777" w:rsidTr="00CF7B5B">
        <w:trPr>
          <w:cnfStyle w:val="000000100000" w:firstRow="0" w:lastRow="0" w:firstColumn="0" w:lastColumn="0" w:oddVBand="0" w:evenVBand="0" w:oddHBand="1" w:evenHBand="0" w:firstRowFirstColumn="0" w:firstRowLastColumn="0" w:lastRowFirstColumn="0" w:lastRowLastColumn="0"/>
          <w:trHeight w:val="340"/>
        </w:trPr>
        <w:tc>
          <w:tcPr>
            <w:tcW w:w="2367" w:type="pct"/>
            <w:shd w:val="clear" w:color="auto" w:fill="D8EBEE"/>
          </w:tcPr>
          <w:p w14:paraId="234B3407" w14:textId="77777777" w:rsidR="00FC3833" w:rsidRPr="002A1760" w:rsidRDefault="00FC3833" w:rsidP="002A1760">
            <w:pPr>
              <w:pStyle w:val="Tablecontents"/>
              <w:jc w:val="center"/>
            </w:pPr>
            <w:r w:rsidRPr="002A1760">
              <w:t>85% or higher</w:t>
            </w:r>
          </w:p>
        </w:tc>
        <w:tc>
          <w:tcPr>
            <w:tcW w:w="2633" w:type="pct"/>
            <w:shd w:val="clear" w:color="auto" w:fill="D8EBEE"/>
          </w:tcPr>
          <w:p w14:paraId="1717B1BC" w14:textId="77777777" w:rsidR="00FC3833" w:rsidRPr="002A1760" w:rsidRDefault="00FC3833" w:rsidP="002A1760">
            <w:pPr>
              <w:pStyle w:val="Tablecontents"/>
              <w:jc w:val="center"/>
            </w:pPr>
            <w:r w:rsidRPr="002A1760">
              <w:t>0.0</w:t>
            </w:r>
          </w:p>
        </w:tc>
      </w:tr>
      <w:tr w:rsidR="00FC3833" w:rsidRPr="000A7B92" w14:paraId="35B9454F" w14:textId="77777777" w:rsidTr="00CF7B5B">
        <w:trPr>
          <w:cnfStyle w:val="000000010000" w:firstRow="0" w:lastRow="0" w:firstColumn="0" w:lastColumn="0" w:oddVBand="0" w:evenVBand="0" w:oddHBand="0" w:evenHBand="1" w:firstRowFirstColumn="0" w:firstRowLastColumn="0" w:lastRowFirstColumn="0" w:lastRowLastColumn="0"/>
          <w:trHeight w:val="340"/>
        </w:trPr>
        <w:tc>
          <w:tcPr>
            <w:tcW w:w="2367" w:type="pct"/>
          </w:tcPr>
          <w:p w14:paraId="388CB7CB" w14:textId="77777777" w:rsidR="00FC3833" w:rsidRPr="002A1760" w:rsidRDefault="00FC3833" w:rsidP="002A1760">
            <w:pPr>
              <w:pStyle w:val="Tablecontents"/>
              <w:jc w:val="center"/>
            </w:pPr>
            <w:r w:rsidRPr="002A1760">
              <w:t>60% to &lt; 85%</w:t>
            </w:r>
          </w:p>
        </w:tc>
        <w:tc>
          <w:tcPr>
            <w:tcW w:w="2633" w:type="pct"/>
          </w:tcPr>
          <w:p w14:paraId="0973ACCF" w14:textId="77777777" w:rsidR="00FC3833" w:rsidRPr="002A1760" w:rsidRDefault="00FC3833" w:rsidP="002A1760">
            <w:pPr>
              <w:pStyle w:val="Tablecontents"/>
              <w:jc w:val="center"/>
            </w:pPr>
            <w:r w:rsidRPr="002A1760">
              <w:t>1.0</w:t>
            </w:r>
          </w:p>
        </w:tc>
      </w:tr>
      <w:tr w:rsidR="00FC3833" w:rsidRPr="000A7B92" w14:paraId="76B6F7FD" w14:textId="77777777" w:rsidTr="00CF7B5B">
        <w:trPr>
          <w:cnfStyle w:val="000000100000" w:firstRow="0" w:lastRow="0" w:firstColumn="0" w:lastColumn="0" w:oddVBand="0" w:evenVBand="0" w:oddHBand="1" w:evenHBand="0" w:firstRowFirstColumn="0" w:firstRowLastColumn="0" w:lastRowFirstColumn="0" w:lastRowLastColumn="0"/>
          <w:trHeight w:val="340"/>
        </w:trPr>
        <w:tc>
          <w:tcPr>
            <w:tcW w:w="2367" w:type="pct"/>
            <w:shd w:val="clear" w:color="auto" w:fill="D8EBEE"/>
          </w:tcPr>
          <w:p w14:paraId="1FA4C5D0" w14:textId="77777777" w:rsidR="00FC3833" w:rsidRPr="002A1760" w:rsidRDefault="00FC3833" w:rsidP="002A1760">
            <w:pPr>
              <w:pStyle w:val="Tablecontents"/>
              <w:jc w:val="center"/>
            </w:pPr>
            <w:r w:rsidRPr="002A1760">
              <w:t>35% to &lt; 60%</w:t>
            </w:r>
          </w:p>
        </w:tc>
        <w:tc>
          <w:tcPr>
            <w:tcW w:w="2633" w:type="pct"/>
            <w:shd w:val="clear" w:color="auto" w:fill="D8EBEE"/>
          </w:tcPr>
          <w:p w14:paraId="0F457570" w14:textId="77777777" w:rsidR="00FC3833" w:rsidRPr="002A1760" w:rsidRDefault="00FC3833" w:rsidP="002A1760">
            <w:pPr>
              <w:pStyle w:val="Tablecontents"/>
              <w:jc w:val="center"/>
            </w:pPr>
            <w:r w:rsidRPr="002A1760">
              <w:t>2.5</w:t>
            </w:r>
          </w:p>
        </w:tc>
      </w:tr>
      <w:tr w:rsidR="00FC3833" w:rsidRPr="000A7B92" w14:paraId="5B983F4D" w14:textId="77777777" w:rsidTr="00CF7B5B">
        <w:trPr>
          <w:cnfStyle w:val="000000010000" w:firstRow="0" w:lastRow="0" w:firstColumn="0" w:lastColumn="0" w:oddVBand="0" w:evenVBand="0" w:oddHBand="0" w:evenHBand="1" w:firstRowFirstColumn="0" w:firstRowLastColumn="0" w:lastRowFirstColumn="0" w:lastRowLastColumn="0"/>
          <w:trHeight w:val="340"/>
        </w:trPr>
        <w:tc>
          <w:tcPr>
            <w:tcW w:w="2367" w:type="pct"/>
          </w:tcPr>
          <w:p w14:paraId="6454AEDA" w14:textId="77777777" w:rsidR="00FC3833" w:rsidRPr="002A1760" w:rsidRDefault="00FC3833" w:rsidP="002A1760">
            <w:pPr>
              <w:pStyle w:val="Tablecontents"/>
              <w:jc w:val="center"/>
            </w:pPr>
            <w:r w:rsidRPr="002A1760">
              <w:t>0% to &lt; 35%</w:t>
            </w:r>
          </w:p>
        </w:tc>
        <w:tc>
          <w:tcPr>
            <w:tcW w:w="2633" w:type="pct"/>
          </w:tcPr>
          <w:p w14:paraId="1FC4CA79" w14:textId="77777777" w:rsidR="00FC3833" w:rsidRPr="002A1760" w:rsidRDefault="00FC3833" w:rsidP="002A1760">
            <w:pPr>
              <w:pStyle w:val="Tablecontents"/>
              <w:jc w:val="center"/>
            </w:pPr>
            <w:r w:rsidRPr="002A1760">
              <w:t>3.5</w:t>
            </w:r>
          </w:p>
        </w:tc>
      </w:tr>
    </w:tbl>
    <w:p w14:paraId="6D4BBB98" w14:textId="267D42FA" w:rsidR="00865F3B" w:rsidRPr="000A7B92" w:rsidRDefault="00305529" w:rsidP="0012322C">
      <w:pPr>
        <w:pStyle w:val="Heading3"/>
      </w:pPr>
      <w:r w:rsidRPr="000A7B92">
        <w:t>Non-compliance history and registration renewa</w:t>
      </w:r>
      <w:r w:rsidR="00865F3B" w:rsidRPr="000A7B92">
        <w:t>l</w:t>
      </w:r>
    </w:p>
    <w:p w14:paraId="114FEE36" w14:textId="68C77290" w:rsidR="00B41FE7" w:rsidRPr="00C135EC" w:rsidRDefault="00000000" w:rsidP="00CC32E3">
      <w:pPr>
        <w:spacing w:before="240"/>
        <w:rPr>
          <w:rFonts w:eastAsiaTheme="minorEastAsia" w:cs="Calibri"/>
        </w:rPr>
      </w:pPr>
      <m:oMathPara>
        <m:oMath>
          <m:m>
            <m:mPr>
              <m:mcs>
                <m:mc>
                  <m:mcPr>
                    <m:count m:val="1"/>
                    <m:mcJc m:val="center"/>
                  </m:mcPr>
                </m:mc>
              </m:mcs>
              <m:ctrlPr>
                <w:rPr>
                  <w:rFonts w:ascii="Cambria Math" w:hAnsi="Cambria Math" w:cs="Calibri"/>
                  <w:i/>
                </w:rPr>
              </m:ctrlPr>
            </m:mPr>
            <m:mr>
              <m:e>
                <m:r>
                  <m:rPr>
                    <m:nor/>
                  </m:rPr>
                  <w:rPr>
                    <w:rFonts w:cs="Calibri"/>
                  </w:rPr>
                  <m:t>Non-compliance history and</m:t>
                </m:r>
              </m:e>
            </m:mr>
            <m:mr>
              <m:e>
                <m:r>
                  <m:rPr>
                    <m:nor/>
                  </m:rPr>
                  <w:rPr>
                    <w:rFonts w:cs="Calibri"/>
                  </w:rPr>
                  <m:t>registration renewal</m:t>
                </m:r>
              </m:e>
            </m:mr>
          </m:m>
          <m:r>
            <m:rPr>
              <m:nor/>
            </m:rPr>
            <w:rPr>
              <w:rFonts w:cs="Calibri"/>
            </w:rPr>
            <m:t xml:space="preserve"> = </m:t>
          </m:r>
          <m:d>
            <m:dPr>
              <m:ctrlPr>
                <w:rPr>
                  <w:rFonts w:ascii="Cambria Math" w:hAnsi="Cambria Math" w:cs="Calibri"/>
                  <w:i/>
                </w:rPr>
              </m:ctrlPr>
            </m:dPr>
            <m:e>
              <m:f>
                <m:fPr>
                  <m:type m:val="noBar"/>
                  <m:ctrlPr>
                    <w:rPr>
                      <w:rFonts w:ascii="Cambria Math" w:hAnsi="Cambria Math" w:cs="Calibri"/>
                      <w:i/>
                    </w:rPr>
                  </m:ctrlPr>
                </m:fPr>
                <m:num>
                  <m:r>
                    <m:rPr>
                      <m:nor/>
                    </m:rPr>
                    <w:rPr>
                      <w:rFonts w:cs="Calibri"/>
                    </w:rPr>
                    <m:t>Non-compliance</m:t>
                  </m:r>
                </m:num>
                <m:den>
                  <m:r>
                    <m:rPr>
                      <m:nor/>
                    </m:rPr>
                    <w:rPr>
                      <w:rFonts w:cs="Calibri"/>
                    </w:rPr>
                    <m:t>history risk factor value</m:t>
                  </m:r>
                </m:den>
              </m:f>
            </m:e>
          </m:d>
          <m:r>
            <m:rPr>
              <m:nor/>
            </m:rPr>
            <w:rPr>
              <w:rFonts w:cs="Calibri"/>
            </w:rPr>
            <m:t>+</m:t>
          </m:r>
          <m:d>
            <m:dPr>
              <m:ctrlPr>
                <w:rPr>
                  <w:rFonts w:ascii="Cambria Math" w:hAnsi="Cambria Math" w:cs="Calibri"/>
                  <w:i/>
                </w:rPr>
              </m:ctrlPr>
            </m:dPr>
            <m:e>
              <m:f>
                <m:fPr>
                  <m:type m:val="noBar"/>
                  <m:ctrlPr>
                    <w:rPr>
                      <w:rFonts w:ascii="Cambria Math" w:hAnsi="Cambria Math" w:cs="Calibri"/>
                      <w:i/>
                    </w:rPr>
                  </m:ctrlPr>
                </m:fPr>
                <m:num>
                  <m:r>
                    <m:rPr>
                      <m:nor/>
                    </m:rPr>
                    <w:rPr>
                      <w:rFonts w:cs="Calibri"/>
                    </w:rPr>
                    <m:t>Registration renewal</m:t>
                  </m:r>
                </m:num>
                <m:den>
                  <m:r>
                    <m:rPr>
                      <m:nor/>
                    </m:rPr>
                    <w:rPr>
                      <w:rFonts w:cs="Calibri"/>
                    </w:rPr>
                    <m:t>risk factor value</m:t>
                  </m:r>
                </m:den>
              </m:f>
            </m:e>
          </m:d>
        </m:oMath>
      </m:oMathPara>
    </w:p>
    <w:p w14:paraId="57327F91" w14:textId="50D6B2C5" w:rsidR="00F04209" w:rsidRDefault="00F04209" w:rsidP="00F04209">
      <w:pPr>
        <w:spacing w:before="240" w:after="0"/>
        <w:rPr>
          <w:rFonts w:cs="Calibri"/>
        </w:rPr>
      </w:pPr>
      <w:r w:rsidRPr="00614D0E">
        <w:rPr>
          <w:rFonts w:cs="Calibri"/>
        </w:rPr>
        <w:t xml:space="preserve">Non-compliance history </w:t>
      </w:r>
      <w:r>
        <w:rPr>
          <w:rFonts w:cs="Calibri"/>
        </w:rPr>
        <w:t>is a</w:t>
      </w:r>
      <w:r w:rsidRPr="00614D0E">
        <w:rPr>
          <w:rFonts w:cs="Calibri"/>
        </w:rPr>
        <w:t xml:space="preserve"> penalty</w:t>
      </w:r>
      <w:r>
        <w:rPr>
          <w:rFonts w:cs="Calibri"/>
        </w:rPr>
        <w:t xml:space="preserve"> for late payment of the</w:t>
      </w:r>
      <w:r w:rsidR="002C0C8C">
        <w:rPr>
          <w:rFonts w:cs="Calibri"/>
        </w:rPr>
        <w:t xml:space="preserve"> Higher Education Provider (RHEP) charge and</w:t>
      </w:r>
      <w:r>
        <w:rPr>
          <w:rFonts w:cs="Calibri"/>
        </w:rPr>
        <w:t xml:space="preserve"> </w:t>
      </w:r>
      <w:r w:rsidR="00854169">
        <w:rPr>
          <w:rFonts w:cs="Calibri"/>
        </w:rPr>
        <w:t>HELP</w:t>
      </w:r>
      <w:r>
        <w:rPr>
          <w:rFonts w:cs="Calibri"/>
        </w:rPr>
        <w:t xml:space="preserve"> Levy </w:t>
      </w:r>
      <w:r w:rsidR="0070666F">
        <w:rPr>
          <w:rFonts w:cs="Calibri"/>
        </w:rPr>
        <w:t>over</w:t>
      </w:r>
      <w:r>
        <w:rPr>
          <w:rFonts w:cs="Calibri"/>
        </w:rPr>
        <w:t xml:space="preserve"> the previous three years. </w:t>
      </w:r>
      <w:r w:rsidRPr="000A7B92">
        <w:rPr>
          <w:rFonts w:cs="Calibri"/>
        </w:rPr>
        <w:t xml:space="preserve">To calculate </w:t>
      </w:r>
      <w:r w:rsidR="00C21B8D">
        <w:rPr>
          <w:rFonts w:cs="Calibri"/>
        </w:rPr>
        <w:t xml:space="preserve">the </w:t>
      </w:r>
      <w:r>
        <w:rPr>
          <w:rFonts w:cs="Calibri"/>
        </w:rPr>
        <w:t>n</w:t>
      </w:r>
      <w:r w:rsidRPr="000A7B92">
        <w:rPr>
          <w:rFonts w:cs="Calibri"/>
        </w:rPr>
        <w:t xml:space="preserve">on-compliance </w:t>
      </w:r>
      <w:r>
        <w:rPr>
          <w:rFonts w:cs="Calibri"/>
        </w:rPr>
        <w:t>history risk factor value</w:t>
      </w:r>
      <w:r w:rsidRPr="000A7B92">
        <w:rPr>
          <w:rFonts w:cs="Calibri"/>
        </w:rPr>
        <w:t>, follow these steps:</w:t>
      </w:r>
    </w:p>
    <w:p w14:paraId="771CF787" w14:textId="26A5D7CA" w:rsidR="004E29F9" w:rsidRPr="00477F5C" w:rsidRDefault="00DF4B91" w:rsidP="00D35645">
      <w:pPr>
        <w:pStyle w:val="ListParagraph"/>
        <w:numPr>
          <w:ilvl w:val="0"/>
          <w:numId w:val="15"/>
        </w:numPr>
        <w:spacing w:before="80" w:after="80"/>
        <w:ind w:left="1077" w:hanging="357"/>
        <w:rPr>
          <w:rFonts w:cs="Calibri"/>
        </w:rPr>
      </w:pPr>
      <w:r w:rsidRPr="00477F5C">
        <w:rPr>
          <w:rFonts w:cs="Calibri"/>
        </w:rPr>
        <w:t xml:space="preserve">Establish </w:t>
      </w:r>
      <w:r w:rsidR="003B381F" w:rsidRPr="00477F5C">
        <w:rPr>
          <w:rFonts w:cs="Calibri"/>
        </w:rPr>
        <w:t xml:space="preserve">the </w:t>
      </w:r>
      <w:r w:rsidR="00EA3064" w:rsidRPr="00477F5C">
        <w:rPr>
          <w:rFonts w:cs="Calibri"/>
        </w:rPr>
        <w:t xml:space="preserve">number of days a payment was late </w:t>
      </w:r>
      <w:r w:rsidRPr="00477F5C">
        <w:rPr>
          <w:rFonts w:cs="Calibri"/>
        </w:rPr>
        <w:t xml:space="preserve">for the </w:t>
      </w:r>
      <w:r w:rsidR="00C21B8D" w:rsidRPr="00477F5C">
        <w:rPr>
          <w:rFonts w:cs="Calibri"/>
        </w:rPr>
        <w:t>202</w:t>
      </w:r>
      <w:r w:rsidR="0025621D">
        <w:rPr>
          <w:rFonts w:cs="Calibri"/>
        </w:rPr>
        <w:t>2</w:t>
      </w:r>
      <w:r w:rsidR="00EA3064" w:rsidRPr="00477F5C">
        <w:rPr>
          <w:rFonts w:cs="Calibri"/>
        </w:rPr>
        <w:t>, 202</w:t>
      </w:r>
      <w:r w:rsidR="0025621D">
        <w:rPr>
          <w:rFonts w:cs="Calibri"/>
        </w:rPr>
        <w:t>3</w:t>
      </w:r>
      <w:r w:rsidR="00465D3C" w:rsidRPr="00477F5C">
        <w:rPr>
          <w:rFonts w:cs="Calibri"/>
        </w:rPr>
        <w:t xml:space="preserve"> and</w:t>
      </w:r>
      <w:r w:rsidR="00C21B8D" w:rsidRPr="00477F5C">
        <w:rPr>
          <w:rFonts w:cs="Calibri"/>
        </w:rPr>
        <w:t xml:space="preserve"> 202</w:t>
      </w:r>
      <w:r w:rsidR="0025621D">
        <w:rPr>
          <w:rFonts w:cs="Calibri"/>
        </w:rPr>
        <w:t>4</w:t>
      </w:r>
      <w:r w:rsidR="002C0C8C">
        <w:rPr>
          <w:rFonts w:cs="Calibri"/>
        </w:rPr>
        <w:t xml:space="preserve"> RHEP charge and</w:t>
      </w:r>
      <w:r w:rsidR="00C21B8D" w:rsidRPr="00477F5C">
        <w:rPr>
          <w:rFonts w:cs="Calibri"/>
        </w:rPr>
        <w:t xml:space="preserve"> </w:t>
      </w:r>
      <w:r w:rsidR="00641799" w:rsidRPr="00477F5C">
        <w:rPr>
          <w:rFonts w:cs="Calibri"/>
        </w:rPr>
        <w:t>HELP Levy.</w:t>
      </w:r>
      <w:r w:rsidR="004E29F9" w:rsidRPr="00477F5C">
        <w:rPr>
          <w:rFonts w:cs="Calibri"/>
        </w:rPr>
        <w:t xml:space="preserve"> Apply these values to the formulas below.</w:t>
      </w:r>
      <w:r w:rsidR="004E29F9" w:rsidRPr="00477F5C">
        <w:rPr>
          <w:rFonts w:cs="Calibri"/>
          <w:sz w:val="18"/>
          <w:szCs w:val="18"/>
        </w:rPr>
        <w:t xml:space="preserve"> </w:t>
      </w:r>
      <w:r w:rsidR="004E29F9" w:rsidRPr="00477F5C">
        <w:rPr>
          <w:rFonts w:cs="Calibri"/>
          <w:sz w:val="18"/>
          <w:szCs w:val="18"/>
        </w:rPr>
        <w:br/>
        <w:t xml:space="preserve">Source: </w:t>
      </w:r>
      <w:r w:rsidR="000040A7">
        <w:rPr>
          <w:rFonts w:cs="Calibri"/>
          <w:sz w:val="18"/>
          <w:szCs w:val="18"/>
        </w:rPr>
        <w:t>RHEP charge</w:t>
      </w:r>
      <w:r w:rsidR="003D2636">
        <w:rPr>
          <w:rFonts w:cs="Calibri"/>
          <w:sz w:val="18"/>
          <w:szCs w:val="18"/>
        </w:rPr>
        <w:t xml:space="preserve"> (Tertiary Education Quality and Standards Agency</w:t>
      </w:r>
      <w:r w:rsidR="00BB0BA4">
        <w:rPr>
          <w:rFonts w:cs="Calibri"/>
          <w:sz w:val="18"/>
          <w:szCs w:val="18"/>
        </w:rPr>
        <w:t>)</w:t>
      </w:r>
      <w:r w:rsidR="000040A7">
        <w:rPr>
          <w:rFonts w:cs="Calibri"/>
          <w:sz w:val="18"/>
          <w:szCs w:val="18"/>
        </w:rPr>
        <w:t xml:space="preserve"> and </w:t>
      </w:r>
      <w:r w:rsidR="00DA779F" w:rsidRPr="00477F5C">
        <w:rPr>
          <w:rFonts w:cs="Calibri"/>
          <w:sz w:val="18"/>
          <w:szCs w:val="18"/>
        </w:rPr>
        <w:t>HELP</w:t>
      </w:r>
      <w:r w:rsidR="00C7360E" w:rsidRPr="00477F5C">
        <w:rPr>
          <w:rFonts w:cs="Calibri"/>
          <w:sz w:val="18"/>
          <w:szCs w:val="18"/>
        </w:rPr>
        <w:t xml:space="preserve"> </w:t>
      </w:r>
      <w:r w:rsidR="00DA779F" w:rsidRPr="00477F5C">
        <w:rPr>
          <w:rFonts w:cs="Calibri"/>
          <w:sz w:val="18"/>
          <w:szCs w:val="18"/>
        </w:rPr>
        <w:t>Levy</w:t>
      </w:r>
      <w:r w:rsidR="004E29F9" w:rsidRPr="00477F5C">
        <w:rPr>
          <w:rFonts w:cs="Calibri"/>
          <w:sz w:val="18"/>
          <w:szCs w:val="18"/>
        </w:rPr>
        <w:t xml:space="preserve"> </w:t>
      </w:r>
      <w:r w:rsidR="00C7360E" w:rsidRPr="00477F5C">
        <w:rPr>
          <w:rFonts w:cs="Calibri"/>
          <w:sz w:val="18"/>
          <w:szCs w:val="18"/>
        </w:rPr>
        <w:t>p</w:t>
      </w:r>
      <w:r w:rsidR="004E29F9" w:rsidRPr="00477F5C">
        <w:rPr>
          <w:rFonts w:cs="Calibri"/>
          <w:sz w:val="18"/>
          <w:szCs w:val="18"/>
        </w:rPr>
        <w:t>ayments receipt date</w:t>
      </w:r>
      <w:r w:rsidR="004E2B45" w:rsidRPr="00477F5C">
        <w:rPr>
          <w:rFonts w:cs="Calibri"/>
          <w:sz w:val="18"/>
          <w:szCs w:val="18"/>
        </w:rPr>
        <w:t xml:space="preserve"> (TPS)</w:t>
      </w:r>
      <w:r w:rsidR="004E29F9" w:rsidRPr="00477F5C">
        <w:rPr>
          <w:rFonts w:cs="Calibri"/>
          <w:sz w:val="18"/>
          <w:szCs w:val="18"/>
        </w:rPr>
        <w:t>.</w:t>
      </w:r>
    </w:p>
    <w:p w14:paraId="4E95E151" w14:textId="34B1EFD9" w:rsidR="00DA779F" w:rsidRDefault="00536749" w:rsidP="00D35645">
      <w:pPr>
        <w:spacing w:before="80" w:after="80"/>
        <w:jc w:val="center"/>
        <w:rPr>
          <w:rFonts w:cs="Calibri"/>
          <w:b/>
          <w:bCs/>
          <w:u w:val="single"/>
        </w:rPr>
      </w:pPr>
      <w:r>
        <w:rPr>
          <w:rFonts w:cs="Calibri"/>
          <w:b/>
          <w:bCs/>
          <w:u w:val="single"/>
        </w:rPr>
        <w:t>Weighted late payment measure formula</w:t>
      </w:r>
    </w:p>
    <w:p w14:paraId="3DE5061B" w14:textId="619510FD" w:rsidR="005C7C2F" w:rsidRPr="00C135EC" w:rsidRDefault="00C135EC" w:rsidP="00683D6C">
      <w:pPr>
        <w:spacing w:before="120" w:after="120"/>
        <w:rPr>
          <w:rFonts w:eastAsiaTheme="minorEastAsia" w:cs="Calibri"/>
          <w:i/>
        </w:rPr>
      </w:pPr>
      <m:oMathPara>
        <m:oMath>
          <m:r>
            <m:rPr>
              <m:nor/>
            </m:rPr>
            <w:rPr>
              <w:rFonts w:cs="Calibri"/>
            </w:rPr>
            <m:t>2</m:t>
          </m:r>
          <m:r>
            <m:rPr>
              <m:nor/>
            </m:rPr>
            <w:rPr>
              <w:rFonts w:cs="Calibri"/>
              <w:iCs/>
            </w:rPr>
            <m:t>024 RHEP charge days late + HELP levy days late × 0.7 =</m:t>
          </m:r>
          <m:r>
            <m:rPr>
              <m:nor/>
            </m:rPr>
            <w:rPr>
              <w:rFonts w:cs="Calibri"/>
            </w:rPr>
            <m:t xml:space="preserve"> X</m:t>
          </m:r>
        </m:oMath>
      </m:oMathPara>
    </w:p>
    <w:p w14:paraId="16281C0B" w14:textId="224608D4" w:rsidR="005C7C2F" w:rsidRPr="00C135EC" w:rsidRDefault="00C135EC" w:rsidP="00683D6C">
      <w:pPr>
        <w:spacing w:before="120" w:after="120"/>
        <w:rPr>
          <w:rFonts w:eastAsiaTheme="minorEastAsia" w:cs="Calibri"/>
          <w:i/>
        </w:rPr>
      </w:pPr>
      <m:oMathPara>
        <m:oMath>
          <m:r>
            <m:rPr>
              <m:nor/>
            </m:rPr>
            <w:rPr>
              <w:rFonts w:cs="Calibri"/>
            </w:rPr>
            <m:t>2023 RHEP charge days late + HELP levy days late × 0.2 = Y</m:t>
          </m:r>
        </m:oMath>
      </m:oMathPara>
    </w:p>
    <w:p w14:paraId="1BC88A7F" w14:textId="29437037" w:rsidR="005C7C2F" w:rsidRPr="00C135EC" w:rsidRDefault="00C135EC" w:rsidP="00683D6C">
      <w:pPr>
        <w:spacing w:before="120" w:after="120"/>
        <w:rPr>
          <w:rFonts w:cs="Calibri"/>
        </w:rPr>
      </w:pPr>
      <m:oMathPara>
        <m:oMath>
          <m:r>
            <m:rPr>
              <m:nor/>
            </m:rPr>
            <w:rPr>
              <w:rFonts w:cs="Calibri"/>
            </w:rPr>
            <m:t>2022 RHEP charge days late + HELP levy days late × 0.1 = Z</m:t>
          </m:r>
        </m:oMath>
      </m:oMathPara>
    </w:p>
    <w:p w14:paraId="15125C8D" w14:textId="20B02B28" w:rsidR="005C7C2F" w:rsidRPr="00477F5C" w:rsidRDefault="005C7C2F" w:rsidP="00477F5C">
      <w:pPr>
        <w:pStyle w:val="ListParagraph"/>
        <w:numPr>
          <w:ilvl w:val="0"/>
          <w:numId w:val="13"/>
        </w:numPr>
        <w:spacing w:before="240"/>
        <w:rPr>
          <w:rFonts w:cs="Calibri"/>
        </w:rPr>
      </w:pPr>
      <w:r w:rsidRPr="00477F5C">
        <w:rPr>
          <w:rFonts w:cs="Calibri"/>
        </w:rPr>
        <w:lastRenderedPageBreak/>
        <w:t>Add amounts together</w:t>
      </w:r>
      <w:r w:rsidR="008477AA" w:rsidRPr="00477F5C">
        <w:rPr>
          <w:rFonts w:cs="Calibri"/>
        </w:rPr>
        <w:t xml:space="preserve"> to calculate weighted late payment measure.</w:t>
      </w:r>
    </w:p>
    <w:p w14:paraId="7C755347" w14:textId="44FA6727" w:rsidR="005C7C2F" w:rsidRDefault="005C7C2F" w:rsidP="00477F5C">
      <w:pPr>
        <w:pStyle w:val="ListParagraph"/>
        <w:numPr>
          <w:ilvl w:val="0"/>
          <w:numId w:val="13"/>
        </w:numPr>
        <w:spacing w:before="240"/>
        <w:rPr>
          <w:rFonts w:cs="Calibri"/>
        </w:rPr>
      </w:pPr>
      <w:r w:rsidRPr="00477F5C">
        <w:rPr>
          <w:rFonts w:cs="Calibri"/>
        </w:rPr>
        <w:t xml:space="preserve">Identify </w:t>
      </w:r>
      <w:r w:rsidR="00064CF4">
        <w:rPr>
          <w:rFonts w:cs="Calibri"/>
        </w:rPr>
        <w:t>n</w:t>
      </w:r>
      <w:r w:rsidRPr="00477F5C">
        <w:rPr>
          <w:rFonts w:cs="Calibri"/>
        </w:rPr>
        <w:t xml:space="preserve">on-compliance risk factor value </w:t>
      </w:r>
      <w:r w:rsidR="008F595E" w:rsidRPr="00477F5C">
        <w:rPr>
          <w:rFonts w:cs="Calibri"/>
        </w:rPr>
        <w:t xml:space="preserve">in </w:t>
      </w:r>
      <w:r w:rsidRPr="00477F5C">
        <w:rPr>
          <w:rFonts w:cs="Calibri"/>
        </w:rPr>
        <w:t>Table 4.</w:t>
      </w:r>
    </w:p>
    <w:p w14:paraId="5896A522" w14:textId="722B8C8E" w:rsidR="00AB58D1" w:rsidRPr="00D061F8" w:rsidRDefault="00AB58D1" w:rsidP="0012322C">
      <w:pPr>
        <w:pStyle w:val="Heading4"/>
      </w:pPr>
      <w:r w:rsidRPr="00D061F8">
        <w:t xml:space="preserve">Table 4: </w:t>
      </w:r>
      <w:r w:rsidR="00B40CD3">
        <w:t>N</w:t>
      </w:r>
      <w:r w:rsidRPr="00D061F8">
        <w:t xml:space="preserve">on-compliance </w:t>
      </w:r>
      <w:r w:rsidRPr="00B55B44">
        <w:t>history</w:t>
      </w:r>
      <w:r w:rsidRPr="00D061F8">
        <w:t xml:space="preserve"> risk factor </w:t>
      </w:r>
      <w:r w:rsidR="00076706" w:rsidRPr="00D061F8">
        <w:t>value</w:t>
      </w:r>
    </w:p>
    <w:tbl>
      <w:tblPr>
        <w:tblW w:w="5000" w:type="pct"/>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shd w:val="clear" w:color="auto" w:fill="D8EBEE"/>
        <w:tblLook w:val="04A0" w:firstRow="1" w:lastRow="0" w:firstColumn="1" w:lastColumn="0" w:noHBand="0" w:noVBand="1"/>
      </w:tblPr>
      <w:tblGrid>
        <w:gridCol w:w="6672"/>
        <w:gridCol w:w="2344"/>
      </w:tblGrid>
      <w:tr w:rsidR="005E4677" w:rsidRPr="000A7B92" w14:paraId="609DF871" w14:textId="77777777" w:rsidTr="00CF7B5B">
        <w:trPr>
          <w:trHeight w:val="340"/>
        </w:trPr>
        <w:tc>
          <w:tcPr>
            <w:tcW w:w="3614" w:type="pct"/>
            <w:shd w:val="clear" w:color="auto" w:fill="367079"/>
            <w:vAlign w:val="center"/>
            <w:hideMark/>
          </w:tcPr>
          <w:p w14:paraId="514F04C3" w14:textId="77777777" w:rsidR="005E4677" w:rsidRPr="000A7B92" w:rsidRDefault="005E4677" w:rsidP="002A1760">
            <w:pPr>
              <w:pStyle w:val="TableHeader"/>
            </w:pPr>
            <w:r w:rsidRPr="000A7B92">
              <w:t>Non-compliance history category</w:t>
            </w:r>
          </w:p>
        </w:tc>
        <w:tc>
          <w:tcPr>
            <w:tcW w:w="1270" w:type="pct"/>
            <w:shd w:val="clear" w:color="auto" w:fill="367079"/>
            <w:vAlign w:val="center"/>
            <w:hideMark/>
          </w:tcPr>
          <w:p w14:paraId="5F768375" w14:textId="2D1C91B7" w:rsidR="005E4677" w:rsidRPr="000A7B92" w:rsidRDefault="005A109A" w:rsidP="002A1760">
            <w:pPr>
              <w:pStyle w:val="TableHeader"/>
            </w:pPr>
            <w:r>
              <w:t>2</w:t>
            </w:r>
            <w:r w:rsidR="005E4677" w:rsidRPr="000A7B92">
              <w:t>0</w:t>
            </w:r>
            <w:r w:rsidR="003D1F71">
              <w:t xml:space="preserve">25 </w:t>
            </w:r>
            <w:r w:rsidR="005E4677" w:rsidRPr="000A7B92">
              <w:t xml:space="preserve">risk factor </w:t>
            </w:r>
            <w:r w:rsidR="00F472D7">
              <w:t>value</w:t>
            </w:r>
          </w:p>
        </w:tc>
      </w:tr>
      <w:tr w:rsidR="005E4677" w:rsidRPr="000A7B92" w14:paraId="200417E3" w14:textId="77777777" w:rsidTr="00CF7B5B">
        <w:trPr>
          <w:trHeight w:val="340"/>
        </w:trPr>
        <w:tc>
          <w:tcPr>
            <w:tcW w:w="3614" w:type="pct"/>
            <w:shd w:val="clear" w:color="auto" w:fill="D8EBEE"/>
            <w:vAlign w:val="center"/>
            <w:hideMark/>
          </w:tcPr>
          <w:p w14:paraId="2750F832" w14:textId="77777777" w:rsidR="005E4677" w:rsidRPr="000A7B92" w:rsidRDefault="005E4677" w:rsidP="002A1760">
            <w:pPr>
              <w:pStyle w:val="Tablecontents"/>
            </w:pPr>
            <w:r w:rsidRPr="000A7B92">
              <w:t>A weighted late payment measure of 30 days or more</w:t>
            </w:r>
          </w:p>
        </w:tc>
        <w:tc>
          <w:tcPr>
            <w:tcW w:w="1270" w:type="pct"/>
            <w:shd w:val="clear" w:color="auto" w:fill="D8EBEE"/>
            <w:vAlign w:val="center"/>
            <w:hideMark/>
          </w:tcPr>
          <w:p w14:paraId="684E5447" w14:textId="77777777" w:rsidR="005E4677" w:rsidRPr="000A7B92" w:rsidRDefault="005E4677" w:rsidP="002A1760">
            <w:pPr>
              <w:pStyle w:val="Tablecontents"/>
              <w:jc w:val="center"/>
            </w:pPr>
            <w:r w:rsidRPr="000A7B92">
              <w:t>2.0</w:t>
            </w:r>
          </w:p>
        </w:tc>
      </w:tr>
      <w:tr w:rsidR="005E4677" w:rsidRPr="000A7B92" w14:paraId="5B96DFFC" w14:textId="77777777" w:rsidTr="00CF7B5B">
        <w:trPr>
          <w:trHeight w:val="340"/>
        </w:trPr>
        <w:tc>
          <w:tcPr>
            <w:tcW w:w="3614" w:type="pct"/>
            <w:vAlign w:val="center"/>
            <w:hideMark/>
          </w:tcPr>
          <w:p w14:paraId="58152F1D" w14:textId="77777777" w:rsidR="005E4677" w:rsidRPr="000A7B92" w:rsidRDefault="005E4677" w:rsidP="002A1760">
            <w:pPr>
              <w:pStyle w:val="Tablecontents"/>
            </w:pPr>
            <w:r w:rsidRPr="000A7B92">
              <w:t>A weighted late payment measure of 15 days to &lt; 30 days</w:t>
            </w:r>
          </w:p>
        </w:tc>
        <w:tc>
          <w:tcPr>
            <w:tcW w:w="1270" w:type="pct"/>
            <w:vAlign w:val="center"/>
            <w:hideMark/>
          </w:tcPr>
          <w:p w14:paraId="3FBD4899" w14:textId="77777777" w:rsidR="005E4677" w:rsidRPr="000A7B92" w:rsidRDefault="005E4677" w:rsidP="002A1760">
            <w:pPr>
              <w:pStyle w:val="Tablecontents"/>
              <w:jc w:val="center"/>
            </w:pPr>
            <w:r w:rsidRPr="000A7B92">
              <w:t>0.9</w:t>
            </w:r>
          </w:p>
        </w:tc>
      </w:tr>
      <w:tr w:rsidR="005E4677" w:rsidRPr="000A7B92" w14:paraId="49C7BEF0" w14:textId="77777777" w:rsidTr="00CF7B5B">
        <w:trPr>
          <w:trHeight w:val="340"/>
        </w:trPr>
        <w:tc>
          <w:tcPr>
            <w:tcW w:w="3614" w:type="pct"/>
            <w:shd w:val="clear" w:color="auto" w:fill="D8EBEE"/>
            <w:vAlign w:val="center"/>
            <w:hideMark/>
          </w:tcPr>
          <w:p w14:paraId="461BAE8C" w14:textId="77777777" w:rsidR="005E4677" w:rsidRPr="000A7B92" w:rsidRDefault="005E4677" w:rsidP="002A1760">
            <w:pPr>
              <w:pStyle w:val="Tablecontents"/>
            </w:pPr>
            <w:r w:rsidRPr="000A7B92">
              <w:t>A weighted late payment measure of 1 day to &lt; 15 days</w:t>
            </w:r>
          </w:p>
        </w:tc>
        <w:tc>
          <w:tcPr>
            <w:tcW w:w="1270" w:type="pct"/>
            <w:shd w:val="clear" w:color="auto" w:fill="D8EBEE"/>
            <w:vAlign w:val="center"/>
            <w:hideMark/>
          </w:tcPr>
          <w:p w14:paraId="2F040F32" w14:textId="77777777" w:rsidR="005E4677" w:rsidRPr="000A7B92" w:rsidRDefault="005E4677" w:rsidP="002A1760">
            <w:pPr>
              <w:pStyle w:val="Tablecontents"/>
              <w:jc w:val="center"/>
            </w:pPr>
            <w:r w:rsidRPr="000A7B92">
              <w:t>0.7</w:t>
            </w:r>
          </w:p>
        </w:tc>
      </w:tr>
      <w:tr w:rsidR="005E4677" w:rsidRPr="000A7B92" w14:paraId="288189FA" w14:textId="77777777" w:rsidTr="00CF7B5B">
        <w:trPr>
          <w:trHeight w:val="340"/>
        </w:trPr>
        <w:tc>
          <w:tcPr>
            <w:tcW w:w="3614" w:type="pct"/>
            <w:vAlign w:val="center"/>
            <w:hideMark/>
          </w:tcPr>
          <w:p w14:paraId="0EF4EBDC" w14:textId="77777777" w:rsidR="005E4677" w:rsidRPr="000A7B92" w:rsidRDefault="005E4677" w:rsidP="002A1760">
            <w:pPr>
              <w:pStyle w:val="Tablecontents"/>
            </w:pPr>
            <w:r w:rsidRPr="000A7B92">
              <w:t>A weighted late payment measure of less than 1 day (including having a weighted late payment measure of 0)</w:t>
            </w:r>
          </w:p>
        </w:tc>
        <w:tc>
          <w:tcPr>
            <w:tcW w:w="1270" w:type="pct"/>
            <w:vAlign w:val="center"/>
            <w:hideMark/>
          </w:tcPr>
          <w:p w14:paraId="65091543" w14:textId="77777777" w:rsidR="005E4677" w:rsidRPr="000A7B92" w:rsidRDefault="005E4677" w:rsidP="002A1760">
            <w:pPr>
              <w:pStyle w:val="Tablecontents"/>
              <w:jc w:val="center"/>
            </w:pPr>
            <w:r w:rsidRPr="000A7B92">
              <w:t>0.0</w:t>
            </w:r>
          </w:p>
        </w:tc>
      </w:tr>
    </w:tbl>
    <w:p w14:paraId="40BDC383" w14:textId="339C6E65" w:rsidR="003E6C35" w:rsidRDefault="00BA4EC0" w:rsidP="00FE6BD7">
      <w:pPr>
        <w:spacing w:before="240" w:after="0"/>
        <w:rPr>
          <w:rFonts w:cs="Calibri"/>
        </w:rPr>
      </w:pPr>
      <w:r w:rsidRPr="00E23013">
        <w:rPr>
          <w:rFonts w:cs="Calibri"/>
        </w:rPr>
        <w:t>Registration renewal</w:t>
      </w:r>
      <w:r w:rsidRPr="000A7B92">
        <w:rPr>
          <w:rFonts w:cs="Calibri"/>
        </w:rPr>
        <w:t xml:space="preserve"> </w:t>
      </w:r>
      <w:r>
        <w:rPr>
          <w:rFonts w:cs="Calibri"/>
        </w:rPr>
        <w:t>risk factor value is as per the table below.</w:t>
      </w:r>
      <w:r w:rsidR="00E5591D">
        <w:rPr>
          <w:rFonts w:cs="Calibri"/>
        </w:rPr>
        <w:t xml:space="preserve"> </w:t>
      </w:r>
    </w:p>
    <w:p w14:paraId="3B13776B" w14:textId="5AE5DC34" w:rsidR="004D4B68" w:rsidRPr="00D061F8" w:rsidRDefault="004D4B68" w:rsidP="0012322C">
      <w:pPr>
        <w:pStyle w:val="Heading4"/>
      </w:pPr>
      <w:r w:rsidRPr="00D061F8">
        <w:t xml:space="preserve">Table 5: </w:t>
      </w:r>
      <w:r w:rsidR="005C121C">
        <w:t>R</w:t>
      </w:r>
      <w:r w:rsidRPr="00D061F8">
        <w:t xml:space="preserve">egistration </w:t>
      </w:r>
      <w:r w:rsidRPr="00B55B44">
        <w:t>renewal</w:t>
      </w:r>
      <w:r w:rsidRPr="00D061F8">
        <w:t xml:space="preserve"> risk factor value</w:t>
      </w:r>
    </w:p>
    <w:tbl>
      <w:tblPr>
        <w:tblW w:w="4950" w:type="pct"/>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Look w:val="04A0" w:firstRow="1" w:lastRow="0" w:firstColumn="1" w:lastColumn="0" w:noHBand="0" w:noVBand="1"/>
      </w:tblPr>
      <w:tblGrid>
        <w:gridCol w:w="6659"/>
        <w:gridCol w:w="2267"/>
      </w:tblGrid>
      <w:tr w:rsidR="002450ED" w:rsidRPr="000A7B92" w14:paraId="1DC8E23A" w14:textId="77777777" w:rsidTr="00CF7B5B">
        <w:trPr>
          <w:trHeight w:val="340"/>
        </w:trPr>
        <w:tc>
          <w:tcPr>
            <w:tcW w:w="3730" w:type="pct"/>
            <w:shd w:val="clear" w:color="auto" w:fill="367079"/>
            <w:vAlign w:val="center"/>
            <w:hideMark/>
          </w:tcPr>
          <w:p w14:paraId="1F88193E" w14:textId="77777777" w:rsidR="002450ED" w:rsidRPr="000A7B92" w:rsidRDefault="002450ED" w:rsidP="002A1760">
            <w:pPr>
              <w:pStyle w:val="TableHeader"/>
            </w:pPr>
            <w:r w:rsidRPr="000A7B92">
              <w:t>Registration renewal category</w:t>
            </w:r>
          </w:p>
        </w:tc>
        <w:tc>
          <w:tcPr>
            <w:tcW w:w="1270" w:type="pct"/>
            <w:shd w:val="clear" w:color="auto" w:fill="367079"/>
            <w:vAlign w:val="center"/>
            <w:hideMark/>
          </w:tcPr>
          <w:p w14:paraId="433D328B" w14:textId="70A10F60" w:rsidR="002450ED" w:rsidRPr="000A7B92" w:rsidRDefault="00BE4CD2" w:rsidP="002A1760">
            <w:pPr>
              <w:pStyle w:val="TableHeader"/>
            </w:pPr>
            <w:r>
              <w:t xml:space="preserve">2025 </w:t>
            </w:r>
            <w:r w:rsidR="002450ED" w:rsidRPr="000A7B92">
              <w:t>risk factor value</w:t>
            </w:r>
          </w:p>
        </w:tc>
      </w:tr>
      <w:tr w:rsidR="002450ED" w:rsidRPr="000A7B92" w14:paraId="5E58000B" w14:textId="77777777" w:rsidTr="00CF7B5B">
        <w:trPr>
          <w:trHeight w:val="454"/>
        </w:trPr>
        <w:tc>
          <w:tcPr>
            <w:tcW w:w="3730" w:type="pct"/>
            <w:shd w:val="clear" w:color="auto" w:fill="D8EBEE"/>
            <w:vAlign w:val="center"/>
            <w:hideMark/>
          </w:tcPr>
          <w:p w14:paraId="3E9B9BD8" w14:textId="77777777" w:rsidR="002450ED" w:rsidRPr="000A7B92" w:rsidRDefault="002450ED" w:rsidP="002A1760">
            <w:pPr>
              <w:pStyle w:val="Tablecontents"/>
            </w:pPr>
            <w:r w:rsidRPr="000A7B92">
              <w:t>For registration periods less than the maximum allowable</w:t>
            </w:r>
          </w:p>
        </w:tc>
        <w:tc>
          <w:tcPr>
            <w:tcW w:w="1270" w:type="pct"/>
            <w:shd w:val="clear" w:color="auto" w:fill="D8EBEE"/>
            <w:vAlign w:val="center"/>
            <w:hideMark/>
          </w:tcPr>
          <w:p w14:paraId="72B67FF6" w14:textId="77777777" w:rsidR="002450ED" w:rsidRPr="000A7B92" w:rsidRDefault="002450ED" w:rsidP="002A1760">
            <w:pPr>
              <w:pStyle w:val="Tablecontents"/>
              <w:jc w:val="center"/>
            </w:pPr>
            <w:r w:rsidRPr="000A7B92">
              <w:t>1.0</w:t>
            </w:r>
          </w:p>
        </w:tc>
      </w:tr>
      <w:tr w:rsidR="002450ED" w:rsidRPr="000A7B92" w14:paraId="27971D2F" w14:textId="77777777" w:rsidTr="00CF7B5B">
        <w:trPr>
          <w:trHeight w:val="454"/>
        </w:trPr>
        <w:tc>
          <w:tcPr>
            <w:tcW w:w="3730" w:type="pct"/>
            <w:vAlign w:val="center"/>
            <w:hideMark/>
          </w:tcPr>
          <w:p w14:paraId="7106939D" w14:textId="77777777" w:rsidR="002450ED" w:rsidRPr="000A7B92" w:rsidRDefault="002450ED" w:rsidP="002A1760">
            <w:pPr>
              <w:pStyle w:val="Tablecontents"/>
            </w:pPr>
            <w:r w:rsidRPr="000A7B92">
              <w:t>For registration periods equal to the maximum allowable</w:t>
            </w:r>
          </w:p>
        </w:tc>
        <w:tc>
          <w:tcPr>
            <w:tcW w:w="1270" w:type="pct"/>
            <w:vAlign w:val="center"/>
            <w:hideMark/>
          </w:tcPr>
          <w:p w14:paraId="2459E446" w14:textId="77777777" w:rsidR="002450ED" w:rsidRPr="000A7B92" w:rsidRDefault="002450ED" w:rsidP="002A1760">
            <w:pPr>
              <w:pStyle w:val="Tablecontents"/>
              <w:jc w:val="center"/>
            </w:pPr>
            <w:r w:rsidRPr="000A7B92">
              <w:t>0.0</w:t>
            </w:r>
          </w:p>
        </w:tc>
      </w:tr>
    </w:tbl>
    <w:p w14:paraId="0F0BE87A" w14:textId="3F6BFB37" w:rsidR="006C21C4" w:rsidRDefault="006C21C4" w:rsidP="006C21C4">
      <w:pPr>
        <w:spacing w:after="0"/>
        <w:rPr>
          <w:rFonts w:cs="Calibri"/>
          <w:sz w:val="18"/>
          <w:szCs w:val="18"/>
        </w:rPr>
      </w:pPr>
      <w:r w:rsidRPr="000A7B92">
        <w:rPr>
          <w:rFonts w:cs="Calibri"/>
          <w:sz w:val="18"/>
          <w:szCs w:val="18"/>
        </w:rPr>
        <w:t xml:space="preserve">Sources: </w:t>
      </w:r>
      <w:r w:rsidR="00530E09">
        <w:rPr>
          <w:rFonts w:cs="Calibri"/>
          <w:sz w:val="18"/>
          <w:szCs w:val="18"/>
        </w:rPr>
        <w:t>P</w:t>
      </w:r>
      <w:r w:rsidRPr="000A7B92">
        <w:rPr>
          <w:rFonts w:cs="Calibri"/>
          <w:sz w:val="18"/>
          <w:szCs w:val="18"/>
        </w:rPr>
        <w:t>rovider’s registration renewal length.</w:t>
      </w:r>
    </w:p>
    <w:p w14:paraId="2549D74E" w14:textId="053715E1" w:rsidR="004A3A69" w:rsidRDefault="004A3A69" w:rsidP="004A3A69">
      <w:pPr>
        <w:spacing w:after="80"/>
        <w:rPr>
          <w:rFonts w:cs="Calibri"/>
        </w:rPr>
      </w:pPr>
      <w:r>
        <w:rPr>
          <w:rFonts w:cs="Calibri"/>
          <w:sz w:val="18"/>
          <w:szCs w:val="18"/>
        </w:rPr>
        <w:t xml:space="preserve">Note: </w:t>
      </w:r>
      <w:r w:rsidRPr="004A3A69">
        <w:rPr>
          <w:rFonts w:cs="Calibri"/>
          <w:sz w:val="18"/>
          <w:szCs w:val="18"/>
        </w:rPr>
        <w:t xml:space="preserve">All HELP providers will receive a registration renewal risk factor value of 0.0 as there </w:t>
      </w:r>
      <w:r w:rsidR="00DF7511" w:rsidRPr="004A3A69">
        <w:rPr>
          <w:rFonts w:cs="Calibri"/>
          <w:sz w:val="18"/>
          <w:szCs w:val="18"/>
        </w:rPr>
        <w:t>is</w:t>
      </w:r>
      <w:r w:rsidRPr="004A3A69">
        <w:rPr>
          <w:rFonts w:cs="Calibri"/>
          <w:sz w:val="18"/>
          <w:szCs w:val="18"/>
        </w:rPr>
        <w:t xml:space="preserve"> no minimum registration period.</w:t>
      </w:r>
    </w:p>
    <w:p w14:paraId="43C5FF40" w14:textId="34A8CEC0" w:rsidR="004B6426" w:rsidRPr="000A7B92" w:rsidRDefault="004B6426" w:rsidP="00696EE3">
      <w:pPr>
        <w:spacing w:before="240" w:after="80"/>
        <w:jc w:val="both"/>
        <w:rPr>
          <w:rFonts w:cs="Calibri"/>
        </w:rPr>
      </w:pPr>
      <w:r w:rsidRPr="000A7B92">
        <w:rPr>
          <w:rFonts w:cs="Calibri"/>
          <w:b/>
          <w:bCs/>
          <w:color w:val="000000" w:themeColor="text1"/>
          <w:sz w:val="29"/>
          <w:szCs w:val="29"/>
        </w:rPr>
        <w:t xml:space="preserve">Special </w:t>
      </w:r>
      <w:r w:rsidR="00B93D4F">
        <w:rPr>
          <w:rFonts w:cs="Calibri"/>
          <w:b/>
          <w:bCs/>
          <w:color w:val="000000" w:themeColor="text1"/>
          <w:sz w:val="29"/>
          <w:szCs w:val="29"/>
        </w:rPr>
        <w:t>T</w:t>
      </w:r>
      <w:r w:rsidRPr="000A7B92">
        <w:rPr>
          <w:rFonts w:cs="Calibri"/>
          <w:b/>
          <w:bCs/>
          <w:color w:val="000000" w:themeColor="text1"/>
          <w:sz w:val="29"/>
          <w:szCs w:val="29"/>
        </w:rPr>
        <w:t xml:space="preserve">uition </w:t>
      </w:r>
      <w:r w:rsidR="00B93D4F">
        <w:rPr>
          <w:rFonts w:cs="Calibri"/>
          <w:b/>
          <w:bCs/>
          <w:color w:val="000000" w:themeColor="text1"/>
          <w:sz w:val="29"/>
          <w:szCs w:val="29"/>
        </w:rPr>
        <w:t>P</w:t>
      </w:r>
      <w:r w:rsidRPr="000A7B92">
        <w:rPr>
          <w:rFonts w:cs="Calibri"/>
          <w:b/>
          <w:bCs/>
          <w:color w:val="000000" w:themeColor="text1"/>
          <w:sz w:val="29"/>
          <w:szCs w:val="29"/>
        </w:rPr>
        <w:t>rotection component</w:t>
      </w:r>
    </w:p>
    <w:p w14:paraId="3FB15E41" w14:textId="5143111F" w:rsidR="00671336" w:rsidRPr="000A7B92" w:rsidRDefault="00671336" w:rsidP="00671336">
      <w:pPr>
        <w:rPr>
          <w:rFonts w:cs="Calibri"/>
        </w:rPr>
      </w:pPr>
      <w:r>
        <w:rPr>
          <w:rFonts w:cs="Calibri"/>
        </w:rPr>
        <w:t xml:space="preserve">The Special Tuition Protection component percentage is determined by the TPS Director </w:t>
      </w:r>
      <w:r>
        <w:t>through a legislative instrument each year. The Special Tuition Protection</w:t>
      </w:r>
      <w:r w:rsidR="00885D39">
        <w:t xml:space="preserve"> Component</w:t>
      </w:r>
      <w:r>
        <w:t xml:space="preserve"> contributes to building the balance of the HE Fund to ensure there are sufficient funds available in the event of a large provider default, or multiple provider defaults. </w:t>
      </w:r>
    </w:p>
    <w:p w14:paraId="1279C399" w14:textId="77777777" w:rsidR="00671336" w:rsidRDefault="00671336" w:rsidP="00671336">
      <w:pPr>
        <w:rPr>
          <w:rFonts w:cs="Calibri"/>
        </w:rPr>
      </w:pPr>
      <w:r>
        <w:rPr>
          <w:rFonts w:cs="Calibri"/>
        </w:rPr>
        <w:t>The percentage for 2025 is 0.10%</w:t>
      </w:r>
    </w:p>
    <w:p w14:paraId="1DDE2121" w14:textId="5E602D2D" w:rsidR="004B6426" w:rsidRPr="000A7B92" w:rsidRDefault="004B6426" w:rsidP="004B6426">
      <w:pPr>
        <w:rPr>
          <w:rFonts w:cs="Calibri"/>
        </w:rPr>
      </w:pPr>
      <w:r w:rsidRPr="000A7B92">
        <w:rPr>
          <w:rFonts w:cs="Calibri"/>
        </w:rPr>
        <w:t xml:space="preserve">The Special </w:t>
      </w:r>
      <w:r w:rsidR="00B93D4F">
        <w:rPr>
          <w:rFonts w:cs="Calibri"/>
        </w:rPr>
        <w:t>T</w:t>
      </w:r>
      <w:r w:rsidRPr="000A7B92">
        <w:rPr>
          <w:rFonts w:cs="Calibri"/>
        </w:rPr>
        <w:t xml:space="preserve">uition </w:t>
      </w:r>
      <w:r w:rsidR="00B93D4F">
        <w:rPr>
          <w:rFonts w:cs="Calibri"/>
        </w:rPr>
        <w:t>P</w:t>
      </w:r>
      <w:r w:rsidRPr="000A7B92">
        <w:rPr>
          <w:rFonts w:cs="Calibri"/>
        </w:rPr>
        <w:t>rotection component</w:t>
      </w:r>
      <w:r w:rsidR="003C4732">
        <w:rPr>
          <w:rFonts w:cs="Calibri"/>
        </w:rPr>
        <w:t xml:space="preserve"> (S)</w:t>
      </w:r>
      <w:r w:rsidRPr="000A7B92">
        <w:rPr>
          <w:rFonts w:cs="Calibri"/>
        </w:rPr>
        <w:t xml:space="preserve"> is calculated as: </w:t>
      </w:r>
    </w:p>
    <w:tbl>
      <w:tblPr>
        <w:tblStyle w:val="TPSTable"/>
        <w:tblW w:w="2670" w:type="pct"/>
        <w:jc w:val="center"/>
        <w:shd w:val="clear" w:color="auto" w:fill="D8EBEE" w:themeFill="accent1" w:themeFillTint="33"/>
        <w:tblLook w:val="04A0" w:firstRow="1" w:lastRow="0" w:firstColumn="1" w:lastColumn="0" w:noHBand="0" w:noVBand="1"/>
      </w:tblPr>
      <w:tblGrid>
        <w:gridCol w:w="4815"/>
      </w:tblGrid>
      <w:tr w:rsidR="004B6426" w:rsidRPr="000A7B92" w14:paraId="220C46E9" w14:textId="77777777" w:rsidTr="00F75BC8">
        <w:trPr>
          <w:cnfStyle w:val="100000000000" w:firstRow="1" w:lastRow="0" w:firstColumn="0" w:lastColumn="0" w:oddVBand="0" w:evenVBand="0" w:oddHBand="0" w:evenHBand="0" w:firstRowFirstColumn="0" w:firstRowLastColumn="0" w:lastRowFirstColumn="0" w:lastRowLastColumn="0"/>
          <w:trHeight w:val="582"/>
          <w:jc w:val="center"/>
        </w:trPr>
        <w:tc>
          <w:tcPr>
            <w:tcW w:w="5000" w:type="pct"/>
            <w:shd w:val="clear" w:color="auto" w:fill="D8EBEE"/>
            <w:hideMark/>
          </w:tcPr>
          <w:p w14:paraId="6DA9B186" w14:textId="6F4655A9" w:rsidR="004B6426" w:rsidRPr="005133E4" w:rsidRDefault="008450DF" w:rsidP="00BF6BF4">
            <w:pPr>
              <w:pStyle w:val="Tablecontents"/>
              <w:keepNext/>
              <w:spacing w:before="0" w:after="0"/>
              <w:rPr>
                <w:rFonts w:cs="Calibri"/>
                <w:b w:val="0"/>
              </w:rPr>
            </w:pPr>
            <w:r w:rsidRPr="005133E4">
              <w:rPr>
                <w:rFonts w:cs="Calibri"/>
                <w:b w:val="0"/>
              </w:rPr>
              <w:t xml:space="preserve">S = </w:t>
            </w:r>
            <w:r w:rsidR="004B6426" w:rsidRPr="005133E4">
              <w:rPr>
                <w:rFonts w:cs="Calibri"/>
                <w:b w:val="0"/>
              </w:rPr>
              <w:t xml:space="preserve">0.10% x </w:t>
            </w:r>
            <w:r w:rsidR="005C299A" w:rsidRPr="005133E4">
              <w:rPr>
                <w:rFonts w:cs="Calibri"/>
                <w:b w:val="0"/>
              </w:rPr>
              <w:t>HELP</w:t>
            </w:r>
            <w:r w:rsidR="004B6426" w:rsidRPr="005133E4">
              <w:rPr>
                <w:rFonts w:cs="Calibri"/>
                <w:b w:val="0"/>
              </w:rPr>
              <w:t xml:space="preserve"> loan amount</w:t>
            </w:r>
          </w:p>
        </w:tc>
      </w:tr>
    </w:tbl>
    <w:p w14:paraId="67C989D8" w14:textId="3A06108B" w:rsidR="008450DF" w:rsidRPr="000A7B92" w:rsidRDefault="004B6740" w:rsidP="004B6426">
      <w:pPr>
        <w:spacing w:after="0"/>
        <w:rPr>
          <w:rFonts w:cs="Calibri"/>
          <w:i/>
          <w:iCs/>
        </w:rPr>
      </w:pPr>
      <w:r w:rsidRPr="000A7B92">
        <w:rPr>
          <w:rFonts w:cs="Calibri"/>
          <w:i/>
          <w:iCs/>
        </w:rPr>
        <w:t>w</w:t>
      </w:r>
      <w:r w:rsidR="008450DF" w:rsidRPr="000A7B92">
        <w:rPr>
          <w:rFonts w:cs="Calibri"/>
          <w:i/>
          <w:iCs/>
        </w:rPr>
        <w:t>here:</w:t>
      </w:r>
    </w:p>
    <w:p w14:paraId="3E7881F0" w14:textId="2BDE3ACB" w:rsidR="008450DF" w:rsidRPr="000A7B92" w:rsidRDefault="008450DF" w:rsidP="000A7B92">
      <w:pPr>
        <w:spacing w:after="0"/>
        <w:ind w:left="720"/>
        <w:rPr>
          <w:rFonts w:cs="Calibri"/>
        </w:rPr>
      </w:pPr>
      <w:r w:rsidRPr="000A7B92">
        <w:rPr>
          <w:rFonts w:cs="Calibri"/>
        </w:rPr>
        <w:t>HELP loan amount = total loan amounts received for 202</w:t>
      </w:r>
      <w:r w:rsidR="0025621D">
        <w:rPr>
          <w:rFonts w:cs="Calibri"/>
        </w:rPr>
        <w:t>4</w:t>
      </w:r>
      <w:r w:rsidRPr="000A7B92">
        <w:rPr>
          <w:rFonts w:cs="Calibri"/>
        </w:rPr>
        <w:t xml:space="preserve"> (calendar year).</w:t>
      </w:r>
    </w:p>
    <w:p w14:paraId="69D046A5" w14:textId="3B220B11" w:rsidR="00785F85" w:rsidRDefault="006A0351" w:rsidP="002A1760">
      <w:pPr>
        <w:spacing w:after="0"/>
        <w:ind w:left="720"/>
        <w:rPr>
          <w:rFonts w:cs="Calibri"/>
          <w:sz w:val="18"/>
          <w:szCs w:val="18"/>
        </w:rPr>
      </w:pPr>
      <w:r w:rsidRPr="000A7B92">
        <w:rPr>
          <w:rFonts w:cs="Calibri"/>
          <w:sz w:val="18"/>
          <w:szCs w:val="18"/>
        </w:rPr>
        <w:t>Source: TCSI</w:t>
      </w:r>
    </w:p>
    <w:p w14:paraId="7B13B99C" w14:textId="77777777" w:rsidR="002A1760" w:rsidRDefault="002A1760">
      <w:pPr>
        <w:spacing w:line="278" w:lineRule="auto"/>
        <w:rPr>
          <w:rFonts w:eastAsiaTheme="majorEastAsia" w:cs="Calibri"/>
          <w:b/>
          <w:bCs/>
          <w:color w:val="000000" w:themeColor="text1"/>
          <w:sz w:val="27"/>
          <w:szCs w:val="27"/>
        </w:rPr>
      </w:pPr>
      <w:r>
        <w:br w:type="page"/>
      </w:r>
    </w:p>
    <w:p w14:paraId="22B90CCD" w14:textId="240F53EF" w:rsidR="00F449D5" w:rsidRPr="000A7B92" w:rsidRDefault="00F449D5" w:rsidP="0012322C">
      <w:pPr>
        <w:pStyle w:val="Heading3"/>
      </w:pPr>
      <w:r w:rsidRPr="000A7B92">
        <w:lastRenderedPageBreak/>
        <w:t>HELP Levy calculation example</w:t>
      </w:r>
    </w:p>
    <w:p w14:paraId="77E7729C" w14:textId="5C731D0B" w:rsidR="00956513" w:rsidRDefault="00963BB1" w:rsidP="008F3E00">
      <w:pPr>
        <w:rPr>
          <w:rFonts w:cs="Calibri"/>
          <w:b/>
          <w:bCs/>
        </w:rPr>
      </w:pPr>
      <w:r w:rsidRPr="00963BB1">
        <w:rPr>
          <w:rFonts w:cs="Calibri"/>
          <w:b/>
          <w:bCs/>
        </w:rPr>
        <w:t>Provider 1 example</w:t>
      </w:r>
    </w:p>
    <w:p w14:paraId="54D4FAE5" w14:textId="687B0C87" w:rsidR="004E4013" w:rsidRPr="004E4013" w:rsidRDefault="004E4013" w:rsidP="008F3E00">
      <w:pPr>
        <w:rPr>
          <w:rFonts w:cs="Calibri"/>
        </w:rPr>
      </w:pPr>
      <w:r>
        <w:rPr>
          <w:rFonts w:cs="Calibri"/>
        </w:rPr>
        <w:t>Provider 1 has the following characteristics</w:t>
      </w:r>
    </w:p>
    <w:p w14:paraId="38F317ED" w14:textId="2F225BD2" w:rsidR="002060F0" w:rsidRPr="000A7B92" w:rsidRDefault="00FE49DA" w:rsidP="008F3E00">
      <w:pPr>
        <w:pStyle w:val="ListParagraph"/>
        <w:numPr>
          <w:ilvl w:val="0"/>
          <w:numId w:val="6"/>
        </w:numPr>
        <w:rPr>
          <w:rFonts w:cs="Calibri"/>
        </w:rPr>
      </w:pPr>
      <w:r>
        <w:rPr>
          <w:rFonts w:cs="Calibri"/>
        </w:rPr>
        <w:t xml:space="preserve">number of </w:t>
      </w:r>
      <w:r w:rsidR="00FE4255">
        <w:rPr>
          <w:rFonts w:cs="Calibri"/>
        </w:rPr>
        <w:t xml:space="preserve">HELP students = </w:t>
      </w:r>
      <w:r w:rsidR="007B0CCE" w:rsidRPr="000A7B92">
        <w:rPr>
          <w:rFonts w:cs="Calibri"/>
        </w:rPr>
        <w:t>650</w:t>
      </w:r>
    </w:p>
    <w:p w14:paraId="4DC5E9E5" w14:textId="30CB7DF6" w:rsidR="00956513" w:rsidRPr="000A7B92" w:rsidRDefault="007846B3" w:rsidP="008F3E00">
      <w:pPr>
        <w:pStyle w:val="ListParagraph"/>
        <w:numPr>
          <w:ilvl w:val="0"/>
          <w:numId w:val="6"/>
        </w:numPr>
        <w:rPr>
          <w:rFonts w:cs="Calibri"/>
        </w:rPr>
      </w:pPr>
      <w:r>
        <w:rPr>
          <w:rFonts w:cs="Calibri"/>
        </w:rPr>
        <w:t xml:space="preserve">HELP loan amounts received in 2024 = </w:t>
      </w:r>
      <w:r w:rsidR="00956513" w:rsidRPr="000A7B92">
        <w:rPr>
          <w:rFonts w:cs="Calibri"/>
        </w:rPr>
        <w:t>$10 million</w:t>
      </w:r>
    </w:p>
    <w:p w14:paraId="484E15FC" w14:textId="06C04AD2" w:rsidR="00956513" w:rsidRDefault="00C922D7" w:rsidP="008F3E00">
      <w:pPr>
        <w:pStyle w:val="ListParagraph"/>
        <w:numPr>
          <w:ilvl w:val="0"/>
          <w:numId w:val="6"/>
        </w:numPr>
        <w:rPr>
          <w:rFonts w:cs="Calibri"/>
        </w:rPr>
      </w:pPr>
      <w:r>
        <w:rPr>
          <w:rFonts w:cs="Calibri"/>
        </w:rPr>
        <w:t>f</w:t>
      </w:r>
      <w:r w:rsidR="00604AAE" w:rsidRPr="000A7B92">
        <w:rPr>
          <w:rFonts w:cs="Calibri"/>
        </w:rPr>
        <w:t>inancial strength</w:t>
      </w:r>
      <w:r w:rsidR="008F5193" w:rsidRPr="000A7B92">
        <w:rPr>
          <w:rFonts w:cs="Calibri"/>
        </w:rPr>
        <w:t xml:space="preserve"> </w:t>
      </w:r>
      <w:r w:rsidR="006224FF">
        <w:rPr>
          <w:rFonts w:cs="Calibri"/>
        </w:rPr>
        <w:t>score</w:t>
      </w:r>
      <w:r w:rsidR="00BB5473" w:rsidRPr="000A7B92">
        <w:rPr>
          <w:rFonts w:cs="Calibri"/>
        </w:rPr>
        <w:t xml:space="preserve"> </w:t>
      </w:r>
      <w:r w:rsidR="00F153B4">
        <w:rPr>
          <w:rFonts w:cs="Calibri"/>
        </w:rPr>
        <w:t>=</w:t>
      </w:r>
      <w:r w:rsidR="00024B52" w:rsidRPr="000A7B92">
        <w:rPr>
          <w:rFonts w:cs="Calibri"/>
        </w:rPr>
        <w:t xml:space="preserve"> </w:t>
      </w:r>
      <w:r w:rsidR="00664FC4" w:rsidRPr="000A7B92">
        <w:rPr>
          <w:rFonts w:cs="Calibri"/>
        </w:rPr>
        <w:t>6</w:t>
      </w:r>
      <w:r w:rsidR="006224FF">
        <w:rPr>
          <w:rFonts w:cs="Calibri"/>
        </w:rPr>
        <w:t>, therefore risk factor value = 1.0</w:t>
      </w:r>
    </w:p>
    <w:p w14:paraId="7F22C970" w14:textId="0C00BFFC" w:rsidR="00327D53" w:rsidRPr="000A7B92" w:rsidRDefault="00C922D7" w:rsidP="00327D53">
      <w:pPr>
        <w:pStyle w:val="ListParagraph"/>
        <w:numPr>
          <w:ilvl w:val="0"/>
          <w:numId w:val="6"/>
        </w:numPr>
        <w:rPr>
          <w:rFonts w:cs="Calibri"/>
        </w:rPr>
      </w:pPr>
      <w:r>
        <w:rPr>
          <w:rFonts w:cs="Calibri"/>
        </w:rPr>
        <w:t>c</w:t>
      </w:r>
      <w:r w:rsidR="00327D53" w:rsidRPr="000A7B92">
        <w:rPr>
          <w:rFonts w:cs="Calibri"/>
        </w:rPr>
        <w:t>ompletion rate</w:t>
      </w:r>
      <w:r w:rsidR="00327D53">
        <w:rPr>
          <w:rFonts w:cs="Calibri"/>
        </w:rPr>
        <w:t xml:space="preserve"> percentage</w:t>
      </w:r>
      <w:r w:rsidR="00F153B4">
        <w:rPr>
          <w:rFonts w:cs="Calibri"/>
        </w:rPr>
        <w:t xml:space="preserve"> = </w:t>
      </w:r>
      <w:r w:rsidR="00327D53">
        <w:rPr>
          <w:rFonts w:cs="Calibri"/>
        </w:rPr>
        <w:t>65</w:t>
      </w:r>
      <w:r w:rsidR="00327D53" w:rsidRPr="000A7B92">
        <w:rPr>
          <w:rFonts w:cs="Calibri"/>
        </w:rPr>
        <w:t>%</w:t>
      </w:r>
      <w:r w:rsidR="00F153B4">
        <w:rPr>
          <w:rFonts w:cs="Calibri"/>
        </w:rPr>
        <w:t xml:space="preserve">, </w:t>
      </w:r>
      <w:r w:rsidR="00327D53">
        <w:rPr>
          <w:rFonts w:cs="Calibri"/>
        </w:rPr>
        <w:t xml:space="preserve">therefore </w:t>
      </w:r>
      <w:r w:rsidR="00327D53" w:rsidRPr="000A7B92">
        <w:rPr>
          <w:rFonts w:cs="Calibri"/>
        </w:rPr>
        <w:t>risk fact</w:t>
      </w:r>
      <w:r w:rsidR="00327D53">
        <w:rPr>
          <w:rFonts w:cs="Calibri"/>
        </w:rPr>
        <w:t xml:space="preserve">or </w:t>
      </w:r>
      <w:r w:rsidR="00327D53" w:rsidRPr="000A7B92">
        <w:rPr>
          <w:rFonts w:cs="Calibri"/>
        </w:rPr>
        <w:t xml:space="preserve">value </w:t>
      </w:r>
      <w:r w:rsidR="00327D53">
        <w:rPr>
          <w:rFonts w:cs="Calibri"/>
        </w:rPr>
        <w:t xml:space="preserve">= </w:t>
      </w:r>
      <w:r w:rsidR="00AF1E3A">
        <w:rPr>
          <w:rFonts w:cs="Calibri"/>
        </w:rPr>
        <w:t>1.0</w:t>
      </w:r>
      <w:r w:rsidR="00327D53" w:rsidRPr="000A7B92">
        <w:rPr>
          <w:rFonts w:cs="Calibri"/>
        </w:rPr>
        <w:t xml:space="preserve"> </w:t>
      </w:r>
    </w:p>
    <w:p w14:paraId="0A575D09" w14:textId="34D3A5C2" w:rsidR="00CE0A63" w:rsidRDefault="00C922D7" w:rsidP="00CE0A63">
      <w:pPr>
        <w:pStyle w:val="ListParagraph"/>
        <w:numPr>
          <w:ilvl w:val="0"/>
          <w:numId w:val="6"/>
        </w:numPr>
        <w:rPr>
          <w:rFonts w:cs="Calibri"/>
        </w:rPr>
      </w:pPr>
      <w:r>
        <w:rPr>
          <w:rFonts w:cs="Calibri"/>
        </w:rPr>
        <w:t>n</w:t>
      </w:r>
      <w:r w:rsidR="00CE0A63">
        <w:rPr>
          <w:rFonts w:cs="Calibri"/>
        </w:rPr>
        <w:t>on-compliance history calculation</w:t>
      </w:r>
      <w:r w:rsidR="00F153B4">
        <w:rPr>
          <w:rFonts w:cs="Calibri"/>
        </w:rPr>
        <w:t xml:space="preserve"> =</w:t>
      </w:r>
      <w:r w:rsidR="00CE0A63">
        <w:rPr>
          <w:rFonts w:cs="Calibri"/>
        </w:rPr>
        <w:t xml:space="preserve"> 1 day, therefore risk factor value = 0.</w:t>
      </w:r>
      <w:r w:rsidR="00D7619F">
        <w:rPr>
          <w:rFonts w:cs="Calibri"/>
        </w:rPr>
        <w:t>0</w:t>
      </w:r>
    </w:p>
    <w:p w14:paraId="283C9493" w14:textId="52D38E24" w:rsidR="00A5188B" w:rsidRDefault="00103F1B" w:rsidP="000A7B92">
      <w:pPr>
        <w:pStyle w:val="ListParagraph"/>
        <w:numPr>
          <w:ilvl w:val="0"/>
          <w:numId w:val="6"/>
        </w:numPr>
        <w:rPr>
          <w:rFonts w:cs="Calibri"/>
        </w:rPr>
      </w:pPr>
      <w:r>
        <w:rPr>
          <w:rFonts w:cs="Calibri"/>
        </w:rPr>
        <w:t>r</w:t>
      </w:r>
      <w:r w:rsidR="004E46C5" w:rsidRPr="000A7B92">
        <w:rPr>
          <w:rFonts w:cs="Calibri"/>
        </w:rPr>
        <w:t xml:space="preserve">egistration renewal </w:t>
      </w:r>
      <w:r>
        <w:rPr>
          <w:rFonts w:cs="Calibri"/>
        </w:rPr>
        <w:t xml:space="preserve">period </w:t>
      </w:r>
      <w:r w:rsidR="003143D2">
        <w:rPr>
          <w:rFonts w:cs="Calibri"/>
        </w:rPr>
        <w:t>=</w:t>
      </w:r>
      <w:r>
        <w:rPr>
          <w:rFonts w:cs="Calibri"/>
        </w:rPr>
        <w:t xml:space="preserve"> maximum allowable, therefore </w:t>
      </w:r>
      <w:r w:rsidR="004E46C5" w:rsidRPr="000A7B92">
        <w:rPr>
          <w:rFonts w:cs="Calibri"/>
        </w:rPr>
        <w:t>risk factor value</w:t>
      </w:r>
      <w:r>
        <w:rPr>
          <w:rFonts w:cs="Calibri"/>
        </w:rPr>
        <w:t xml:space="preserve"> = </w:t>
      </w:r>
      <w:r w:rsidR="00B604BD" w:rsidRPr="000A7B92">
        <w:rPr>
          <w:rFonts w:cs="Calibri"/>
        </w:rPr>
        <w:t>0.0</w:t>
      </w:r>
      <w:r w:rsidR="000A7B92">
        <w:rPr>
          <w:rFonts w:cs="Calibri"/>
        </w:rPr>
        <w:t>.</w:t>
      </w:r>
    </w:p>
    <w:tbl>
      <w:tblPr>
        <w:tblW w:w="5000" w:type="pct"/>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Look w:val="0420" w:firstRow="1" w:lastRow="0" w:firstColumn="0" w:lastColumn="0" w:noHBand="0" w:noVBand="1"/>
      </w:tblPr>
      <w:tblGrid>
        <w:gridCol w:w="2263"/>
        <w:gridCol w:w="6753"/>
      </w:tblGrid>
      <w:tr w:rsidR="000F2A2F" w:rsidRPr="000A7B92" w14:paraId="75F66CF1" w14:textId="77777777" w:rsidTr="00CF7B5B">
        <w:trPr>
          <w:trHeight w:val="510"/>
        </w:trPr>
        <w:tc>
          <w:tcPr>
            <w:tcW w:w="1269" w:type="pct"/>
            <w:shd w:val="clear" w:color="auto" w:fill="367079" w:themeFill="accent1" w:themeFillShade="BF"/>
            <w:vAlign w:val="center"/>
            <w:hideMark/>
          </w:tcPr>
          <w:p w14:paraId="68754FB4" w14:textId="77777777" w:rsidR="000F2A2F" w:rsidRPr="000A7B92" w:rsidRDefault="000F2A2F" w:rsidP="002A1760">
            <w:pPr>
              <w:pStyle w:val="TableHeader"/>
            </w:pPr>
            <w:r w:rsidRPr="000A7B92">
              <w:t>Levy component</w:t>
            </w:r>
          </w:p>
        </w:tc>
        <w:tc>
          <w:tcPr>
            <w:tcW w:w="3731" w:type="pct"/>
            <w:shd w:val="clear" w:color="auto" w:fill="367079" w:themeFill="accent1" w:themeFillShade="BF"/>
            <w:vAlign w:val="center"/>
            <w:hideMark/>
          </w:tcPr>
          <w:p w14:paraId="777F9EA7" w14:textId="77777777" w:rsidR="000F2A2F" w:rsidRPr="000A7B92" w:rsidRDefault="000F2A2F" w:rsidP="002A1760">
            <w:pPr>
              <w:pStyle w:val="TableHeader"/>
            </w:pPr>
            <w:r w:rsidRPr="000A7B92">
              <w:t>Levy calculation</w:t>
            </w:r>
          </w:p>
        </w:tc>
      </w:tr>
      <w:tr w:rsidR="00337013" w:rsidRPr="000A7B92" w14:paraId="5C27C407" w14:textId="77777777" w:rsidTr="00CF7B5B">
        <w:trPr>
          <w:trHeight w:val="709"/>
        </w:trPr>
        <w:tc>
          <w:tcPr>
            <w:tcW w:w="1269" w:type="pct"/>
            <w:shd w:val="clear" w:color="auto" w:fill="D8EBEE"/>
            <w:vAlign w:val="center"/>
            <w:hideMark/>
          </w:tcPr>
          <w:p w14:paraId="09BE588F" w14:textId="4FF45D6A" w:rsidR="00337013" w:rsidRPr="002A1760" w:rsidRDefault="00337013" w:rsidP="002A1760">
            <w:pPr>
              <w:pStyle w:val="Tablecontents"/>
              <w:rPr>
                <w:b/>
                <w:bCs/>
              </w:rPr>
            </w:pPr>
            <w:r w:rsidRPr="002A1760">
              <w:rPr>
                <w:b/>
                <w:bCs/>
              </w:rPr>
              <w:t xml:space="preserve">(A) Administrative </w:t>
            </w:r>
            <w:r w:rsidR="005516BA" w:rsidRPr="002A1760">
              <w:rPr>
                <w:b/>
                <w:bCs/>
              </w:rPr>
              <w:t>F</w:t>
            </w:r>
            <w:r w:rsidRPr="002A1760">
              <w:rPr>
                <w:b/>
                <w:bCs/>
              </w:rPr>
              <w:t>ee</w:t>
            </w:r>
          </w:p>
        </w:tc>
        <w:tc>
          <w:tcPr>
            <w:tcW w:w="3731" w:type="pct"/>
            <w:shd w:val="clear" w:color="auto" w:fill="D8EBEE"/>
            <w:vAlign w:val="center"/>
            <w:hideMark/>
          </w:tcPr>
          <w:p w14:paraId="665814ED" w14:textId="568B8402" w:rsidR="00337013" w:rsidRPr="00FA7EF4" w:rsidRDefault="00337013" w:rsidP="002A1760">
            <w:pPr>
              <w:pStyle w:val="Tablecontents"/>
            </w:pPr>
            <w:r w:rsidRPr="00FA7EF4">
              <w:t>$12</w:t>
            </w:r>
            <w:r w:rsidR="007B28FC">
              <w:t>9</w:t>
            </w:r>
            <w:r w:rsidRPr="00FA7EF4">
              <w:t xml:space="preserve"> + ($10.</w:t>
            </w:r>
            <w:r w:rsidR="007B28FC">
              <w:t>8</w:t>
            </w:r>
            <w:r w:rsidRPr="00FA7EF4">
              <w:t>5</w:t>
            </w:r>
            <w:r w:rsidR="007B28FC">
              <w:t xml:space="preserve"> x 650 HELP students</w:t>
            </w:r>
            <w:r w:rsidRPr="00FA7EF4">
              <w:t xml:space="preserve">) = </w:t>
            </w:r>
            <w:r w:rsidRPr="002A1760">
              <w:rPr>
                <w:b/>
                <w:bCs/>
              </w:rPr>
              <w:t>$</w:t>
            </w:r>
            <w:r w:rsidR="002F57E4" w:rsidRPr="002A1760">
              <w:rPr>
                <w:b/>
                <w:bCs/>
              </w:rPr>
              <w:t>7,052.50</w:t>
            </w:r>
          </w:p>
        </w:tc>
      </w:tr>
      <w:tr w:rsidR="00337013" w:rsidRPr="000A7B92" w14:paraId="17091231" w14:textId="77777777" w:rsidTr="00CF7B5B">
        <w:trPr>
          <w:trHeight w:val="2537"/>
        </w:trPr>
        <w:tc>
          <w:tcPr>
            <w:tcW w:w="1269" w:type="pct"/>
            <w:vAlign w:val="center"/>
            <w:hideMark/>
          </w:tcPr>
          <w:p w14:paraId="7C982B03" w14:textId="33F369BB" w:rsidR="00337013" w:rsidRPr="002A1760" w:rsidRDefault="00337013" w:rsidP="002A1760">
            <w:pPr>
              <w:pStyle w:val="Tablecontents"/>
              <w:rPr>
                <w:b/>
                <w:bCs/>
              </w:rPr>
            </w:pPr>
            <w:r w:rsidRPr="002A1760">
              <w:rPr>
                <w:b/>
                <w:bCs/>
              </w:rPr>
              <w:t xml:space="preserve">(R) Risk </w:t>
            </w:r>
            <w:r w:rsidR="005516BA" w:rsidRPr="002A1760">
              <w:rPr>
                <w:b/>
                <w:bCs/>
              </w:rPr>
              <w:t>R</w:t>
            </w:r>
            <w:r w:rsidRPr="002A1760">
              <w:rPr>
                <w:b/>
                <w:bCs/>
              </w:rPr>
              <w:t xml:space="preserve">ated </w:t>
            </w:r>
            <w:r w:rsidR="005516BA" w:rsidRPr="002A1760">
              <w:rPr>
                <w:b/>
                <w:bCs/>
              </w:rPr>
              <w:t>P</w:t>
            </w:r>
            <w:r w:rsidRPr="002A1760">
              <w:rPr>
                <w:b/>
                <w:bCs/>
              </w:rPr>
              <w:t>remium</w:t>
            </w:r>
          </w:p>
        </w:tc>
        <w:tc>
          <w:tcPr>
            <w:tcW w:w="3731" w:type="pct"/>
            <w:vAlign w:val="center"/>
            <w:hideMark/>
          </w:tcPr>
          <w:p w14:paraId="0985E319" w14:textId="3F62FB53" w:rsidR="00337013" w:rsidRPr="00FA7EF4" w:rsidRDefault="00721547" w:rsidP="002A1760">
            <w:pPr>
              <w:pStyle w:val="Tablecontents"/>
              <w:rPr>
                <w:rFonts w:eastAsiaTheme="minorEastAsia"/>
                <w:sz w:val="20"/>
                <w:szCs w:val="20"/>
              </w:rPr>
            </w:pPr>
            <m:oMathPara>
              <m:oMath>
                <m:r>
                  <m:rPr>
                    <m:nor/>
                  </m:rPr>
                  <w:rPr>
                    <w:rFonts w:ascii="Cambria Math" w:hAnsi="Cambria Math"/>
                    <w:sz w:val="20"/>
                    <w:szCs w:val="20"/>
                  </w:rPr>
                  <m:t xml:space="preserve">R= </m:t>
                </m:r>
                <m:d>
                  <m:dPr>
                    <m:begChr m:val="["/>
                    <m:endChr m:val="]"/>
                    <m:ctrlPr>
                      <w:rPr>
                        <w:rFonts w:ascii="Cambria Math" w:hAnsi="Cambria Math"/>
                        <w:sz w:val="20"/>
                        <w:szCs w:val="20"/>
                      </w:rPr>
                    </m:ctrlPr>
                  </m:dPr>
                  <m:e>
                    <m:d>
                      <m:dPr>
                        <m:ctrlPr>
                          <w:rPr>
                            <w:rFonts w:ascii="Cambria Math" w:hAnsi="Cambria Math"/>
                            <w:sz w:val="20"/>
                            <w:szCs w:val="20"/>
                          </w:rPr>
                        </m:ctrlPr>
                      </m:dPr>
                      <m:e>
                        <m:eqArr>
                          <m:eqArrPr>
                            <m:ctrlPr>
                              <w:rPr>
                                <w:rFonts w:ascii="Cambria Math" w:hAnsi="Cambria Math"/>
                                <w:sz w:val="20"/>
                                <w:szCs w:val="20"/>
                              </w:rPr>
                            </m:ctrlPr>
                          </m:eqArrPr>
                          <m:e>
                            <m:r>
                              <m:rPr>
                                <m:nor/>
                              </m:rPr>
                              <w:rPr>
                                <w:rFonts w:ascii="Cambria Math" w:hAnsi="Cambria Math"/>
                                <w:sz w:val="20"/>
                                <w:szCs w:val="20"/>
                              </w:rPr>
                              <m:t>$6</m:t>
                            </m:r>
                          </m:e>
                          <m:e>
                            <m:r>
                              <m:rPr>
                                <m:nor/>
                              </m:rPr>
                              <w:rPr>
                                <w:rFonts w:ascii="Cambria Math" w:hAnsi="Cambria Math"/>
                                <w:sz w:val="20"/>
                                <w:szCs w:val="20"/>
                              </w:rPr>
                              <m:t>×</m:t>
                            </m:r>
                          </m:e>
                          <m:e>
                            <m:r>
                              <m:rPr>
                                <m:nor/>
                              </m:rPr>
                              <w:rPr>
                                <w:rFonts w:ascii="Cambria Math" w:hAnsi="Cambria Math"/>
                                <w:sz w:val="20"/>
                                <w:szCs w:val="20"/>
                              </w:rPr>
                              <m:t xml:space="preserve">650 </m:t>
                            </m:r>
                            <m:ctrlPr>
                              <w:rPr>
                                <w:rFonts w:ascii="Cambria Math" w:eastAsia="Cambria Math" w:hAnsi="Cambria Math" w:cs="Cambria Math"/>
                                <w:sz w:val="20"/>
                                <w:szCs w:val="20"/>
                              </w:rPr>
                            </m:ctrlPr>
                          </m:e>
                          <m:e>
                            <m:r>
                              <m:rPr>
                                <m:nor/>
                              </m:rPr>
                              <w:rPr>
                                <w:rFonts w:ascii="Cambria Math" w:hAnsi="Cambria Math"/>
                                <w:sz w:val="20"/>
                                <w:szCs w:val="20"/>
                              </w:rPr>
                              <m:t xml:space="preserve">students </m:t>
                            </m:r>
                          </m:e>
                        </m:eqArr>
                      </m:e>
                    </m:d>
                    <m:r>
                      <m:rPr>
                        <m:nor/>
                      </m:rPr>
                      <w:rPr>
                        <w:rFonts w:ascii="Cambria Math" w:hAnsi="Cambria Math"/>
                        <w:sz w:val="20"/>
                        <w:szCs w:val="20"/>
                      </w:rPr>
                      <m:t>+</m:t>
                    </m:r>
                    <m:d>
                      <m:dPr>
                        <m:ctrlPr>
                          <w:rPr>
                            <w:rFonts w:ascii="Cambria Math" w:hAnsi="Cambria Math"/>
                            <w:sz w:val="20"/>
                            <w:szCs w:val="20"/>
                          </w:rPr>
                        </m:ctrlPr>
                      </m:dPr>
                      <m:e>
                        <m:eqArr>
                          <m:eqArrPr>
                            <m:ctrlPr>
                              <w:rPr>
                                <w:rFonts w:ascii="Cambria Math" w:hAnsi="Cambria Math"/>
                                <w:iCs/>
                                <w:sz w:val="20"/>
                                <w:szCs w:val="20"/>
                              </w:rPr>
                            </m:ctrlPr>
                          </m:eqArrPr>
                          <m:e>
                            <m:r>
                              <m:rPr>
                                <m:nor/>
                              </m:rPr>
                              <w:rPr>
                                <w:rFonts w:ascii="Cambria Math" w:eastAsia="Cambria Math" w:hAnsi="Cambria Math"/>
                                <w:sz w:val="20"/>
                                <w:szCs w:val="20"/>
                              </w:rPr>
                              <m:t xml:space="preserve"> 0.06%</m:t>
                            </m:r>
                            <m:ctrlPr>
                              <w:rPr>
                                <w:rFonts w:ascii="Cambria Math" w:eastAsia="Cambria Math" w:hAnsi="Cambria Math"/>
                                <w:iCs/>
                                <w:sz w:val="20"/>
                                <w:szCs w:val="20"/>
                              </w:rPr>
                            </m:ctrlPr>
                          </m:e>
                          <m:e>
                            <m:r>
                              <m:rPr>
                                <m:nor/>
                              </m:rPr>
                              <w:rPr>
                                <w:rFonts w:ascii="Cambria Math" w:hAnsi="Cambria Math"/>
                                <w:sz w:val="20"/>
                                <w:szCs w:val="20"/>
                              </w:rPr>
                              <m:t>×</m:t>
                            </m:r>
                          </m:e>
                          <m:e>
                            <m:r>
                              <m:rPr>
                                <m:nor/>
                              </m:rPr>
                              <w:rPr>
                                <w:rFonts w:ascii="Cambria Math" w:hAnsi="Cambria Math"/>
                                <w:sz w:val="20"/>
                                <w:szCs w:val="20"/>
                              </w:rPr>
                              <m:t>$10 million</m:t>
                            </m:r>
                            <m:ctrlPr>
                              <w:rPr>
                                <w:rFonts w:ascii="Cambria Math" w:eastAsia="Cambria Math" w:hAnsi="Cambria Math" w:cs="Cambria Math"/>
                                <w:sz w:val="20"/>
                                <w:szCs w:val="20"/>
                              </w:rPr>
                            </m:ctrlPr>
                          </m:e>
                          <m:e>
                            <m:r>
                              <m:rPr>
                                <m:nor/>
                              </m:rPr>
                              <w:rPr>
                                <w:rFonts w:ascii="Cambria Math" w:hAnsi="Cambria Math"/>
                                <w:sz w:val="20"/>
                                <w:szCs w:val="20"/>
                              </w:rPr>
                              <m:t>HELP loan</m:t>
                            </m:r>
                            <m:ctrlPr>
                              <w:rPr>
                                <w:rFonts w:ascii="Cambria Math" w:eastAsia="Cambria Math" w:hAnsi="Cambria Math" w:cs="Cambria Math"/>
                                <w:sz w:val="20"/>
                                <w:szCs w:val="20"/>
                              </w:rPr>
                            </m:ctrlPr>
                          </m:e>
                          <m:e>
                            <m:r>
                              <m:rPr>
                                <m:nor/>
                              </m:rPr>
                              <w:rPr>
                                <w:rFonts w:ascii="Cambria Math" w:hAnsi="Cambria Math"/>
                                <w:sz w:val="20"/>
                                <w:szCs w:val="20"/>
                              </w:rPr>
                              <m:t>amount</m:t>
                            </m:r>
                          </m:e>
                        </m:eqArr>
                      </m:e>
                    </m:d>
                  </m:e>
                </m:d>
                <m:r>
                  <m:rPr>
                    <m:nor/>
                  </m:rPr>
                  <w:rPr>
                    <w:rFonts w:ascii="Cambria Math" w:hAnsi="Cambria Math"/>
                    <w:sz w:val="20"/>
                    <w:szCs w:val="20"/>
                  </w:rPr>
                  <m:t>×</m:t>
                </m:r>
                <m:d>
                  <m:dPr>
                    <m:ctrlPr>
                      <w:rPr>
                        <w:rFonts w:ascii="Cambria Math" w:hAnsi="Cambria Math"/>
                        <w:i/>
                        <w:sz w:val="20"/>
                        <w:szCs w:val="20"/>
                      </w:rPr>
                    </m:ctrlPr>
                  </m:dPr>
                  <m:e>
                    <m:eqArr>
                      <m:eqArrPr>
                        <m:ctrlPr>
                          <w:rPr>
                            <w:rFonts w:ascii="Cambria Math" w:hAnsi="Cambria Math"/>
                            <w:iCs/>
                            <w:sz w:val="20"/>
                            <w:szCs w:val="20"/>
                          </w:rPr>
                        </m:ctrlPr>
                      </m:eqArrPr>
                      <m:e>
                        <m:r>
                          <m:rPr>
                            <m:nor/>
                          </m:rPr>
                          <w:rPr>
                            <w:rFonts w:ascii="Cambria Math" w:hAnsi="Cambria Math"/>
                            <w:iCs/>
                            <w:sz w:val="20"/>
                            <w:szCs w:val="20"/>
                          </w:rPr>
                          <m:t>Financial Strength value = 1.0</m:t>
                        </m:r>
                      </m:e>
                      <m:e>
                        <m:r>
                          <m:rPr>
                            <m:nor/>
                          </m:rPr>
                          <w:rPr>
                            <w:rFonts w:ascii="Cambria Math" w:hAnsi="Cambria Math"/>
                            <w:sz w:val="20"/>
                            <w:szCs w:val="20"/>
                          </w:rPr>
                          <m:t>Completion Rate value = 1.0</m:t>
                        </m:r>
                        <m:ctrlPr>
                          <w:rPr>
                            <w:rFonts w:ascii="Cambria Math" w:eastAsia="Cambria Math" w:hAnsi="Cambria Math" w:cs="Cambria Math"/>
                            <w:sz w:val="20"/>
                            <w:szCs w:val="20"/>
                          </w:rPr>
                        </m:ctrlPr>
                      </m:e>
                      <m:e>
                        <m:r>
                          <m:rPr>
                            <m:nor/>
                          </m:rPr>
                          <w:rPr>
                            <w:rFonts w:ascii="Cambria Math" w:eastAsia="Cambria Math" w:hAnsi="Cambria Math" w:cs="Cambria Math"/>
                            <w:sz w:val="20"/>
                            <w:szCs w:val="20"/>
                          </w:rPr>
                          <m:t>Non-compliance history value=0.0</m:t>
                        </m:r>
                        <m:ctrlPr>
                          <w:rPr>
                            <w:rFonts w:ascii="Cambria Math" w:eastAsia="Cambria Math" w:hAnsi="Cambria Math" w:cs="Cambria Math"/>
                            <w:sz w:val="20"/>
                            <w:szCs w:val="20"/>
                          </w:rPr>
                        </m:ctrlPr>
                      </m:e>
                      <m:e>
                        <m:r>
                          <m:rPr>
                            <m:nor/>
                          </m:rPr>
                          <w:rPr>
                            <w:rFonts w:ascii="Cambria Math" w:eastAsia="Cambria Math" w:hAnsi="Cambria Math" w:cs="Cambria Math"/>
                            <w:sz w:val="20"/>
                            <w:szCs w:val="20"/>
                          </w:rPr>
                          <m:t>Registration renewal value=0.0</m:t>
                        </m:r>
                        <m:ctrlPr>
                          <w:rPr>
                            <w:rFonts w:ascii="Cambria Math" w:eastAsia="Cambria Math" w:hAnsi="Cambria Math" w:cs="Cambria Math"/>
                            <w:sz w:val="20"/>
                            <w:szCs w:val="20"/>
                          </w:rPr>
                        </m:ctrlPr>
                      </m:e>
                      <m:e>
                        <m:r>
                          <m:rPr>
                            <m:nor/>
                          </m:rPr>
                          <w:rPr>
                            <w:rFonts w:ascii="Cambria Math" w:hAnsi="Cambria Math"/>
                            <w:sz w:val="20"/>
                            <w:szCs w:val="20"/>
                          </w:rPr>
                          <m:t>+1</m:t>
                        </m:r>
                        <m:ctrlPr>
                          <w:rPr>
                            <w:rFonts w:ascii="Cambria Math" w:hAnsi="Cambria Math"/>
                            <w:sz w:val="20"/>
                            <w:szCs w:val="20"/>
                          </w:rPr>
                        </m:ctrlPr>
                      </m:e>
                    </m:eqArr>
                  </m:e>
                </m:d>
              </m:oMath>
            </m:oMathPara>
          </w:p>
          <w:p w14:paraId="7065E968" w14:textId="77777777" w:rsidR="00337013" w:rsidRPr="00FA7EF4" w:rsidRDefault="00337013" w:rsidP="002A1760">
            <w:pPr>
              <w:pStyle w:val="Tablecontents"/>
            </w:pPr>
          </w:p>
          <w:p w14:paraId="10B824E2" w14:textId="2788F9F9" w:rsidR="00337013" w:rsidRPr="00FA7EF4" w:rsidRDefault="00337013" w:rsidP="002A1760">
            <w:pPr>
              <w:pStyle w:val="Tablecontents"/>
            </w:pPr>
            <w:r w:rsidRPr="00FA7EF4">
              <w:t>Therefore R = ($3,900 + $6</w:t>
            </w:r>
            <w:r w:rsidR="001C51AA" w:rsidRPr="00FA7EF4">
              <w:t>,</w:t>
            </w:r>
            <w:r w:rsidRPr="00FA7EF4">
              <w:t xml:space="preserve">000) x </w:t>
            </w:r>
            <w:r w:rsidR="00EF3C42" w:rsidRPr="00FA7EF4">
              <w:t>3</w:t>
            </w:r>
            <w:r w:rsidRPr="00FA7EF4">
              <w:t>.0</w:t>
            </w:r>
          </w:p>
          <w:p w14:paraId="0146DFEC" w14:textId="2AB715ED" w:rsidR="00337013" w:rsidRPr="00FA7EF4" w:rsidRDefault="00337013" w:rsidP="002A1760">
            <w:pPr>
              <w:pStyle w:val="Tablecontents"/>
            </w:pPr>
            <w:r w:rsidRPr="00FA7EF4">
              <w:t xml:space="preserve">R = </w:t>
            </w:r>
            <w:r w:rsidRPr="002A1760">
              <w:rPr>
                <w:b/>
                <w:bCs/>
              </w:rPr>
              <w:t>$</w:t>
            </w:r>
            <w:r w:rsidR="00F514B7" w:rsidRPr="002A1760">
              <w:rPr>
                <w:b/>
                <w:bCs/>
              </w:rPr>
              <w:t>29,700</w:t>
            </w:r>
            <w:r w:rsidR="001B0DD0" w:rsidRPr="002A1760">
              <w:rPr>
                <w:b/>
                <w:bCs/>
              </w:rPr>
              <w:t>.00</w:t>
            </w:r>
          </w:p>
        </w:tc>
      </w:tr>
      <w:tr w:rsidR="00337013" w:rsidRPr="000A7B92" w14:paraId="3A53974B" w14:textId="77777777" w:rsidTr="00CF7B5B">
        <w:trPr>
          <w:trHeight w:val="702"/>
        </w:trPr>
        <w:tc>
          <w:tcPr>
            <w:tcW w:w="1269" w:type="pct"/>
            <w:shd w:val="clear" w:color="auto" w:fill="D8EBEE"/>
            <w:vAlign w:val="center"/>
            <w:hideMark/>
          </w:tcPr>
          <w:p w14:paraId="520B90C8" w14:textId="6A2C2240" w:rsidR="00337013" w:rsidRPr="002A1760" w:rsidRDefault="00337013" w:rsidP="002A1760">
            <w:pPr>
              <w:pStyle w:val="Tablecontents"/>
              <w:rPr>
                <w:b/>
                <w:bCs/>
              </w:rPr>
            </w:pPr>
            <w:r w:rsidRPr="002A1760">
              <w:rPr>
                <w:b/>
                <w:bCs/>
              </w:rPr>
              <w:t xml:space="preserve">(S) Special </w:t>
            </w:r>
            <w:r w:rsidR="005516BA" w:rsidRPr="002A1760">
              <w:rPr>
                <w:b/>
                <w:bCs/>
              </w:rPr>
              <w:t>T</w:t>
            </w:r>
            <w:r w:rsidRPr="002A1760">
              <w:rPr>
                <w:b/>
                <w:bCs/>
              </w:rPr>
              <w:t xml:space="preserve">uition </w:t>
            </w:r>
            <w:r w:rsidR="005516BA" w:rsidRPr="002A1760">
              <w:rPr>
                <w:b/>
                <w:bCs/>
              </w:rPr>
              <w:t>P</w:t>
            </w:r>
            <w:r w:rsidRPr="002A1760">
              <w:rPr>
                <w:b/>
                <w:bCs/>
              </w:rPr>
              <w:t>rotection</w:t>
            </w:r>
          </w:p>
        </w:tc>
        <w:tc>
          <w:tcPr>
            <w:tcW w:w="3731" w:type="pct"/>
            <w:shd w:val="clear" w:color="auto" w:fill="D8EBEE"/>
            <w:vAlign w:val="center"/>
            <w:hideMark/>
          </w:tcPr>
          <w:p w14:paraId="20BE29BA" w14:textId="410C3C3E" w:rsidR="00337013" w:rsidRPr="00FA7EF4" w:rsidRDefault="00337013" w:rsidP="002A1760">
            <w:pPr>
              <w:pStyle w:val="Tablecontents"/>
            </w:pPr>
            <w:r w:rsidRPr="00FA7EF4">
              <w:t xml:space="preserve">0.10% </w:t>
            </w:r>
            <w:r w:rsidR="007B28FC">
              <w:t xml:space="preserve">x $10m (HELP loan amount in 2024) </w:t>
            </w:r>
            <w:r w:rsidRPr="00FA7EF4">
              <w:t xml:space="preserve">= </w:t>
            </w:r>
            <w:r w:rsidRPr="002A1760">
              <w:rPr>
                <w:b/>
                <w:bCs/>
              </w:rPr>
              <w:t>$10,000</w:t>
            </w:r>
            <w:r w:rsidR="001B0DD0" w:rsidRPr="002A1760">
              <w:rPr>
                <w:b/>
                <w:bCs/>
              </w:rPr>
              <w:t>.00</w:t>
            </w:r>
          </w:p>
        </w:tc>
      </w:tr>
      <w:tr w:rsidR="00337013" w:rsidRPr="000A7B92" w14:paraId="10CA9864" w14:textId="77777777" w:rsidTr="00CF7B5B">
        <w:trPr>
          <w:trHeight w:val="698"/>
        </w:trPr>
        <w:tc>
          <w:tcPr>
            <w:tcW w:w="1269" w:type="pct"/>
            <w:vAlign w:val="center"/>
            <w:hideMark/>
          </w:tcPr>
          <w:p w14:paraId="608D8F3E" w14:textId="4B907A30" w:rsidR="00337013" w:rsidRPr="002A1760" w:rsidRDefault="00337013" w:rsidP="002A1760">
            <w:pPr>
              <w:pStyle w:val="Tablecontents"/>
              <w:rPr>
                <w:b/>
                <w:bCs/>
              </w:rPr>
            </w:pPr>
            <w:r w:rsidRPr="002A1760">
              <w:rPr>
                <w:b/>
                <w:bCs/>
              </w:rPr>
              <w:t>Total 202</w:t>
            </w:r>
            <w:r w:rsidR="003C25FE" w:rsidRPr="002A1760">
              <w:rPr>
                <w:b/>
                <w:bCs/>
              </w:rPr>
              <w:t>5</w:t>
            </w:r>
            <w:r w:rsidRPr="002A1760">
              <w:rPr>
                <w:b/>
                <w:bCs/>
              </w:rPr>
              <w:t xml:space="preserve"> HELP Levy</w:t>
            </w:r>
          </w:p>
          <w:p w14:paraId="33DFE01A" w14:textId="31BD1FC1" w:rsidR="00337013" w:rsidRPr="002A1760" w:rsidRDefault="00337013" w:rsidP="002A1760">
            <w:pPr>
              <w:pStyle w:val="Tablecontents"/>
              <w:rPr>
                <w:b/>
                <w:bCs/>
              </w:rPr>
            </w:pPr>
            <w:r w:rsidRPr="002A1760">
              <w:rPr>
                <w:b/>
                <w:bCs/>
              </w:rPr>
              <w:t>A + R + S</w:t>
            </w:r>
          </w:p>
        </w:tc>
        <w:tc>
          <w:tcPr>
            <w:tcW w:w="3731" w:type="pct"/>
            <w:vAlign w:val="center"/>
            <w:hideMark/>
          </w:tcPr>
          <w:p w14:paraId="2EA526B4" w14:textId="5ADE7ECE" w:rsidR="00337013" w:rsidRPr="000A7B92" w:rsidRDefault="00337013" w:rsidP="002A1760">
            <w:pPr>
              <w:pStyle w:val="Tablecontents"/>
            </w:pPr>
            <w:r w:rsidRPr="000A7B92">
              <w:t>$</w:t>
            </w:r>
            <w:r w:rsidR="002F57E4">
              <w:t>7,052.</w:t>
            </w:r>
            <w:r w:rsidR="002F57E4" w:rsidRPr="000A4021">
              <w:t>50</w:t>
            </w:r>
            <w:r w:rsidRPr="000A4021">
              <w:t xml:space="preserve"> + $</w:t>
            </w:r>
            <w:r w:rsidR="00F514B7" w:rsidRPr="000A4021">
              <w:t>29,700</w:t>
            </w:r>
            <w:r w:rsidRPr="000A4021">
              <w:t xml:space="preserve"> + $10,000 = </w:t>
            </w:r>
            <w:r w:rsidRPr="002A1760">
              <w:rPr>
                <w:b/>
                <w:bCs/>
              </w:rPr>
              <w:t>$</w:t>
            </w:r>
            <w:r w:rsidR="00600695" w:rsidRPr="002A1760">
              <w:rPr>
                <w:b/>
                <w:bCs/>
              </w:rPr>
              <w:t>46,</w:t>
            </w:r>
            <w:r w:rsidR="000A4021" w:rsidRPr="002A1760">
              <w:rPr>
                <w:b/>
                <w:bCs/>
              </w:rPr>
              <w:t>752.50</w:t>
            </w:r>
          </w:p>
        </w:tc>
      </w:tr>
    </w:tbl>
    <w:p w14:paraId="17053E1D" w14:textId="77777777" w:rsidR="000A5E6B" w:rsidRPr="000A5E6B" w:rsidRDefault="000A5E6B" w:rsidP="002A1760"/>
    <w:sectPr w:rsidR="000A5E6B" w:rsidRPr="000A5E6B" w:rsidSect="000B3317">
      <w:type w:val="continuous"/>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7231" w14:textId="77777777" w:rsidR="00A20B7E" w:rsidRDefault="00A20B7E" w:rsidP="007E7F41">
      <w:pPr>
        <w:spacing w:after="0" w:line="240" w:lineRule="auto"/>
      </w:pPr>
      <w:r>
        <w:separator/>
      </w:r>
    </w:p>
  </w:endnote>
  <w:endnote w:type="continuationSeparator" w:id="0">
    <w:p w14:paraId="4C7102FE" w14:textId="77777777" w:rsidR="00A20B7E" w:rsidRDefault="00A20B7E" w:rsidP="007E7F41">
      <w:pPr>
        <w:spacing w:after="0" w:line="240" w:lineRule="auto"/>
      </w:pPr>
      <w:r>
        <w:continuationSeparator/>
      </w:r>
    </w:p>
  </w:endnote>
  <w:endnote w:type="continuationNotice" w:id="1">
    <w:p w14:paraId="7DD9BA26" w14:textId="77777777" w:rsidR="00A20B7E" w:rsidRDefault="00A2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4ED0" w14:textId="02CDBBED" w:rsidR="008E6FB8" w:rsidRPr="005D3E2A" w:rsidRDefault="005D3E2A" w:rsidP="005D3E2A">
    <w:pPr>
      <w:pStyle w:val="Footer"/>
      <w:jc w:val="right"/>
      <w:rPr>
        <w:sz w:val="20"/>
        <w:szCs w:val="20"/>
      </w:rPr>
    </w:pPr>
    <w:r w:rsidRPr="005D3E2A">
      <w:rPr>
        <w:sz w:val="20"/>
        <w:szCs w:val="20"/>
      </w:rPr>
      <w:t xml:space="preserve">2025 Higher Education Loan Program (HELP) Tuition Protection Levy Calculation Guidelines | </w:t>
    </w:r>
    <w:sdt>
      <w:sdtPr>
        <w:rPr>
          <w:sz w:val="20"/>
          <w:szCs w:val="20"/>
        </w:rPr>
        <w:id w:val="-2075347703"/>
        <w:docPartObj>
          <w:docPartGallery w:val="Page Numbers (Bottom of Page)"/>
          <w:docPartUnique/>
        </w:docPartObj>
      </w:sdtPr>
      <w:sdtEndPr>
        <w:rPr>
          <w:noProof/>
        </w:rPr>
      </w:sdtEndPr>
      <w:sdtContent>
        <w:r w:rsidRPr="005D3E2A">
          <w:rPr>
            <w:sz w:val="20"/>
            <w:szCs w:val="20"/>
          </w:rPr>
          <w:fldChar w:fldCharType="begin"/>
        </w:r>
        <w:r w:rsidRPr="005D3E2A">
          <w:rPr>
            <w:sz w:val="20"/>
            <w:szCs w:val="20"/>
          </w:rPr>
          <w:instrText xml:space="preserve"> PAGE   \* MERGEFORMAT </w:instrText>
        </w:r>
        <w:r w:rsidRPr="005D3E2A">
          <w:rPr>
            <w:sz w:val="20"/>
            <w:szCs w:val="20"/>
          </w:rPr>
          <w:fldChar w:fldCharType="separate"/>
        </w:r>
        <w:r>
          <w:rPr>
            <w:sz w:val="20"/>
            <w:szCs w:val="20"/>
          </w:rPr>
          <w:t>1</w:t>
        </w:r>
        <w:r w:rsidRPr="005D3E2A">
          <w:rPr>
            <w:noProof/>
            <w:sz w:val="20"/>
            <w:szCs w:val="20"/>
          </w:rPr>
          <w:fldChar w:fldCharType="end"/>
        </w:r>
      </w:sdtContent>
    </w:sdt>
    <w:r w:rsidRPr="005D3E2A">
      <w:rPr>
        <w:noProof/>
      </w:rPr>
      <mc:AlternateContent>
        <mc:Choice Requires="wps">
          <w:drawing>
            <wp:anchor distT="0" distB="0" distL="114300" distR="114300" simplePos="0" relativeHeight="251658241" behindDoc="0" locked="0" layoutInCell="1" allowOverlap="1" wp14:anchorId="2F7123D2" wp14:editId="2278071B">
              <wp:simplePos x="0" y="0"/>
              <wp:positionH relativeFrom="page">
                <wp:align>left</wp:align>
              </wp:positionH>
              <wp:positionV relativeFrom="page">
                <wp:align>bottom</wp:align>
              </wp:positionV>
              <wp:extent cx="10692000" cy="198000"/>
              <wp:effectExtent l="0" t="0" r="0" b="0"/>
              <wp:wrapNone/>
              <wp:docPr id="42833860" name="Rectangle 428338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494FD" id="Rectangle 42833860" o:spid="_x0000_s1026" alt="&quot;&quot;" style="position:absolute;margin-left:0;margin-top:0;width:841.9pt;height:15.6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kKegIAAGAFAAAOAAAAZHJzL2Uyb0RvYy54bWysVE1v2zAMvQ/YfxB0XxwH6UeCOkXQIsOA&#10;oi3WDj0rshQbkEWNUuJkv36U7DhdW+ww7GJTIvlIPpG8ut43hu0U+hpswfPRmDNlJZS13RT8x/Pq&#10;yyVnPghbCgNWFfygPL9efP501bq5mkAFplTICMT6eesKXoXg5lnmZaUa4UfglCWlBmxEoCNushJF&#10;S+iNySbj8XnWApYOQSrv6fa2U/JFwtdayfCgtVeBmYJTbiF9MX3X8ZstrsR8g8JVtezTEP+QRSNq&#10;S0EHqFsRBNti/Q6qqSWCBx1GEpoMtK6lSjVQNfn4TTVPlXAq1ULkeDfQ5P8frLzfPblHJBpa5+ee&#10;xFjFXmMT/5Qf2yeyDgNZah+YpMt8fD6jFyBSJSnz2WWUCSc7uTv04auChkWh4EivkUgSuzsfOtOj&#10;SYzmwdTlqjYmHXCzvjHIdoJebjqbXSwnPfofZsZGYwvRrUOMN9mpmCSFg1HRztjvSrO6pPQnKZPU&#10;Z2qII6RUNuSdqhKl6sKfUWnH2gaPVGkCjMia4g/YPUDs4ffYXZa9fXRVqU0H5/HfEuucB48UGWwY&#10;nJvaAn4EYKiqPnJnfySpoyaytIby8IgMoRsS7+Sqpne7Ez48CqSpoKemSQ8P9NEG2oJDL3FWAf76&#10;6D7aU7OSlrOWpqzg/udWoOLMfLPUxrN8Oo1jmQ7Ts4sJHfC1Zv1aY7fNDVA75LRTnExitA/mKGqE&#10;5oUWwjJGJZWwkmIXXAY8Hm5CN/20UqRaLpMZjaIT4c4+ORnBI6uxL5/3LwJd37yB+v4ejhMp5m96&#10;uLONnhaW2wC6Tg1+4rXnm8Y4NU6/cuKeeH1OVqfFuPgNAAD//wMAUEsDBBQABgAIAAAAIQC8xT80&#10;3gAAAAUBAAAPAAAAZHJzL2Rvd25yZXYueG1sTI9BS8NAEIXvgv9hGcGL2E1aKDVmU6ogogjFKhRv&#10;0+yYhO7Oht1NG/31br3o5cHwhve+Vy5Ha8SBfOgcK8gnGQji2umOGwXvbw/XCxAhIms0jknBFwVY&#10;VudnJRbaHfmVDpvYiBTCoUAFbYx9IWWoW7IYJq4nTt6n8xZjOn0jtcdjCrdGTrNsLi12nBpa7Om+&#10;pXq/GayClztamfV2bz6ucv90s+2H58fvQanLi3F1CyLSGP+e4YSf0KFKTDs3sA7CKEhD4q+evPli&#10;lnbsFMzyKciqlP/pqx8AAAD//wMAUEsBAi0AFAAGAAgAAAAhALaDOJL+AAAA4QEAABMAAAAAAAAA&#10;AAAAAAAAAAAAAFtDb250ZW50X1R5cGVzXS54bWxQSwECLQAUAAYACAAAACEAOP0h/9YAAACUAQAA&#10;CwAAAAAAAAAAAAAAAAAvAQAAX3JlbHMvLnJlbHNQSwECLQAUAAYACAAAACEAgV7ZCnoCAABgBQAA&#10;DgAAAAAAAAAAAAAAAAAuAgAAZHJzL2Uyb0RvYy54bWxQSwECLQAUAAYACAAAACEAvMU/NN4AAAAF&#10;AQAADwAAAAAAAAAAAAAAAADUBAAAZHJzL2Rvd25yZXYueG1sUEsFBgAAAAAEAAQA8wAAAN8FAAAA&#10;AA==&#10;" fillcolor="#4997a2"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18A5" w14:textId="111424B8" w:rsidR="00F46E81" w:rsidRPr="005D3E2A" w:rsidRDefault="005D3E2A" w:rsidP="005D3E2A">
    <w:pPr>
      <w:pStyle w:val="Footer"/>
      <w:jc w:val="right"/>
      <w:rPr>
        <w:sz w:val="20"/>
        <w:szCs w:val="20"/>
      </w:rPr>
    </w:pPr>
    <w:r w:rsidRPr="005D3E2A">
      <w:rPr>
        <w:sz w:val="20"/>
        <w:szCs w:val="20"/>
      </w:rPr>
      <w:t xml:space="preserve">2025 Higher Education Loan Program (HELP) Tuition Protection Levy Calculation Guidelines | </w:t>
    </w:r>
    <w:sdt>
      <w:sdtPr>
        <w:rPr>
          <w:sz w:val="20"/>
          <w:szCs w:val="20"/>
        </w:rPr>
        <w:id w:val="1330094321"/>
        <w:docPartObj>
          <w:docPartGallery w:val="Page Numbers (Bottom of Page)"/>
          <w:docPartUnique/>
        </w:docPartObj>
      </w:sdtPr>
      <w:sdtEndPr>
        <w:rPr>
          <w:noProof/>
        </w:rPr>
      </w:sdtEndPr>
      <w:sdtContent>
        <w:r w:rsidRPr="005D3E2A">
          <w:rPr>
            <w:sz w:val="20"/>
            <w:szCs w:val="20"/>
          </w:rPr>
          <w:fldChar w:fldCharType="begin"/>
        </w:r>
        <w:r w:rsidRPr="005D3E2A">
          <w:rPr>
            <w:sz w:val="20"/>
            <w:szCs w:val="20"/>
          </w:rPr>
          <w:instrText xml:space="preserve"> PAGE   \* MERGEFORMAT </w:instrText>
        </w:r>
        <w:r w:rsidRPr="005D3E2A">
          <w:rPr>
            <w:sz w:val="20"/>
            <w:szCs w:val="20"/>
          </w:rPr>
          <w:fldChar w:fldCharType="separate"/>
        </w:r>
        <w:r w:rsidRPr="005D3E2A">
          <w:rPr>
            <w:sz w:val="20"/>
            <w:szCs w:val="20"/>
          </w:rPr>
          <w:t>1</w:t>
        </w:r>
        <w:r w:rsidRPr="005D3E2A">
          <w:rPr>
            <w:noProof/>
            <w:sz w:val="20"/>
            <w:szCs w:val="20"/>
          </w:rPr>
          <w:fldChar w:fldCharType="end"/>
        </w:r>
      </w:sdtContent>
    </w:sdt>
    <w:r w:rsidRPr="005D3E2A">
      <w:rPr>
        <w:noProof/>
      </w:rPr>
      <mc:AlternateContent>
        <mc:Choice Requires="wps">
          <w:drawing>
            <wp:anchor distT="0" distB="0" distL="114300" distR="114300" simplePos="0" relativeHeight="251658240" behindDoc="0" locked="0" layoutInCell="1" allowOverlap="1" wp14:anchorId="5AC140C7" wp14:editId="42DEF13A">
              <wp:simplePos x="0" y="0"/>
              <wp:positionH relativeFrom="page">
                <wp:align>left</wp:align>
              </wp:positionH>
              <wp:positionV relativeFrom="page">
                <wp:align>bottom</wp:align>
              </wp:positionV>
              <wp:extent cx="10692000" cy="198000"/>
              <wp:effectExtent l="0" t="0" r="0" b="0"/>
              <wp:wrapNone/>
              <wp:docPr id="927478678" name="Rectangle 9274786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B94CB" id="Rectangle 927478678" o:spid="_x0000_s1026" alt="&quot;&quot;" style="position:absolute;margin-left:0;margin-top:0;width:841.9pt;height:15.6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kKegIAAGAFAAAOAAAAZHJzL2Uyb0RvYy54bWysVE1v2zAMvQ/YfxB0XxwH6UeCOkXQIsOA&#10;oi3WDj0rshQbkEWNUuJkv36U7DhdW+ww7GJTIvlIPpG8ut43hu0U+hpswfPRmDNlJZS13RT8x/Pq&#10;yyVnPghbCgNWFfygPL9efP501bq5mkAFplTICMT6eesKXoXg5lnmZaUa4UfglCWlBmxEoCNushJF&#10;S+iNySbj8XnWApYOQSrv6fa2U/JFwtdayfCgtVeBmYJTbiF9MX3X8ZstrsR8g8JVtezTEP+QRSNq&#10;S0EHqFsRBNti/Q6qqSWCBx1GEpoMtK6lSjVQNfn4TTVPlXAq1ULkeDfQ5P8frLzfPblHJBpa5+ee&#10;xFjFXmMT/5Qf2yeyDgNZah+YpMt8fD6jFyBSJSnz2WWUCSc7uTv04auChkWh4EivkUgSuzsfOtOj&#10;SYzmwdTlqjYmHXCzvjHIdoJebjqbXSwnPfofZsZGYwvRrUOMN9mpmCSFg1HRztjvSrO6pPQnKZPU&#10;Z2qII6RUNuSdqhKl6sKfUWnH2gaPVGkCjMia4g/YPUDs4ffYXZa9fXRVqU0H5/HfEuucB48UGWwY&#10;nJvaAn4EYKiqPnJnfySpoyaytIby8IgMoRsS7+Sqpne7Ez48CqSpoKemSQ8P9NEG2oJDL3FWAf76&#10;6D7aU7OSlrOWpqzg/udWoOLMfLPUxrN8Oo1jmQ7Ts4sJHfC1Zv1aY7fNDVA75LRTnExitA/mKGqE&#10;5oUWwjJGJZWwkmIXXAY8Hm5CN/20UqRaLpMZjaIT4c4+ORnBI6uxL5/3LwJd37yB+v4ejhMp5m96&#10;uLONnhaW2wC6Tg1+4rXnm8Y4NU6/cuKeeH1OVqfFuPgNAAD//wMAUEsDBBQABgAIAAAAIQC8xT80&#10;3gAAAAUBAAAPAAAAZHJzL2Rvd25yZXYueG1sTI9BS8NAEIXvgv9hGcGL2E1aKDVmU6ogogjFKhRv&#10;0+yYhO7Oht1NG/31br3o5cHwhve+Vy5Ha8SBfOgcK8gnGQji2umOGwXvbw/XCxAhIms0jknBFwVY&#10;VudnJRbaHfmVDpvYiBTCoUAFbYx9IWWoW7IYJq4nTt6n8xZjOn0jtcdjCrdGTrNsLi12nBpa7Om+&#10;pXq/GayClztamfV2bz6ucv90s+2H58fvQanLi3F1CyLSGP+e4YSf0KFKTDs3sA7CKEhD4q+evPli&#10;lnbsFMzyKciqlP/pqx8AAAD//wMAUEsBAi0AFAAGAAgAAAAhALaDOJL+AAAA4QEAABMAAAAAAAAA&#10;AAAAAAAAAAAAAFtDb250ZW50X1R5cGVzXS54bWxQSwECLQAUAAYACAAAACEAOP0h/9YAAACUAQAA&#10;CwAAAAAAAAAAAAAAAAAvAQAAX3JlbHMvLnJlbHNQSwECLQAUAAYACAAAACEAgV7ZCnoCAABgBQAA&#10;DgAAAAAAAAAAAAAAAAAuAgAAZHJzL2Uyb0RvYy54bWxQSwECLQAUAAYACAAAACEAvMU/NN4AAAAF&#10;AQAADwAAAAAAAAAAAAAAAADUBAAAZHJzL2Rvd25yZXYueG1sUEsFBgAAAAAEAAQA8wAAAN8FAAAA&#10;AA==&#10;" fillcolor="#4997a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5AAC" w14:textId="77777777" w:rsidR="00A20B7E" w:rsidRDefault="00A20B7E" w:rsidP="007E7F41">
      <w:pPr>
        <w:spacing w:after="0" w:line="240" w:lineRule="auto"/>
      </w:pPr>
      <w:r>
        <w:separator/>
      </w:r>
    </w:p>
  </w:footnote>
  <w:footnote w:type="continuationSeparator" w:id="0">
    <w:p w14:paraId="231883F4" w14:textId="77777777" w:rsidR="00A20B7E" w:rsidRDefault="00A20B7E" w:rsidP="007E7F41">
      <w:pPr>
        <w:spacing w:after="0" w:line="240" w:lineRule="auto"/>
      </w:pPr>
      <w:r>
        <w:continuationSeparator/>
      </w:r>
    </w:p>
  </w:footnote>
  <w:footnote w:type="continuationNotice" w:id="1">
    <w:p w14:paraId="3385B739" w14:textId="77777777" w:rsidR="00A20B7E" w:rsidRDefault="00A20B7E">
      <w:pPr>
        <w:spacing w:after="0" w:line="240" w:lineRule="auto"/>
      </w:pPr>
    </w:p>
  </w:footnote>
  <w:footnote w:id="2">
    <w:p w14:paraId="6C0F43D2" w14:textId="62FC1279" w:rsidR="006646FE" w:rsidRDefault="006646FE" w:rsidP="006646FE">
      <w:pPr>
        <w:pStyle w:val="FootnoteText"/>
      </w:pPr>
      <w:r>
        <w:rPr>
          <w:rStyle w:val="FootnoteReference"/>
        </w:rPr>
        <w:footnoteRef/>
      </w:r>
      <w:r>
        <w:t xml:space="preserve"> </w:t>
      </w:r>
      <w:hyperlink r:id="rId1" w:history="1">
        <w:r w:rsidR="005C22C7" w:rsidRPr="00DC21E9">
          <w:rPr>
            <w:rStyle w:val="Hyperlink"/>
          </w:rPr>
          <w:t>www.legislation.gov.au/C2020A00004/latest/text</w:t>
        </w:r>
      </w:hyperlink>
    </w:p>
  </w:footnote>
  <w:footnote w:id="3">
    <w:p w14:paraId="77B7BF04" w14:textId="6120FA28" w:rsidR="00332064" w:rsidRDefault="00332064">
      <w:pPr>
        <w:pStyle w:val="FootnoteText"/>
      </w:pPr>
      <w:r>
        <w:rPr>
          <w:rStyle w:val="FootnoteReference"/>
        </w:rPr>
        <w:footnoteRef/>
      </w:r>
      <w:r>
        <w:t xml:space="preserve"> </w:t>
      </w:r>
      <w:hyperlink r:id="rId2" w:history="1">
        <w:r w:rsidR="00651D82" w:rsidRPr="00DC21E9">
          <w:rPr>
            <w:rStyle w:val="Hyperlink"/>
          </w:rPr>
          <w:t>www.education.gov.au/tps/resources/faqs-unit-completion-rate-risk-factor-calculation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8D6"/>
    <w:multiLevelType w:val="hybridMultilevel"/>
    <w:tmpl w:val="C5BAEB78"/>
    <w:lvl w:ilvl="0" w:tplc="0C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0D43901"/>
    <w:multiLevelType w:val="hybridMultilevel"/>
    <w:tmpl w:val="BEE28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CE695B"/>
    <w:multiLevelType w:val="hybridMultilevel"/>
    <w:tmpl w:val="266C4C1A"/>
    <w:lvl w:ilvl="0" w:tplc="921A64CA">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A250B4"/>
    <w:multiLevelType w:val="hybridMultilevel"/>
    <w:tmpl w:val="3D207AFC"/>
    <w:lvl w:ilvl="0" w:tplc="921A64CA">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5B0E2F"/>
    <w:multiLevelType w:val="hybridMultilevel"/>
    <w:tmpl w:val="3E5CC9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6D7588"/>
    <w:multiLevelType w:val="hybridMultilevel"/>
    <w:tmpl w:val="85BAB02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5AB0DCD"/>
    <w:multiLevelType w:val="hybridMultilevel"/>
    <w:tmpl w:val="8F1C8B7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E04BDB"/>
    <w:multiLevelType w:val="hybridMultilevel"/>
    <w:tmpl w:val="0E52C852"/>
    <w:lvl w:ilvl="0" w:tplc="0C09000F">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DA44CB"/>
    <w:multiLevelType w:val="hybridMultilevel"/>
    <w:tmpl w:val="EB605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A56F52"/>
    <w:multiLevelType w:val="hybridMultilevel"/>
    <w:tmpl w:val="BEE283EE"/>
    <w:lvl w:ilvl="0" w:tplc="FFFFFFFF">
      <w:start w:val="1"/>
      <w:numFmt w:val="decimal"/>
      <w:lvlText w:val="%1."/>
      <w:lvlJc w:val="left"/>
      <w:pPr>
        <w:ind w:left="5436" w:hanging="360"/>
      </w:pPr>
      <w:rPr>
        <w:rFonts w:hint="default"/>
      </w:rPr>
    </w:lvl>
    <w:lvl w:ilvl="1" w:tplc="FFFFFFFF">
      <w:start w:val="1"/>
      <w:numFmt w:val="lowerLetter"/>
      <w:lvlText w:val="%2."/>
      <w:lvlJc w:val="left"/>
      <w:pPr>
        <w:ind w:left="6156" w:hanging="360"/>
      </w:pPr>
    </w:lvl>
    <w:lvl w:ilvl="2" w:tplc="FFFFFFFF">
      <w:start w:val="1"/>
      <w:numFmt w:val="lowerRoman"/>
      <w:lvlText w:val="%3."/>
      <w:lvlJc w:val="right"/>
      <w:pPr>
        <w:ind w:left="6876" w:hanging="180"/>
      </w:pPr>
    </w:lvl>
    <w:lvl w:ilvl="3" w:tplc="FFFFFFFF">
      <w:start w:val="1"/>
      <w:numFmt w:val="decimal"/>
      <w:lvlText w:val="%4."/>
      <w:lvlJc w:val="left"/>
      <w:pPr>
        <w:ind w:left="7596" w:hanging="360"/>
      </w:pPr>
    </w:lvl>
    <w:lvl w:ilvl="4" w:tplc="FFFFFFFF" w:tentative="1">
      <w:start w:val="1"/>
      <w:numFmt w:val="lowerLetter"/>
      <w:lvlText w:val="%5."/>
      <w:lvlJc w:val="left"/>
      <w:pPr>
        <w:ind w:left="8316" w:hanging="360"/>
      </w:pPr>
    </w:lvl>
    <w:lvl w:ilvl="5" w:tplc="FFFFFFFF" w:tentative="1">
      <w:start w:val="1"/>
      <w:numFmt w:val="lowerRoman"/>
      <w:lvlText w:val="%6."/>
      <w:lvlJc w:val="right"/>
      <w:pPr>
        <w:ind w:left="9036" w:hanging="180"/>
      </w:pPr>
    </w:lvl>
    <w:lvl w:ilvl="6" w:tplc="FFFFFFFF" w:tentative="1">
      <w:start w:val="1"/>
      <w:numFmt w:val="decimal"/>
      <w:lvlText w:val="%7."/>
      <w:lvlJc w:val="left"/>
      <w:pPr>
        <w:ind w:left="9756" w:hanging="360"/>
      </w:pPr>
    </w:lvl>
    <w:lvl w:ilvl="7" w:tplc="FFFFFFFF" w:tentative="1">
      <w:start w:val="1"/>
      <w:numFmt w:val="lowerLetter"/>
      <w:lvlText w:val="%8."/>
      <w:lvlJc w:val="left"/>
      <w:pPr>
        <w:ind w:left="10476" w:hanging="360"/>
      </w:pPr>
    </w:lvl>
    <w:lvl w:ilvl="8" w:tplc="FFFFFFFF" w:tentative="1">
      <w:start w:val="1"/>
      <w:numFmt w:val="lowerRoman"/>
      <w:lvlText w:val="%9."/>
      <w:lvlJc w:val="right"/>
      <w:pPr>
        <w:ind w:left="11196" w:hanging="180"/>
      </w:pPr>
    </w:lvl>
  </w:abstractNum>
  <w:abstractNum w:abstractNumId="10" w15:restartNumberingAfterBreak="0">
    <w:nsid w:val="536F06AA"/>
    <w:multiLevelType w:val="hybridMultilevel"/>
    <w:tmpl w:val="AF4E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DE0411"/>
    <w:multiLevelType w:val="hybridMultilevel"/>
    <w:tmpl w:val="75F48760"/>
    <w:lvl w:ilvl="0" w:tplc="D0C6B8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AB93E9C"/>
    <w:multiLevelType w:val="hybridMultilevel"/>
    <w:tmpl w:val="6E3ED6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54434E8"/>
    <w:multiLevelType w:val="hybridMultilevel"/>
    <w:tmpl w:val="702017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AE08F4"/>
    <w:multiLevelType w:val="hybridMultilevel"/>
    <w:tmpl w:val="A2D08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1234510">
    <w:abstractNumId w:val="8"/>
  </w:num>
  <w:num w:numId="2" w16cid:durableId="1187404610">
    <w:abstractNumId w:val="5"/>
  </w:num>
  <w:num w:numId="3" w16cid:durableId="344136024">
    <w:abstractNumId w:val="7"/>
  </w:num>
  <w:num w:numId="4" w16cid:durableId="839656986">
    <w:abstractNumId w:val="6"/>
  </w:num>
  <w:num w:numId="5" w16cid:durableId="359818958">
    <w:abstractNumId w:val="13"/>
  </w:num>
  <w:num w:numId="6" w16cid:durableId="942374248">
    <w:abstractNumId w:val="10"/>
  </w:num>
  <w:num w:numId="7" w16cid:durableId="1951741812">
    <w:abstractNumId w:val="4"/>
  </w:num>
  <w:num w:numId="8" w16cid:durableId="557473918">
    <w:abstractNumId w:val="1"/>
  </w:num>
  <w:num w:numId="9" w16cid:durableId="1440834141">
    <w:abstractNumId w:val="14"/>
  </w:num>
  <w:num w:numId="10" w16cid:durableId="1665351937">
    <w:abstractNumId w:val="9"/>
  </w:num>
  <w:num w:numId="11" w16cid:durableId="653413473">
    <w:abstractNumId w:val="12"/>
  </w:num>
  <w:num w:numId="12" w16cid:durableId="1180125077">
    <w:abstractNumId w:val="0"/>
  </w:num>
  <w:num w:numId="13" w16cid:durableId="1042753865">
    <w:abstractNumId w:val="3"/>
  </w:num>
  <w:num w:numId="14" w16cid:durableId="1179009251">
    <w:abstractNumId w:val="2"/>
  </w:num>
  <w:num w:numId="15" w16cid:durableId="510143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6A"/>
    <w:rsid w:val="0000038B"/>
    <w:rsid w:val="000040A7"/>
    <w:rsid w:val="00007ABB"/>
    <w:rsid w:val="00012024"/>
    <w:rsid w:val="00024B52"/>
    <w:rsid w:val="00032908"/>
    <w:rsid w:val="000367AE"/>
    <w:rsid w:val="00036D19"/>
    <w:rsid w:val="0004034D"/>
    <w:rsid w:val="00042CFB"/>
    <w:rsid w:val="0004387E"/>
    <w:rsid w:val="000461F4"/>
    <w:rsid w:val="00046A38"/>
    <w:rsid w:val="00060E1F"/>
    <w:rsid w:val="0006180F"/>
    <w:rsid w:val="00064CF4"/>
    <w:rsid w:val="00073D68"/>
    <w:rsid w:val="00074840"/>
    <w:rsid w:val="00076706"/>
    <w:rsid w:val="0008519B"/>
    <w:rsid w:val="00086ADC"/>
    <w:rsid w:val="00090959"/>
    <w:rsid w:val="00091B37"/>
    <w:rsid w:val="00093D29"/>
    <w:rsid w:val="000A2378"/>
    <w:rsid w:val="000A2E23"/>
    <w:rsid w:val="000A3B9C"/>
    <w:rsid w:val="000A4021"/>
    <w:rsid w:val="000A4C35"/>
    <w:rsid w:val="000A5530"/>
    <w:rsid w:val="000A5E6B"/>
    <w:rsid w:val="000A6604"/>
    <w:rsid w:val="000A7651"/>
    <w:rsid w:val="000A7B92"/>
    <w:rsid w:val="000B2BEB"/>
    <w:rsid w:val="000B2C7D"/>
    <w:rsid w:val="000B3317"/>
    <w:rsid w:val="000B387C"/>
    <w:rsid w:val="000B647F"/>
    <w:rsid w:val="000C1B61"/>
    <w:rsid w:val="000C3F7B"/>
    <w:rsid w:val="000C5229"/>
    <w:rsid w:val="000C7D68"/>
    <w:rsid w:val="000D1847"/>
    <w:rsid w:val="000D46D8"/>
    <w:rsid w:val="000E27FE"/>
    <w:rsid w:val="000E7E67"/>
    <w:rsid w:val="000F0A0F"/>
    <w:rsid w:val="000F2A2F"/>
    <w:rsid w:val="000F2D06"/>
    <w:rsid w:val="0010163D"/>
    <w:rsid w:val="00103F1B"/>
    <w:rsid w:val="00104C66"/>
    <w:rsid w:val="00110D1F"/>
    <w:rsid w:val="00112D4C"/>
    <w:rsid w:val="0011386D"/>
    <w:rsid w:val="00116659"/>
    <w:rsid w:val="00120105"/>
    <w:rsid w:val="0012322C"/>
    <w:rsid w:val="001272B8"/>
    <w:rsid w:val="001319A8"/>
    <w:rsid w:val="0013338D"/>
    <w:rsid w:val="001405AE"/>
    <w:rsid w:val="00141A88"/>
    <w:rsid w:val="00145F8E"/>
    <w:rsid w:val="00152CD9"/>
    <w:rsid w:val="00157029"/>
    <w:rsid w:val="00157ACB"/>
    <w:rsid w:val="00160C6D"/>
    <w:rsid w:val="00162050"/>
    <w:rsid w:val="00162096"/>
    <w:rsid w:val="001653D6"/>
    <w:rsid w:val="001740D6"/>
    <w:rsid w:val="00174E40"/>
    <w:rsid w:val="00177383"/>
    <w:rsid w:val="00180216"/>
    <w:rsid w:val="00181366"/>
    <w:rsid w:val="00184322"/>
    <w:rsid w:val="001848A2"/>
    <w:rsid w:val="001850DD"/>
    <w:rsid w:val="001900C3"/>
    <w:rsid w:val="001917CC"/>
    <w:rsid w:val="00191C07"/>
    <w:rsid w:val="001928F2"/>
    <w:rsid w:val="001945F0"/>
    <w:rsid w:val="0019500F"/>
    <w:rsid w:val="00195D05"/>
    <w:rsid w:val="001A188F"/>
    <w:rsid w:val="001A7EED"/>
    <w:rsid w:val="001B0DD0"/>
    <w:rsid w:val="001B181A"/>
    <w:rsid w:val="001B475E"/>
    <w:rsid w:val="001B7828"/>
    <w:rsid w:val="001C0145"/>
    <w:rsid w:val="001C462D"/>
    <w:rsid w:val="001C4852"/>
    <w:rsid w:val="001C5136"/>
    <w:rsid w:val="001C51AA"/>
    <w:rsid w:val="001C57B9"/>
    <w:rsid w:val="001D41D6"/>
    <w:rsid w:val="001D5B00"/>
    <w:rsid w:val="001D6002"/>
    <w:rsid w:val="001D6294"/>
    <w:rsid w:val="001D63CC"/>
    <w:rsid w:val="001F05F0"/>
    <w:rsid w:val="001F509A"/>
    <w:rsid w:val="001F6189"/>
    <w:rsid w:val="001F7370"/>
    <w:rsid w:val="002060F0"/>
    <w:rsid w:val="00207008"/>
    <w:rsid w:val="00207E15"/>
    <w:rsid w:val="0021323A"/>
    <w:rsid w:val="002135E3"/>
    <w:rsid w:val="00215169"/>
    <w:rsid w:val="00216F5F"/>
    <w:rsid w:val="00220969"/>
    <w:rsid w:val="00220DBF"/>
    <w:rsid w:val="00222793"/>
    <w:rsid w:val="00226184"/>
    <w:rsid w:val="00233757"/>
    <w:rsid w:val="00241FDE"/>
    <w:rsid w:val="00242B4E"/>
    <w:rsid w:val="00243463"/>
    <w:rsid w:val="002450ED"/>
    <w:rsid w:val="002456CA"/>
    <w:rsid w:val="002461C4"/>
    <w:rsid w:val="00250937"/>
    <w:rsid w:val="00250B1E"/>
    <w:rsid w:val="00250EB1"/>
    <w:rsid w:val="00254137"/>
    <w:rsid w:val="0025621D"/>
    <w:rsid w:val="00261333"/>
    <w:rsid w:val="002619A0"/>
    <w:rsid w:val="00263679"/>
    <w:rsid w:val="002709E1"/>
    <w:rsid w:val="0027316C"/>
    <w:rsid w:val="00274BD2"/>
    <w:rsid w:val="00275A34"/>
    <w:rsid w:val="0028014A"/>
    <w:rsid w:val="00280472"/>
    <w:rsid w:val="00280EAD"/>
    <w:rsid w:val="00283F3F"/>
    <w:rsid w:val="00285F45"/>
    <w:rsid w:val="0028750F"/>
    <w:rsid w:val="002922A3"/>
    <w:rsid w:val="002929E3"/>
    <w:rsid w:val="00295A34"/>
    <w:rsid w:val="00296E6E"/>
    <w:rsid w:val="00297577"/>
    <w:rsid w:val="002A1760"/>
    <w:rsid w:val="002A690F"/>
    <w:rsid w:val="002A7F12"/>
    <w:rsid w:val="002B0C9C"/>
    <w:rsid w:val="002B1754"/>
    <w:rsid w:val="002B18F6"/>
    <w:rsid w:val="002B2776"/>
    <w:rsid w:val="002B59E2"/>
    <w:rsid w:val="002B6E00"/>
    <w:rsid w:val="002C02A2"/>
    <w:rsid w:val="002C0C8C"/>
    <w:rsid w:val="002C0EE7"/>
    <w:rsid w:val="002C3782"/>
    <w:rsid w:val="002C4824"/>
    <w:rsid w:val="002C5372"/>
    <w:rsid w:val="002D0BCC"/>
    <w:rsid w:val="002D15D9"/>
    <w:rsid w:val="002D4649"/>
    <w:rsid w:val="002D533F"/>
    <w:rsid w:val="002E59F4"/>
    <w:rsid w:val="002E750F"/>
    <w:rsid w:val="002F26A8"/>
    <w:rsid w:val="002F57E4"/>
    <w:rsid w:val="003004D1"/>
    <w:rsid w:val="003015EC"/>
    <w:rsid w:val="00303D4F"/>
    <w:rsid w:val="00305529"/>
    <w:rsid w:val="003118A5"/>
    <w:rsid w:val="00313EBB"/>
    <w:rsid w:val="003143D2"/>
    <w:rsid w:val="00316E64"/>
    <w:rsid w:val="00317F18"/>
    <w:rsid w:val="003220B8"/>
    <w:rsid w:val="00327D53"/>
    <w:rsid w:val="00332064"/>
    <w:rsid w:val="00334F6A"/>
    <w:rsid w:val="0033551B"/>
    <w:rsid w:val="00337013"/>
    <w:rsid w:val="00340189"/>
    <w:rsid w:val="00341410"/>
    <w:rsid w:val="00347C2C"/>
    <w:rsid w:val="0035060F"/>
    <w:rsid w:val="00351F74"/>
    <w:rsid w:val="003521AC"/>
    <w:rsid w:val="0035625D"/>
    <w:rsid w:val="00356E01"/>
    <w:rsid w:val="00360319"/>
    <w:rsid w:val="003646E7"/>
    <w:rsid w:val="0037155A"/>
    <w:rsid w:val="00373C88"/>
    <w:rsid w:val="00374474"/>
    <w:rsid w:val="003750FC"/>
    <w:rsid w:val="003761BC"/>
    <w:rsid w:val="003806B9"/>
    <w:rsid w:val="00381A25"/>
    <w:rsid w:val="003850EE"/>
    <w:rsid w:val="00390377"/>
    <w:rsid w:val="00390581"/>
    <w:rsid w:val="00392350"/>
    <w:rsid w:val="00393B6B"/>
    <w:rsid w:val="00395153"/>
    <w:rsid w:val="00397B6B"/>
    <w:rsid w:val="003A06AB"/>
    <w:rsid w:val="003A3194"/>
    <w:rsid w:val="003A58A7"/>
    <w:rsid w:val="003B381F"/>
    <w:rsid w:val="003B5142"/>
    <w:rsid w:val="003B7009"/>
    <w:rsid w:val="003C0755"/>
    <w:rsid w:val="003C1F7C"/>
    <w:rsid w:val="003C25FE"/>
    <w:rsid w:val="003C4732"/>
    <w:rsid w:val="003C5676"/>
    <w:rsid w:val="003C6946"/>
    <w:rsid w:val="003D1F71"/>
    <w:rsid w:val="003D2636"/>
    <w:rsid w:val="003D32D5"/>
    <w:rsid w:val="003D3D67"/>
    <w:rsid w:val="003D3F26"/>
    <w:rsid w:val="003D6CFC"/>
    <w:rsid w:val="003E6C35"/>
    <w:rsid w:val="003E747A"/>
    <w:rsid w:val="003F26C9"/>
    <w:rsid w:val="003F5D2A"/>
    <w:rsid w:val="003F69F4"/>
    <w:rsid w:val="003F74BD"/>
    <w:rsid w:val="00400989"/>
    <w:rsid w:val="004011E4"/>
    <w:rsid w:val="0040230D"/>
    <w:rsid w:val="004120B4"/>
    <w:rsid w:val="00414A33"/>
    <w:rsid w:val="00422DD2"/>
    <w:rsid w:val="00424ECC"/>
    <w:rsid w:val="00432E4E"/>
    <w:rsid w:val="004366A2"/>
    <w:rsid w:val="00436901"/>
    <w:rsid w:val="00437E38"/>
    <w:rsid w:val="00442CC3"/>
    <w:rsid w:val="00443125"/>
    <w:rsid w:val="004531A6"/>
    <w:rsid w:val="00455478"/>
    <w:rsid w:val="0045575E"/>
    <w:rsid w:val="00455E85"/>
    <w:rsid w:val="00461CF4"/>
    <w:rsid w:val="00465D3C"/>
    <w:rsid w:val="004664C8"/>
    <w:rsid w:val="00472F54"/>
    <w:rsid w:val="004732C3"/>
    <w:rsid w:val="00475D39"/>
    <w:rsid w:val="00477F5C"/>
    <w:rsid w:val="004851DD"/>
    <w:rsid w:val="0048608E"/>
    <w:rsid w:val="00486FBF"/>
    <w:rsid w:val="00487455"/>
    <w:rsid w:val="00492AC0"/>
    <w:rsid w:val="004A27EF"/>
    <w:rsid w:val="004A3A69"/>
    <w:rsid w:val="004A7130"/>
    <w:rsid w:val="004B11B0"/>
    <w:rsid w:val="004B3184"/>
    <w:rsid w:val="004B6426"/>
    <w:rsid w:val="004B6740"/>
    <w:rsid w:val="004B7C56"/>
    <w:rsid w:val="004B7F9A"/>
    <w:rsid w:val="004C124B"/>
    <w:rsid w:val="004C139D"/>
    <w:rsid w:val="004C1ABC"/>
    <w:rsid w:val="004C2962"/>
    <w:rsid w:val="004C5858"/>
    <w:rsid w:val="004C7C4E"/>
    <w:rsid w:val="004D2340"/>
    <w:rsid w:val="004D37C9"/>
    <w:rsid w:val="004D37F1"/>
    <w:rsid w:val="004D4B68"/>
    <w:rsid w:val="004D6575"/>
    <w:rsid w:val="004D6751"/>
    <w:rsid w:val="004D72E4"/>
    <w:rsid w:val="004E1A8F"/>
    <w:rsid w:val="004E1BEA"/>
    <w:rsid w:val="004E29F9"/>
    <w:rsid w:val="004E2B45"/>
    <w:rsid w:val="004E31F1"/>
    <w:rsid w:val="004E4013"/>
    <w:rsid w:val="004E46C5"/>
    <w:rsid w:val="004E6224"/>
    <w:rsid w:val="004F2102"/>
    <w:rsid w:val="004F3EE7"/>
    <w:rsid w:val="004F511B"/>
    <w:rsid w:val="004F7D90"/>
    <w:rsid w:val="00500ECF"/>
    <w:rsid w:val="00503D8A"/>
    <w:rsid w:val="00504493"/>
    <w:rsid w:val="00505053"/>
    <w:rsid w:val="00506E06"/>
    <w:rsid w:val="0051022C"/>
    <w:rsid w:val="005133E4"/>
    <w:rsid w:val="00514B91"/>
    <w:rsid w:val="00515D5E"/>
    <w:rsid w:val="0051621A"/>
    <w:rsid w:val="00516B69"/>
    <w:rsid w:val="00520040"/>
    <w:rsid w:val="00521C7D"/>
    <w:rsid w:val="00521DE2"/>
    <w:rsid w:val="005227FC"/>
    <w:rsid w:val="005262A5"/>
    <w:rsid w:val="00527912"/>
    <w:rsid w:val="00530ABD"/>
    <w:rsid w:val="00530E09"/>
    <w:rsid w:val="00532CC0"/>
    <w:rsid w:val="00534A6C"/>
    <w:rsid w:val="00536749"/>
    <w:rsid w:val="0054109C"/>
    <w:rsid w:val="005450ED"/>
    <w:rsid w:val="0054534B"/>
    <w:rsid w:val="00545E15"/>
    <w:rsid w:val="005516BA"/>
    <w:rsid w:val="00560F48"/>
    <w:rsid w:val="00561F68"/>
    <w:rsid w:val="00566D19"/>
    <w:rsid w:val="00571706"/>
    <w:rsid w:val="00582317"/>
    <w:rsid w:val="005825CE"/>
    <w:rsid w:val="005834C4"/>
    <w:rsid w:val="005837B1"/>
    <w:rsid w:val="00585208"/>
    <w:rsid w:val="00590E61"/>
    <w:rsid w:val="00592910"/>
    <w:rsid w:val="00592D08"/>
    <w:rsid w:val="00596091"/>
    <w:rsid w:val="005A109A"/>
    <w:rsid w:val="005A2A6F"/>
    <w:rsid w:val="005B080A"/>
    <w:rsid w:val="005B4DBA"/>
    <w:rsid w:val="005B5568"/>
    <w:rsid w:val="005B746D"/>
    <w:rsid w:val="005C0F68"/>
    <w:rsid w:val="005C121C"/>
    <w:rsid w:val="005C1853"/>
    <w:rsid w:val="005C22C7"/>
    <w:rsid w:val="005C299A"/>
    <w:rsid w:val="005C4019"/>
    <w:rsid w:val="005C4DF2"/>
    <w:rsid w:val="005C7C2F"/>
    <w:rsid w:val="005D0643"/>
    <w:rsid w:val="005D0CAD"/>
    <w:rsid w:val="005D3E2A"/>
    <w:rsid w:val="005D7354"/>
    <w:rsid w:val="005D796E"/>
    <w:rsid w:val="005E269F"/>
    <w:rsid w:val="005E4677"/>
    <w:rsid w:val="005E58E5"/>
    <w:rsid w:val="005E61B4"/>
    <w:rsid w:val="005E7D69"/>
    <w:rsid w:val="005E7DE0"/>
    <w:rsid w:val="005F486B"/>
    <w:rsid w:val="005F7DB6"/>
    <w:rsid w:val="00600695"/>
    <w:rsid w:val="0060257A"/>
    <w:rsid w:val="00602836"/>
    <w:rsid w:val="00603FCB"/>
    <w:rsid w:val="00604AAE"/>
    <w:rsid w:val="00607825"/>
    <w:rsid w:val="006079DB"/>
    <w:rsid w:val="00613459"/>
    <w:rsid w:val="00614772"/>
    <w:rsid w:val="00614883"/>
    <w:rsid w:val="00616162"/>
    <w:rsid w:val="006174CC"/>
    <w:rsid w:val="00617DDE"/>
    <w:rsid w:val="00617E98"/>
    <w:rsid w:val="006224FF"/>
    <w:rsid w:val="00624F71"/>
    <w:rsid w:val="00631AAE"/>
    <w:rsid w:val="00632E1D"/>
    <w:rsid w:val="006376A1"/>
    <w:rsid w:val="00641799"/>
    <w:rsid w:val="00645C70"/>
    <w:rsid w:val="00646065"/>
    <w:rsid w:val="0064674F"/>
    <w:rsid w:val="00650EC4"/>
    <w:rsid w:val="00651D82"/>
    <w:rsid w:val="006524C2"/>
    <w:rsid w:val="00653678"/>
    <w:rsid w:val="0065515C"/>
    <w:rsid w:val="006576BC"/>
    <w:rsid w:val="006646FE"/>
    <w:rsid w:val="00664FC4"/>
    <w:rsid w:val="00665253"/>
    <w:rsid w:val="00665488"/>
    <w:rsid w:val="0066798B"/>
    <w:rsid w:val="00670E46"/>
    <w:rsid w:val="00671336"/>
    <w:rsid w:val="00672147"/>
    <w:rsid w:val="0067417D"/>
    <w:rsid w:val="00680F6A"/>
    <w:rsid w:val="00683D29"/>
    <w:rsid w:val="00683D6C"/>
    <w:rsid w:val="00696EE3"/>
    <w:rsid w:val="006A0254"/>
    <w:rsid w:val="006A0351"/>
    <w:rsid w:val="006A4511"/>
    <w:rsid w:val="006B55BF"/>
    <w:rsid w:val="006C04ED"/>
    <w:rsid w:val="006C21C4"/>
    <w:rsid w:val="006C33F2"/>
    <w:rsid w:val="006C6332"/>
    <w:rsid w:val="006D4F29"/>
    <w:rsid w:val="006E3DBD"/>
    <w:rsid w:val="006E47BA"/>
    <w:rsid w:val="006F14AA"/>
    <w:rsid w:val="006F195B"/>
    <w:rsid w:val="006F7600"/>
    <w:rsid w:val="0070666F"/>
    <w:rsid w:val="00710714"/>
    <w:rsid w:val="007110FA"/>
    <w:rsid w:val="007116BA"/>
    <w:rsid w:val="00713F78"/>
    <w:rsid w:val="00720E1F"/>
    <w:rsid w:val="00721547"/>
    <w:rsid w:val="00721775"/>
    <w:rsid w:val="007334FE"/>
    <w:rsid w:val="007415DB"/>
    <w:rsid w:val="00744C82"/>
    <w:rsid w:val="00745095"/>
    <w:rsid w:val="007457E5"/>
    <w:rsid w:val="00754851"/>
    <w:rsid w:val="00754AE5"/>
    <w:rsid w:val="00756F0D"/>
    <w:rsid w:val="00761410"/>
    <w:rsid w:val="007614EA"/>
    <w:rsid w:val="0076161E"/>
    <w:rsid w:val="00763B14"/>
    <w:rsid w:val="00764A44"/>
    <w:rsid w:val="00764A93"/>
    <w:rsid w:val="0076579D"/>
    <w:rsid w:val="007657A8"/>
    <w:rsid w:val="00765829"/>
    <w:rsid w:val="0077424C"/>
    <w:rsid w:val="00774998"/>
    <w:rsid w:val="00781244"/>
    <w:rsid w:val="00782CF8"/>
    <w:rsid w:val="00783195"/>
    <w:rsid w:val="007846B3"/>
    <w:rsid w:val="00784CCC"/>
    <w:rsid w:val="00785F85"/>
    <w:rsid w:val="00786774"/>
    <w:rsid w:val="00786CBE"/>
    <w:rsid w:val="007A08D6"/>
    <w:rsid w:val="007A2DC9"/>
    <w:rsid w:val="007A4EFF"/>
    <w:rsid w:val="007B098A"/>
    <w:rsid w:val="007B0CCE"/>
    <w:rsid w:val="007B1B7B"/>
    <w:rsid w:val="007B28FC"/>
    <w:rsid w:val="007B32D1"/>
    <w:rsid w:val="007B6424"/>
    <w:rsid w:val="007C267A"/>
    <w:rsid w:val="007C76BA"/>
    <w:rsid w:val="007D09CF"/>
    <w:rsid w:val="007D1EA0"/>
    <w:rsid w:val="007E1FB8"/>
    <w:rsid w:val="007E24A7"/>
    <w:rsid w:val="007E2DD2"/>
    <w:rsid w:val="007E40B9"/>
    <w:rsid w:val="007E5878"/>
    <w:rsid w:val="007E5CF6"/>
    <w:rsid w:val="007E7F41"/>
    <w:rsid w:val="007F03D2"/>
    <w:rsid w:val="007F12DE"/>
    <w:rsid w:val="007F3DC6"/>
    <w:rsid w:val="00803833"/>
    <w:rsid w:val="008117D8"/>
    <w:rsid w:val="00815351"/>
    <w:rsid w:val="00816986"/>
    <w:rsid w:val="008223F0"/>
    <w:rsid w:val="008244AE"/>
    <w:rsid w:val="008259BB"/>
    <w:rsid w:val="00826060"/>
    <w:rsid w:val="0083253A"/>
    <w:rsid w:val="008328D0"/>
    <w:rsid w:val="008363BD"/>
    <w:rsid w:val="00837395"/>
    <w:rsid w:val="008410E9"/>
    <w:rsid w:val="00842913"/>
    <w:rsid w:val="00843892"/>
    <w:rsid w:val="00843A89"/>
    <w:rsid w:val="008450DF"/>
    <w:rsid w:val="008477AA"/>
    <w:rsid w:val="00852966"/>
    <w:rsid w:val="00854169"/>
    <w:rsid w:val="00861383"/>
    <w:rsid w:val="008656EC"/>
    <w:rsid w:val="00865F3B"/>
    <w:rsid w:val="0086603D"/>
    <w:rsid w:val="00876B03"/>
    <w:rsid w:val="00877F03"/>
    <w:rsid w:val="00882069"/>
    <w:rsid w:val="00885D39"/>
    <w:rsid w:val="008860E5"/>
    <w:rsid w:val="0089070C"/>
    <w:rsid w:val="008946F0"/>
    <w:rsid w:val="00895BFD"/>
    <w:rsid w:val="00896608"/>
    <w:rsid w:val="008972CE"/>
    <w:rsid w:val="008A3BCE"/>
    <w:rsid w:val="008A5403"/>
    <w:rsid w:val="008A5482"/>
    <w:rsid w:val="008A6DE6"/>
    <w:rsid w:val="008B5035"/>
    <w:rsid w:val="008B6D03"/>
    <w:rsid w:val="008C0419"/>
    <w:rsid w:val="008C5660"/>
    <w:rsid w:val="008D2E27"/>
    <w:rsid w:val="008D51D2"/>
    <w:rsid w:val="008D57EF"/>
    <w:rsid w:val="008D5993"/>
    <w:rsid w:val="008E09F5"/>
    <w:rsid w:val="008E3CBA"/>
    <w:rsid w:val="008E6A05"/>
    <w:rsid w:val="008E6FB8"/>
    <w:rsid w:val="008F3E00"/>
    <w:rsid w:val="008F4936"/>
    <w:rsid w:val="008F5193"/>
    <w:rsid w:val="008F595E"/>
    <w:rsid w:val="008F7659"/>
    <w:rsid w:val="0090357C"/>
    <w:rsid w:val="009052B6"/>
    <w:rsid w:val="009118BF"/>
    <w:rsid w:val="00913708"/>
    <w:rsid w:val="0091396A"/>
    <w:rsid w:val="0091481F"/>
    <w:rsid w:val="0092721E"/>
    <w:rsid w:val="00936ABB"/>
    <w:rsid w:val="00943F15"/>
    <w:rsid w:val="009440FD"/>
    <w:rsid w:val="00956513"/>
    <w:rsid w:val="00957CC8"/>
    <w:rsid w:val="00960503"/>
    <w:rsid w:val="0096204B"/>
    <w:rsid w:val="00963BB1"/>
    <w:rsid w:val="009679B7"/>
    <w:rsid w:val="009744D4"/>
    <w:rsid w:val="00974688"/>
    <w:rsid w:val="009764CF"/>
    <w:rsid w:val="0097712B"/>
    <w:rsid w:val="00985007"/>
    <w:rsid w:val="00985B52"/>
    <w:rsid w:val="00986CE0"/>
    <w:rsid w:val="0099279E"/>
    <w:rsid w:val="00995252"/>
    <w:rsid w:val="009A1091"/>
    <w:rsid w:val="009A2DC0"/>
    <w:rsid w:val="009A3264"/>
    <w:rsid w:val="009A5430"/>
    <w:rsid w:val="009A577D"/>
    <w:rsid w:val="009A6D98"/>
    <w:rsid w:val="009C4048"/>
    <w:rsid w:val="009D63EB"/>
    <w:rsid w:val="009E6B68"/>
    <w:rsid w:val="009F008F"/>
    <w:rsid w:val="00A02168"/>
    <w:rsid w:val="00A02294"/>
    <w:rsid w:val="00A03002"/>
    <w:rsid w:val="00A05F81"/>
    <w:rsid w:val="00A10B01"/>
    <w:rsid w:val="00A11261"/>
    <w:rsid w:val="00A16D4E"/>
    <w:rsid w:val="00A20B7E"/>
    <w:rsid w:val="00A23E9D"/>
    <w:rsid w:val="00A23F10"/>
    <w:rsid w:val="00A25B25"/>
    <w:rsid w:val="00A33D91"/>
    <w:rsid w:val="00A36318"/>
    <w:rsid w:val="00A501C3"/>
    <w:rsid w:val="00A503FB"/>
    <w:rsid w:val="00A513E8"/>
    <w:rsid w:val="00A5188B"/>
    <w:rsid w:val="00A529A6"/>
    <w:rsid w:val="00A53EE9"/>
    <w:rsid w:val="00A541CD"/>
    <w:rsid w:val="00A5557C"/>
    <w:rsid w:val="00A6589C"/>
    <w:rsid w:val="00A65F26"/>
    <w:rsid w:val="00A733D3"/>
    <w:rsid w:val="00A8103B"/>
    <w:rsid w:val="00A836FB"/>
    <w:rsid w:val="00A85C0B"/>
    <w:rsid w:val="00A86843"/>
    <w:rsid w:val="00A91E45"/>
    <w:rsid w:val="00A931D0"/>
    <w:rsid w:val="00AA056A"/>
    <w:rsid w:val="00AA1D11"/>
    <w:rsid w:val="00AA35F6"/>
    <w:rsid w:val="00AA4199"/>
    <w:rsid w:val="00AB1A3A"/>
    <w:rsid w:val="00AB29FF"/>
    <w:rsid w:val="00AB58D1"/>
    <w:rsid w:val="00AC3299"/>
    <w:rsid w:val="00AC594A"/>
    <w:rsid w:val="00AD7B11"/>
    <w:rsid w:val="00AE4706"/>
    <w:rsid w:val="00AE4E3D"/>
    <w:rsid w:val="00AE530E"/>
    <w:rsid w:val="00AE61D1"/>
    <w:rsid w:val="00AF0AF6"/>
    <w:rsid w:val="00AF1377"/>
    <w:rsid w:val="00AF165D"/>
    <w:rsid w:val="00AF1E3A"/>
    <w:rsid w:val="00B01B83"/>
    <w:rsid w:val="00B10356"/>
    <w:rsid w:val="00B27B10"/>
    <w:rsid w:val="00B3016C"/>
    <w:rsid w:val="00B30537"/>
    <w:rsid w:val="00B30FB0"/>
    <w:rsid w:val="00B320C1"/>
    <w:rsid w:val="00B32EC1"/>
    <w:rsid w:val="00B33E9E"/>
    <w:rsid w:val="00B342FE"/>
    <w:rsid w:val="00B371D7"/>
    <w:rsid w:val="00B40CD3"/>
    <w:rsid w:val="00B41632"/>
    <w:rsid w:val="00B41FE7"/>
    <w:rsid w:val="00B42C9D"/>
    <w:rsid w:val="00B46798"/>
    <w:rsid w:val="00B544D2"/>
    <w:rsid w:val="00B55B44"/>
    <w:rsid w:val="00B604BD"/>
    <w:rsid w:val="00B609B6"/>
    <w:rsid w:val="00B63D3A"/>
    <w:rsid w:val="00B64D36"/>
    <w:rsid w:val="00B67AFA"/>
    <w:rsid w:val="00B753EA"/>
    <w:rsid w:val="00B7617E"/>
    <w:rsid w:val="00B76EEB"/>
    <w:rsid w:val="00B7773E"/>
    <w:rsid w:val="00B77BCF"/>
    <w:rsid w:val="00B81F36"/>
    <w:rsid w:val="00B84306"/>
    <w:rsid w:val="00B86240"/>
    <w:rsid w:val="00B86D75"/>
    <w:rsid w:val="00B87874"/>
    <w:rsid w:val="00B90BD1"/>
    <w:rsid w:val="00B921D7"/>
    <w:rsid w:val="00B93D4F"/>
    <w:rsid w:val="00BA3778"/>
    <w:rsid w:val="00BA4EC0"/>
    <w:rsid w:val="00BA738D"/>
    <w:rsid w:val="00BA7F13"/>
    <w:rsid w:val="00BB0BA4"/>
    <w:rsid w:val="00BB0BC6"/>
    <w:rsid w:val="00BB0CB9"/>
    <w:rsid w:val="00BB256F"/>
    <w:rsid w:val="00BB4323"/>
    <w:rsid w:val="00BB5473"/>
    <w:rsid w:val="00BD0958"/>
    <w:rsid w:val="00BD3F18"/>
    <w:rsid w:val="00BD5176"/>
    <w:rsid w:val="00BD580C"/>
    <w:rsid w:val="00BE0CEA"/>
    <w:rsid w:val="00BE3C3D"/>
    <w:rsid w:val="00BE4B2C"/>
    <w:rsid w:val="00BE4CD2"/>
    <w:rsid w:val="00BE76B9"/>
    <w:rsid w:val="00BF24FD"/>
    <w:rsid w:val="00BF4EE7"/>
    <w:rsid w:val="00BF5E7D"/>
    <w:rsid w:val="00BF6BF4"/>
    <w:rsid w:val="00BF79E7"/>
    <w:rsid w:val="00BF7C34"/>
    <w:rsid w:val="00C135EC"/>
    <w:rsid w:val="00C176C5"/>
    <w:rsid w:val="00C179BE"/>
    <w:rsid w:val="00C203FE"/>
    <w:rsid w:val="00C21B8D"/>
    <w:rsid w:val="00C221D8"/>
    <w:rsid w:val="00C23911"/>
    <w:rsid w:val="00C24729"/>
    <w:rsid w:val="00C25F96"/>
    <w:rsid w:val="00C32057"/>
    <w:rsid w:val="00C33A55"/>
    <w:rsid w:val="00C33F82"/>
    <w:rsid w:val="00C42D20"/>
    <w:rsid w:val="00C44945"/>
    <w:rsid w:val="00C5101C"/>
    <w:rsid w:val="00C514D3"/>
    <w:rsid w:val="00C542F8"/>
    <w:rsid w:val="00C5477D"/>
    <w:rsid w:val="00C61CF2"/>
    <w:rsid w:val="00C61EF8"/>
    <w:rsid w:val="00C63A4C"/>
    <w:rsid w:val="00C63EE6"/>
    <w:rsid w:val="00C65239"/>
    <w:rsid w:val="00C66597"/>
    <w:rsid w:val="00C708D0"/>
    <w:rsid w:val="00C72A7A"/>
    <w:rsid w:val="00C7360E"/>
    <w:rsid w:val="00C81B49"/>
    <w:rsid w:val="00C9057A"/>
    <w:rsid w:val="00C922D7"/>
    <w:rsid w:val="00C93419"/>
    <w:rsid w:val="00C97227"/>
    <w:rsid w:val="00C976B2"/>
    <w:rsid w:val="00CA2DF3"/>
    <w:rsid w:val="00CA3EE7"/>
    <w:rsid w:val="00CB0891"/>
    <w:rsid w:val="00CB0B01"/>
    <w:rsid w:val="00CB0FB5"/>
    <w:rsid w:val="00CB6B44"/>
    <w:rsid w:val="00CC1E6D"/>
    <w:rsid w:val="00CC32E3"/>
    <w:rsid w:val="00CD20AE"/>
    <w:rsid w:val="00CD2ADB"/>
    <w:rsid w:val="00CD5DB8"/>
    <w:rsid w:val="00CD7694"/>
    <w:rsid w:val="00CE0A63"/>
    <w:rsid w:val="00CE1146"/>
    <w:rsid w:val="00CE450A"/>
    <w:rsid w:val="00CF42BC"/>
    <w:rsid w:val="00CF7B5B"/>
    <w:rsid w:val="00D061F8"/>
    <w:rsid w:val="00D13EB2"/>
    <w:rsid w:val="00D164D3"/>
    <w:rsid w:val="00D165C2"/>
    <w:rsid w:val="00D25223"/>
    <w:rsid w:val="00D26B72"/>
    <w:rsid w:val="00D321EA"/>
    <w:rsid w:val="00D34275"/>
    <w:rsid w:val="00D35645"/>
    <w:rsid w:val="00D43473"/>
    <w:rsid w:val="00D43DBD"/>
    <w:rsid w:val="00D4416B"/>
    <w:rsid w:val="00D45B56"/>
    <w:rsid w:val="00D47B13"/>
    <w:rsid w:val="00D55C9D"/>
    <w:rsid w:val="00D55CFC"/>
    <w:rsid w:val="00D57400"/>
    <w:rsid w:val="00D57D43"/>
    <w:rsid w:val="00D65884"/>
    <w:rsid w:val="00D66772"/>
    <w:rsid w:val="00D74F26"/>
    <w:rsid w:val="00D7619F"/>
    <w:rsid w:val="00D76625"/>
    <w:rsid w:val="00D86129"/>
    <w:rsid w:val="00D86281"/>
    <w:rsid w:val="00D9157B"/>
    <w:rsid w:val="00D9478A"/>
    <w:rsid w:val="00DA33BE"/>
    <w:rsid w:val="00DA593C"/>
    <w:rsid w:val="00DA779F"/>
    <w:rsid w:val="00DA7E04"/>
    <w:rsid w:val="00DB4063"/>
    <w:rsid w:val="00DB5388"/>
    <w:rsid w:val="00DB74BA"/>
    <w:rsid w:val="00DB7697"/>
    <w:rsid w:val="00DB7C62"/>
    <w:rsid w:val="00DC3BB5"/>
    <w:rsid w:val="00DC51A9"/>
    <w:rsid w:val="00DC5678"/>
    <w:rsid w:val="00DC7E74"/>
    <w:rsid w:val="00DD1757"/>
    <w:rsid w:val="00DD3896"/>
    <w:rsid w:val="00DD6B4D"/>
    <w:rsid w:val="00DE0246"/>
    <w:rsid w:val="00DE1AF6"/>
    <w:rsid w:val="00DE5099"/>
    <w:rsid w:val="00DE6467"/>
    <w:rsid w:val="00DF0BC6"/>
    <w:rsid w:val="00DF2141"/>
    <w:rsid w:val="00DF4B91"/>
    <w:rsid w:val="00DF6C1A"/>
    <w:rsid w:val="00DF7511"/>
    <w:rsid w:val="00E015D5"/>
    <w:rsid w:val="00E01A42"/>
    <w:rsid w:val="00E07178"/>
    <w:rsid w:val="00E138C5"/>
    <w:rsid w:val="00E15308"/>
    <w:rsid w:val="00E214BA"/>
    <w:rsid w:val="00E21EA0"/>
    <w:rsid w:val="00E21EAD"/>
    <w:rsid w:val="00E235DB"/>
    <w:rsid w:val="00E237B8"/>
    <w:rsid w:val="00E240F4"/>
    <w:rsid w:val="00E27AD3"/>
    <w:rsid w:val="00E33873"/>
    <w:rsid w:val="00E35258"/>
    <w:rsid w:val="00E37AD6"/>
    <w:rsid w:val="00E43979"/>
    <w:rsid w:val="00E4629C"/>
    <w:rsid w:val="00E5132F"/>
    <w:rsid w:val="00E5141A"/>
    <w:rsid w:val="00E5306D"/>
    <w:rsid w:val="00E543AB"/>
    <w:rsid w:val="00E5591D"/>
    <w:rsid w:val="00E55E6C"/>
    <w:rsid w:val="00E57FBE"/>
    <w:rsid w:val="00E62CA2"/>
    <w:rsid w:val="00E63545"/>
    <w:rsid w:val="00E64035"/>
    <w:rsid w:val="00E70F3F"/>
    <w:rsid w:val="00E73114"/>
    <w:rsid w:val="00E74832"/>
    <w:rsid w:val="00E76542"/>
    <w:rsid w:val="00E80710"/>
    <w:rsid w:val="00E81641"/>
    <w:rsid w:val="00E85B52"/>
    <w:rsid w:val="00E86B71"/>
    <w:rsid w:val="00E90456"/>
    <w:rsid w:val="00E948C2"/>
    <w:rsid w:val="00E954FD"/>
    <w:rsid w:val="00EA0767"/>
    <w:rsid w:val="00EA1DA7"/>
    <w:rsid w:val="00EA3064"/>
    <w:rsid w:val="00EA3F59"/>
    <w:rsid w:val="00EA5125"/>
    <w:rsid w:val="00EA5302"/>
    <w:rsid w:val="00EB56DA"/>
    <w:rsid w:val="00EB7062"/>
    <w:rsid w:val="00EC1ECA"/>
    <w:rsid w:val="00EC3CC9"/>
    <w:rsid w:val="00EC7C89"/>
    <w:rsid w:val="00ED096C"/>
    <w:rsid w:val="00ED1B04"/>
    <w:rsid w:val="00ED2775"/>
    <w:rsid w:val="00EE24AA"/>
    <w:rsid w:val="00EE5B5A"/>
    <w:rsid w:val="00EE5F18"/>
    <w:rsid w:val="00EF00FF"/>
    <w:rsid w:val="00EF029A"/>
    <w:rsid w:val="00EF2714"/>
    <w:rsid w:val="00EF3C42"/>
    <w:rsid w:val="00EF4A2A"/>
    <w:rsid w:val="00EF5EF8"/>
    <w:rsid w:val="00EF63A2"/>
    <w:rsid w:val="00EF65BF"/>
    <w:rsid w:val="00F04209"/>
    <w:rsid w:val="00F0497C"/>
    <w:rsid w:val="00F1519A"/>
    <w:rsid w:val="00F153B4"/>
    <w:rsid w:val="00F1570C"/>
    <w:rsid w:val="00F16A92"/>
    <w:rsid w:val="00F220C9"/>
    <w:rsid w:val="00F22283"/>
    <w:rsid w:val="00F2791A"/>
    <w:rsid w:val="00F30572"/>
    <w:rsid w:val="00F310FF"/>
    <w:rsid w:val="00F321A1"/>
    <w:rsid w:val="00F37A3A"/>
    <w:rsid w:val="00F449D5"/>
    <w:rsid w:val="00F44FEE"/>
    <w:rsid w:val="00F46A4D"/>
    <w:rsid w:val="00F46E81"/>
    <w:rsid w:val="00F472D7"/>
    <w:rsid w:val="00F47DB6"/>
    <w:rsid w:val="00F514B7"/>
    <w:rsid w:val="00F5179B"/>
    <w:rsid w:val="00F531C5"/>
    <w:rsid w:val="00F5357E"/>
    <w:rsid w:val="00F554FE"/>
    <w:rsid w:val="00F559C7"/>
    <w:rsid w:val="00F56D5C"/>
    <w:rsid w:val="00F64F45"/>
    <w:rsid w:val="00F657A4"/>
    <w:rsid w:val="00F673D3"/>
    <w:rsid w:val="00F718C5"/>
    <w:rsid w:val="00F7286E"/>
    <w:rsid w:val="00F730CA"/>
    <w:rsid w:val="00F75BC8"/>
    <w:rsid w:val="00F763FA"/>
    <w:rsid w:val="00F82E63"/>
    <w:rsid w:val="00F84763"/>
    <w:rsid w:val="00F85890"/>
    <w:rsid w:val="00F90699"/>
    <w:rsid w:val="00F95554"/>
    <w:rsid w:val="00FA1353"/>
    <w:rsid w:val="00FA1F7C"/>
    <w:rsid w:val="00FA5915"/>
    <w:rsid w:val="00FA711F"/>
    <w:rsid w:val="00FA7EF4"/>
    <w:rsid w:val="00FB0EFA"/>
    <w:rsid w:val="00FB17D4"/>
    <w:rsid w:val="00FB193E"/>
    <w:rsid w:val="00FB2F29"/>
    <w:rsid w:val="00FB6769"/>
    <w:rsid w:val="00FC1882"/>
    <w:rsid w:val="00FC3833"/>
    <w:rsid w:val="00FC7AEA"/>
    <w:rsid w:val="00FD139C"/>
    <w:rsid w:val="00FE0827"/>
    <w:rsid w:val="00FE0B4F"/>
    <w:rsid w:val="00FE0E2B"/>
    <w:rsid w:val="00FE228F"/>
    <w:rsid w:val="00FE4255"/>
    <w:rsid w:val="00FE49DA"/>
    <w:rsid w:val="00FE53A5"/>
    <w:rsid w:val="00FE6BD7"/>
    <w:rsid w:val="00FF3838"/>
    <w:rsid w:val="00FF5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25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A1760"/>
    <w:pPr>
      <w:spacing w:after="200" w:line="259" w:lineRule="auto"/>
    </w:pPr>
    <w:rPr>
      <w:rFonts w:ascii="Calibri" w:hAnsi="Calibri"/>
      <w:sz w:val="22"/>
      <w:szCs w:val="22"/>
    </w:rPr>
  </w:style>
  <w:style w:type="paragraph" w:styleId="Heading1">
    <w:name w:val="heading 1"/>
    <w:basedOn w:val="Normal"/>
    <w:next w:val="Normal"/>
    <w:link w:val="Heading1Char"/>
    <w:qFormat/>
    <w:rsid w:val="004E31F1"/>
    <w:pPr>
      <w:keepNext/>
      <w:keepLines/>
      <w:spacing w:before="280" w:after="40" w:line="240" w:lineRule="auto"/>
      <w:jc w:val="center"/>
      <w:outlineLvl w:val="0"/>
    </w:pPr>
    <w:rPr>
      <w:rFonts w:eastAsiaTheme="majorEastAsia" w:cs="Calibri"/>
      <w:b/>
      <w:bCs/>
      <w:color w:val="000000" w:themeColor="text1"/>
      <w:sz w:val="44"/>
      <w:szCs w:val="44"/>
    </w:rPr>
  </w:style>
  <w:style w:type="paragraph" w:styleId="Heading2">
    <w:name w:val="heading 2"/>
    <w:basedOn w:val="Normal"/>
    <w:next w:val="Normal"/>
    <w:link w:val="Heading2Char"/>
    <w:uiPriority w:val="3"/>
    <w:unhideWhenUsed/>
    <w:qFormat/>
    <w:rsid w:val="008B6D03"/>
    <w:pPr>
      <w:keepNext/>
      <w:keepLines/>
      <w:spacing w:before="240" w:after="120"/>
      <w:outlineLvl w:val="1"/>
    </w:pPr>
    <w:rPr>
      <w:rFonts w:eastAsiaTheme="majorEastAsia" w:cs="Calibri"/>
      <w:b/>
      <w:bCs/>
      <w:color w:val="4897A2"/>
      <w:sz w:val="30"/>
      <w:szCs w:val="30"/>
    </w:rPr>
  </w:style>
  <w:style w:type="paragraph" w:styleId="Heading3">
    <w:name w:val="heading 3"/>
    <w:basedOn w:val="Normal"/>
    <w:next w:val="Normal"/>
    <w:link w:val="Heading3Char"/>
    <w:uiPriority w:val="4"/>
    <w:unhideWhenUsed/>
    <w:qFormat/>
    <w:rsid w:val="0012322C"/>
    <w:pPr>
      <w:keepNext/>
      <w:keepLines/>
      <w:spacing w:before="240" w:after="80"/>
      <w:outlineLvl w:val="2"/>
    </w:pPr>
    <w:rPr>
      <w:rFonts w:eastAsiaTheme="majorEastAsia" w:cs="Calibri"/>
      <w:b/>
      <w:bCs/>
      <w:color w:val="000000" w:themeColor="text1"/>
      <w:sz w:val="27"/>
      <w:szCs w:val="27"/>
    </w:rPr>
  </w:style>
  <w:style w:type="paragraph" w:styleId="Heading4">
    <w:name w:val="heading 4"/>
    <w:basedOn w:val="Normal"/>
    <w:next w:val="Normal"/>
    <w:link w:val="Heading4Char"/>
    <w:autoRedefine/>
    <w:uiPriority w:val="5"/>
    <w:unhideWhenUsed/>
    <w:qFormat/>
    <w:rsid w:val="00680F6A"/>
    <w:pPr>
      <w:spacing w:before="160" w:after="40"/>
      <w:outlineLvl w:val="3"/>
    </w:pPr>
    <w:rPr>
      <w:b/>
      <w:bCs/>
      <w:i/>
      <w:iCs/>
    </w:rPr>
  </w:style>
  <w:style w:type="paragraph" w:styleId="Heading5">
    <w:name w:val="heading 5"/>
    <w:basedOn w:val="Normal"/>
    <w:next w:val="Normal"/>
    <w:link w:val="Heading5Char"/>
    <w:uiPriority w:val="9"/>
    <w:semiHidden/>
    <w:unhideWhenUsed/>
    <w:qFormat/>
    <w:rsid w:val="0091396A"/>
    <w:pPr>
      <w:keepNext/>
      <w:keepLines/>
      <w:spacing w:before="80" w:after="40"/>
      <w:outlineLvl w:val="4"/>
    </w:pPr>
    <w:rPr>
      <w:rFonts w:eastAsiaTheme="majorEastAsia" w:cstheme="majorBidi"/>
      <w:color w:val="367079" w:themeColor="accent1" w:themeShade="BF"/>
    </w:rPr>
  </w:style>
  <w:style w:type="paragraph" w:styleId="Heading6">
    <w:name w:val="heading 6"/>
    <w:basedOn w:val="Normal"/>
    <w:next w:val="Normal"/>
    <w:link w:val="Heading6Char"/>
    <w:uiPriority w:val="9"/>
    <w:semiHidden/>
    <w:unhideWhenUsed/>
    <w:qFormat/>
    <w:rsid w:val="00913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1F1"/>
    <w:rPr>
      <w:rFonts w:ascii="Calibri" w:eastAsiaTheme="majorEastAsia" w:hAnsi="Calibri" w:cs="Calibri"/>
      <w:b/>
      <w:bCs/>
      <w:color w:val="000000" w:themeColor="text1"/>
      <w:sz w:val="44"/>
      <w:szCs w:val="44"/>
    </w:rPr>
  </w:style>
  <w:style w:type="character" w:customStyle="1" w:styleId="Heading2Char">
    <w:name w:val="Heading 2 Char"/>
    <w:basedOn w:val="DefaultParagraphFont"/>
    <w:link w:val="Heading2"/>
    <w:uiPriority w:val="3"/>
    <w:rsid w:val="008B6D03"/>
    <w:rPr>
      <w:rFonts w:ascii="Calibri" w:eastAsiaTheme="majorEastAsia" w:hAnsi="Calibri" w:cs="Calibri"/>
      <w:b/>
      <w:bCs/>
      <w:color w:val="4897A2"/>
      <w:sz w:val="30"/>
      <w:szCs w:val="30"/>
    </w:rPr>
  </w:style>
  <w:style w:type="character" w:customStyle="1" w:styleId="Heading3Char">
    <w:name w:val="Heading 3 Char"/>
    <w:basedOn w:val="DefaultParagraphFont"/>
    <w:link w:val="Heading3"/>
    <w:uiPriority w:val="4"/>
    <w:rsid w:val="0012322C"/>
    <w:rPr>
      <w:rFonts w:ascii="Calibri" w:eastAsiaTheme="majorEastAsia" w:hAnsi="Calibri" w:cs="Calibri"/>
      <w:b/>
      <w:bCs/>
      <w:color w:val="000000" w:themeColor="text1"/>
      <w:sz w:val="27"/>
      <w:szCs w:val="27"/>
    </w:rPr>
  </w:style>
  <w:style w:type="character" w:customStyle="1" w:styleId="Heading4Char">
    <w:name w:val="Heading 4 Char"/>
    <w:basedOn w:val="DefaultParagraphFont"/>
    <w:link w:val="Heading4"/>
    <w:uiPriority w:val="5"/>
    <w:rsid w:val="00680F6A"/>
    <w:rPr>
      <w:rFonts w:ascii="Calibri" w:hAnsi="Calibri"/>
      <w:b/>
      <w:bCs/>
      <w:i/>
      <w:iCs/>
      <w:sz w:val="22"/>
      <w:szCs w:val="22"/>
    </w:rPr>
  </w:style>
  <w:style w:type="character" w:customStyle="1" w:styleId="Heading5Char">
    <w:name w:val="Heading 5 Char"/>
    <w:basedOn w:val="DefaultParagraphFont"/>
    <w:link w:val="Heading5"/>
    <w:uiPriority w:val="9"/>
    <w:semiHidden/>
    <w:rsid w:val="0091396A"/>
    <w:rPr>
      <w:rFonts w:eastAsiaTheme="majorEastAsia" w:cstheme="majorBidi"/>
      <w:color w:val="367079" w:themeColor="accent1" w:themeShade="BF"/>
    </w:rPr>
  </w:style>
  <w:style w:type="character" w:customStyle="1" w:styleId="Heading6Char">
    <w:name w:val="Heading 6 Char"/>
    <w:basedOn w:val="DefaultParagraphFont"/>
    <w:link w:val="Heading6"/>
    <w:uiPriority w:val="9"/>
    <w:semiHidden/>
    <w:rsid w:val="00913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96A"/>
    <w:rPr>
      <w:rFonts w:eastAsiaTheme="majorEastAsia" w:cstheme="majorBidi"/>
      <w:color w:val="272727" w:themeColor="text1" w:themeTint="D8"/>
    </w:rPr>
  </w:style>
  <w:style w:type="paragraph" w:styleId="Title">
    <w:name w:val="Title"/>
    <w:basedOn w:val="Normal"/>
    <w:next w:val="Normal"/>
    <w:link w:val="TitleChar"/>
    <w:uiPriority w:val="10"/>
    <w:qFormat/>
    <w:rsid w:val="00913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
    <w:qFormat/>
    <w:rsid w:val="0012322C"/>
    <w:pPr>
      <w:numPr>
        <w:ilvl w:val="1"/>
      </w:numPr>
      <w:spacing w:after="360"/>
      <w:jc w:val="center"/>
    </w:pPr>
    <w:rPr>
      <w:color w:val="595959" w:themeColor="text1" w:themeTint="A6"/>
      <w:sz w:val="32"/>
      <w:szCs w:val="32"/>
    </w:rPr>
  </w:style>
  <w:style w:type="character" w:customStyle="1" w:styleId="SubtitleChar">
    <w:name w:val="Subtitle Char"/>
    <w:basedOn w:val="DefaultParagraphFont"/>
    <w:link w:val="Subtitle"/>
    <w:uiPriority w:val="1"/>
    <w:rsid w:val="0012322C"/>
    <w:rPr>
      <w:rFonts w:ascii="Calibri" w:hAnsi="Calibri"/>
      <w:color w:val="595959" w:themeColor="text1" w:themeTint="A6"/>
      <w:sz w:val="32"/>
      <w:szCs w:val="32"/>
    </w:rPr>
  </w:style>
  <w:style w:type="paragraph" w:styleId="Quote">
    <w:name w:val="Quote"/>
    <w:basedOn w:val="Normal"/>
    <w:next w:val="Normal"/>
    <w:link w:val="QuoteChar"/>
    <w:uiPriority w:val="29"/>
    <w:qFormat/>
    <w:rsid w:val="0091396A"/>
    <w:pPr>
      <w:spacing w:before="160"/>
      <w:jc w:val="center"/>
    </w:pPr>
    <w:rPr>
      <w:i/>
      <w:iCs/>
      <w:color w:val="404040" w:themeColor="text1" w:themeTint="BF"/>
    </w:rPr>
  </w:style>
  <w:style w:type="character" w:customStyle="1" w:styleId="QuoteChar">
    <w:name w:val="Quote Char"/>
    <w:basedOn w:val="DefaultParagraphFont"/>
    <w:link w:val="Quote"/>
    <w:uiPriority w:val="29"/>
    <w:rsid w:val="0091396A"/>
    <w:rPr>
      <w:i/>
      <w:iCs/>
      <w:color w:val="404040" w:themeColor="text1" w:themeTint="BF"/>
    </w:rPr>
  </w:style>
  <w:style w:type="paragraph" w:styleId="ListParagraph">
    <w:name w:val="List Paragraph"/>
    <w:basedOn w:val="Normal"/>
    <w:uiPriority w:val="34"/>
    <w:qFormat/>
    <w:rsid w:val="0091396A"/>
    <w:pPr>
      <w:ind w:left="720"/>
      <w:contextualSpacing/>
    </w:pPr>
  </w:style>
  <w:style w:type="character" w:styleId="IntenseEmphasis">
    <w:name w:val="Intense Emphasis"/>
    <w:basedOn w:val="DefaultParagraphFont"/>
    <w:uiPriority w:val="21"/>
    <w:qFormat/>
    <w:rsid w:val="0091396A"/>
    <w:rPr>
      <w:i/>
      <w:iCs/>
      <w:color w:val="367079" w:themeColor="accent1" w:themeShade="BF"/>
    </w:rPr>
  </w:style>
  <w:style w:type="paragraph" w:styleId="IntenseQuote">
    <w:name w:val="Intense Quote"/>
    <w:basedOn w:val="Normal"/>
    <w:next w:val="Normal"/>
    <w:link w:val="IntenseQuoteChar"/>
    <w:uiPriority w:val="30"/>
    <w:qFormat/>
    <w:rsid w:val="0091396A"/>
    <w:pPr>
      <w:pBdr>
        <w:top w:val="single" w:sz="4" w:space="10" w:color="367079" w:themeColor="accent1" w:themeShade="BF"/>
        <w:bottom w:val="single" w:sz="4" w:space="10" w:color="367079" w:themeColor="accent1" w:themeShade="BF"/>
      </w:pBdr>
      <w:spacing w:before="360" w:after="360"/>
      <w:ind w:left="864" w:right="864"/>
      <w:jc w:val="center"/>
    </w:pPr>
    <w:rPr>
      <w:i/>
      <w:iCs/>
      <w:color w:val="367079" w:themeColor="accent1" w:themeShade="BF"/>
    </w:rPr>
  </w:style>
  <w:style w:type="character" w:customStyle="1" w:styleId="IntenseQuoteChar">
    <w:name w:val="Intense Quote Char"/>
    <w:basedOn w:val="DefaultParagraphFont"/>
    <w:link w:val="IntenseQuote"/>
    <w:uiPriority w:val="30"/>
    <w:rsid w:val="0091396A"/>
    <w:rPr>
      <w:i/>
      <w:iCs/>
      <w:color w:val="367079" w:themeColor="accent1" w:themeShade="BF"/>
    </w:rPr>
  </w:style>
  <w:style w:type="character" w:styleId="IntenseReference">
    <w:name w:val="Intense Reference"/>
    <w:basedOn w:val="DefaultParagraphFont"/>
    <w:uiPriority w:val="32"/>
    <w:qFormat/>
    <w:rsid w:val="0091396A"/>
    <w:rPr>
      <w:b/>
      <w:bCs/>
      <w:smallCaps/>
      <w:color w:val="367079" w:themeColor="accent1" w:themeShade="BF"/>
      <w:spacing w:val="5"/>
    </w:rPr>
  </w:style>
  <w:style w:type="table" w:customStyle="1" w:styleId="TPSTable">
    <w:name w:val="TPS Table"/>
    <w:basedOn w:val="TableNormal"/>
    <w:uiPriority w:val="99"/>
    <w:rsid w:val="004B6426"/>
    <w:pPr>
      <w:spacing w:before="40" w:after="40" w:line="276" w:lineRule="auto"/>
    </w:pPr>
    <w:rPr>
      <w:kern w:val="0"/>
      <w:sz w:val="22"/>
      <w:szCs w:val="22"/>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cPr>
      <w:shd w:val="clear" w:color="auto" w:fill="auto"/>
    </w:tcPr>
    <w:tblStylePr w:type="firstRow">
      <w:pPr>
        <w:wordWrap/>
        <w:spacing w:beforeLines="0" w:before="100" w:beforeAutospacing="0" w:afterLines="0" w:after="100" w:afterAutospacing="0" w:line="240" w:lineRule="auto"/>
        <w:contextualSpacing w:val="0"/>
        <w:mirrorIndents w:val="0"/>
        <w:jc w:val="center"/>
      </w:pPr>
      <w:rPr>
        <w:b/>
      </w:rPr>
      <w:tblPr/>
      <w:tcPr>
        <w:shd w:val="clear" w:color="auto" w:fill="367079" w:themeFill="accent1" w:themeFillShade="BF"/>
        <w:vAlign w:val="center"/>
      </w:tc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Pr/>
      <w:tcPr>
        <w:shd w:val="clear" w:color="auto" w:fill="D8EBEE" w:themeFill="accent1" w:themeFillTint="33"/>
        <w:vAlign w:val="center"/>
      </w:tc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Pr/>
      <w:tcPr>
        <w:vAlign w:val="center"/>
      </w:tcPr>
    </w:tblStylePr>
  </w:style>
  <w:style w:type="character" w:customStyle="1" w:styleId="TablecontentsChar">
    <w:name w:val="Table contents Char"/>
    <w:basedOn w:val="DefaultParagraphFont"/>
    <w:link w:val="Tablecontents"/>
    <w:uiPriority w:val="8"/>
    <w:locked/>
    <w:rsid w:val="002A1760"/>
    <w:rPr>
      <w:rFonts w:ascii="Calibri" w:hAnsi="Calibri" w:cstheme="minorHAnsi"/>
      <w:kern w:val="24"/>
      <w:sz w:val="22"/>
      <w14:ligatures w14:val="none"/>
    </w:rPr>
  </w:style>
  <w:style w:type="paragraph" w:customStyle="1" w:styleId="Tablecontents">
    <w:name w:val="Table contents"/>
    <w:link w:val="TablecontentsChar"/>
    <w:uiPriority w:val="8"/>
    <w:qFormat/>
    <w:rsid w:val="002A1760"/>
    <w:pPr>
      <w:spacing w:before="80" w:after="80" w:line="240" w:lineRule="auto"/>
    </w:pPr>
    <w:rPr>
      <w:rFonts w:ascii="Calibri" w:hAnsi="Calibri" w:cstheme="minorHAnsi"/>
      <w:kern w:val="24"/>
      <w:sz w:val="22"/>
      <w14:ligatures w14:val="none"/>
    </w:rPr>
  </w:style>
  <w:style w:type="paragraph" w:styleId="Header">
    <w:name w:val="header"/>
    <w:basedOn w:val="Normal"/>
    <w:link w:val="HeaderChar"/>
    <w:uiPriority w:val="99"/>
    <w:unhideWhenUsed/>
    <w:rsid w:val="007E7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F41"/>
    <w:rPr>
      <w:sz w:val="22"/>
      <w:szCs w:val="22"/>
    </w:rPr>
  </w:style>
  <w:style w:type="paragraph" w:styleId="Footer">
    <w:name w:val="footer"/>
    <w:basedOn w:val="Normal"/>
    <w:link w:val="FooterChar"/>
    <w:uiPriority w:val="99"/>
    <w:unhideWhenUsed/>
    <w:rsid w:val="007E7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F41"/>
    <w:rPr>
      <w:sz w:val="22"/>
      <w:szCs w:val="22"/>
    </w:rPr>
  </w:style>
  <w:style w:type="paragraph" w:styleId="NoSpacing">
    <w:name w:val="No Spacing"/>
    <w:uiPriority w:val="1"/>
    <w:qFormat/>
    <w:rsid w:val="00EF2714"/>
    <w:pPr>
      <w:spacing w:after="0" w:line="240" w:lineRule="auto"/>
    </w:pPr>
    <w:rPr>
      <w:sz w:val="22"/>
      <w:szCs w:val="22"/>
    </w:rPr>
  </w:style>
  <w:style w:type="character" w:styleId="Hyperlink">
    <w:name w:val="Hyperlink"/>
    <w:basedOn w:val="DefaultParagraphFont"/>
    <w:uiPriority w:val="99"/>
    <w:unhideWhenUsed/>
    <w:rsid w:val="000A7651"/>
    <w:rPr>
      <w:color w:val="357179" w:themeColor="hyperlink"/>
      <w:u w:val="single"/>
    </w:rPr>
  </w:style>
  <w:style w:type="character" w:styleId="UnresolvedMention">
    <w:name w:val="Unresolved Mention"/>
    <w:basedOn w:val="DefaultParagraphFont"/>
    <w:uiPriority w:val="99"/>
    <w:semiHidden/>
    <w:unhideWhenUsed/>
    <w:rsid w:val="000A7651"/>
    <w:rPr>
      <w:color w:val="605E5C"/>
      <w:shd w:val="clear" w:color="auto" w:fill="E1DFDD"/>
    </w:rPr>
  </w:style>
  <w:style w:type="table" w:styleId="TableGrid">
    <w:name w:val="Table Grid"/>
    <w:basedOn w:val="TableNormal"/>
    <w:uiPriority w:val="39"/>
    <w:rsid w:val="00A9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1B37"/>
    <w:rPr>
      <w:color w:val="666666"/>
    </w:rPr>
  </w:style>
  <w:style w:type="paragraph" w:styleId="FootnoteText">
    <w:name w:val="footnote text"/>
    <w:basedOn w:val="Normal"/>
    <w:link w:val="FootnoteTextChar"/>
    <w:uiPriority w:val="99"/>
    <w:semiHidden/>
    <w:unhideWhenUsed/>
    <w:rsid w:val="004B11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1B0"/>
    <w:rPr>
      <w:sz w:val="20"/>
      <w:szCs w:val="20"/>
    </w:rPr>
  </w:style>
  <w:style w:type="character" w:styleId="FootnoteReference">
    <w:name w:val="footnote reference"/>
    <w:basedOn w:val="DefaultParagraphFont"/>
    <w:uiPriority w:val="99"/>
    <w:semiHidden/>
    <w:unhideWhenUsed/>
    <w:rsid w:val="004B11B0"/>
    <w:rPr>
      <w:vertAlign w:val="superscript"/>
    </w:rPr>
  </w:style>
  <w:style w:type="character" w:styleId="FollowedHyperlink">
    <w:name w:val="FollowedHyperlink"/>
    <w:basedOn w:val="DefaultParagraphFont"/>
    <w:uiPriority w:val="99"/>
    <w:semiHidden/>
    <w:unhideWhenUsed/>
    <w:rsid w:val="00D43473"/>
    <w:rPr>
      <w:color w:val="0AA65C" w:themeColor="followedHyperlink"/>
      <w:u w:val="single"/>
    </w:rPr>
  </w:style>
  <w:style w:type="paragraph" w:customStyle="1" w:styleId="TableHeader">
    <w:name w:val="Table Header"/>
    <w:link w:val="TableHeaderChar"/>
    <w:uiPriority w:val="7"/>
    <w:qFormat/>
    <w:rsid w:val="002A1760"/>
    <w:pPr>
      <w:spacing w:before="100" w:after="100" w:line="240" w:lineRule="auto"/>
      <w:jc w:val="center"/>
    </w:pPr>
    <w:rPr>
      <w:rFonts w:ascii="Calibri" w:hAnsi="Calibri"/>
      <w:b/>
      <w:color w:val="FFFFFF" w:themeColor="background1"/>
      <w:sz w:val="23"/>
      <w:szCs w:val="22"/>
    </w:rPr>
  </w:style>
  <w:style w:type="character" w:customStyle="1" w:styleId="TableHeaderChar">
    <w:name w:val="Table Header Char"/>
    <w:basedOn w:val="DefaultParagraphFont"/>
    <w:link w:val="TableHeader"/>
    <w:uiPriority w:val="7"/>
    <w:rsid w:val="002A1760"/>
    <w:rPr>
      <w:rFonts w:ascii="Calibri" w:hAnsi="Calibri"/>
      <w:b/>
      <w:color w:val="FFFFFF" w:themeColor="background1"/>
      <w:sz w:val="23"/>
      <w:szCs w:val="22"/>
    </w:rPr>
  </w:style>
  <w:style w:type="paragraph" w:styleId="Revision">
    <w:name w:val="Revision"/>
    <w:hidden/>
    <w:uiPriority w:val="99"/>
    <w:semiHidden/>
    <w:rsid w:val="00D66772"/>
    <w:pPr>
      <w:spacing w:after="0" w:line="240" w:lineRule="auto"/>
    </w:pPr>
    <w:rPr>
      <w:sz w:val="22"/>
      <w:szCs w:val="22"/>
    </w:rPr>
  </w:style>
  <w:style w:type="character" w:styleId="CommentReference">
    <w:name w:val="annotation reference"/>
    <w:basedOn w:val="DefaultParagraphFont"/>
    <w:uiPriority w:val="99"/>
    <w:semiHidden/>
    <w:unhideWhenUsed/>
    <w:rsid w:val="0019500F"/>
    <w:rPr>
      <w:sz w:val="16"/>
      <w:szCs w:val="16"/>
    </w:rPr>
  </w:style>
  <w:style w:type="paragraph" w:styleId="CommentText">
    <w:name w:val="annotation text"/>
    <w:basedOn w:val="Normal"/>
    <w:link w:val="CommentTextChar"/>
    <w:uiPriority w:val="99"/>
    <w:unhideWhenUsed/>
    <w:rsid w:val="0019500F"/>
    <w:pPr>
      <w:spacing w:line="240" w:lineRule="auto"/>
    </w:pPr>
    <w:rPr>
      <w:sz w:val="20"/>
      <w:szCs w:val="20"/>
    </w:rPr>
  </w:style>
  <w:style w:type="character" w:customStyle="1" w:styleId="CommentTextChar">
    <w:name w:val="Comment Text Char"/>
    <w:basedOn w:val="DefaultParagraphFont"/>
    <w:link w:val="CommentText"/>
    <w:uiPriority w:val="99"/>
    <w:rsid w:val="0019500F"/>
    <w:rPr>
      <w:sz w:val="20"/>
      <w:szCs w:val="20"/>
    </w:rPr>
  </w:style>
  <w:style w:type="paragraph" w:styleId="CommentSubject">
    <w:name w:val="annotation subject"/>
    <w:basedOn w:val="CommentText"/>
    <w:next w:val="CommentText"/>
    <w:link w:val="CommentSubjectChar"/>
    <w:uiPriority w:val="99"/>
    <w:semiHidden/>
    <w:unhideWhenUsed/>
    <w:rsid w:val="0019500F"/>
    <w:rPr>
      <w:b/>
      <w:bCs/>
    </w:rPr>
  </w:style>
  <w:style w:type="character" w:customStyle="1" w:styleId="CommentSubjectChar">
    <w:name w:val="Comment Subject Char"/>
    <w:basedOn w:val="CommentTextChar"/>
    <w:link w:val="CommentSubject"/>
    <w:uiPriority w:val="99"/>
    <w:semiHidden/>
    <w:rsid w:val="00195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99801">
      <w:bodyDiv w:val="1"/>
      <w:marLeft w:val="0"/>
      <w:marRight w:val="0"/>
      <w:marTop w:val="0"/>
      <w:marBottom w:val="0"/>
      <w:divBdr>
        <w:top w:val="none" w:sz="0" w:space="0" w:color="auto"/>
        <w:left w:val="none" w:sz="0" w:space="0" w:color="auto"/>
        <w:bottom w:val="none" w:sz="0" w:space="0" w:color="auto"/>
        <w:right w:val="none" w:sz="0" w:space="0" w:color="auto"/>
      </w:divBdr>
    </w:div>
    <w:div w:id="630669359">
      <w:bodyDiv w:val="1"/>
      <w:marLeft w:val="0"/>
      <w:marRight w:val="0"/>
      <w:marTop w:val="0"/>
      <w:marBottom w:val="0"/>
      <w:divBdr>
        <w:top w:val="none" w:sz="0" w:space="0" w:color="auto"/>
        <w:left w:val="none" w:sz="0" w:space="0" w:color="auto"/>
        <w:bottom w:val="none" w:sz="0" w:space="0" w:color="auto"/>
        <w:right w:val="none" w:sz="0" w:space="0" w:color="auto"/>
      </w:divBdr>
    </w:div>
    <w:div w:id="658003325">
      <w:bodyDiv w:val="1"/>
      <w:marLeft w:val="0"/>
      <w:marRight w:val="0"/>
      <w:marTop w:val="0"/>
      <w:marBottom w:val="0"/>
      <w:divBdr>
        <w:top w:val="none" w:sz="0" w:space="0" w:color="auto"/>
        <w:left w:val="none" w:sz="0" w:space="0" w:color="auto"/>
        <w:bottom w:val="none" w:sz="0" w:space="0" w:color="auto"/>
        <w:right w:val="none" w:sz="0" w:space="0" w:color="auto"/>
      </w:divBdr>
    </w:div>
    <w:div w:id="690229828">
      <w:bodyDiv w:val="1"/>
      <w:marLeft w:val="0"/>
      <w:marRight w:val="0"/>
      <w:marTop w:val="0"/>
      <w:marBottom w:val="0"/>
      <w:divBdr>
        <w:top w:val="none" w:sz="0" w:space="0" w:color="auto"/>
        <w:left w:val="none" w:sz="0" w:space="0" w:color="auto"/>
        <w:bottom w:val="none" w:sz="0" w:space="0" w:color="auto"/>
        <w:right w:val="none" w:sz="0" w:space="0" w:color="auto"/>
      </w:divBdr>
    </w:div>
    <w:div w:id="881553223">
      <w:bodyDiv w:val="1"/>
      <w:marLeft w:val="0"/>
      <w:marRight w:val="0"/>
      <w:marTop w:val="0"/>
      <w:marBottom w:val="0"/>
      <w:divBdr>
        <w:top w:val="none" w:sz="0" w:space="0" w:color="auto"/>
        <w:left w:val="none" w:sz="0" w:space="0" w:color="auto"/>
        <w:bottom w:val="none" w:sz="0" w:space="0" w:color="auto"/>
        <w:right w:val="none" w:sz="0" w:space="0" w:color="auto"/>
      </w:divBdr>
    </w:div>
    <w:div w:id="988051265">
      <w:bodyDiv w:val="1"/>
      <w:marLeft w:val="0"/>
      <w:marRight w:val="0"/>
      <w:marTop w:val="0"/>
      <w:marBottom w:val="0"/>
      <w:divBdr>
        <w:top w:val="none" w:sz="0" w:space="0" w:color="auto"/>
        <w:left w:val="none" w:sz="0" w:space="0" w:color="auto"/>
        <w:bottom w:val="none" w:sz="0" w:space="0" w:color="auto"/>
        <w:right w:val="none" w:sz="0" w:space="0" w:color="auto"/>
      </w:divBdr>
    </w:div>
    <w:div w:id="1196500701">
      <w:bodyDiv w:val="1"/>
      <w:marLeft w:val="0"/>
      <w:marRight w:val="0"/>
      <w:marTop w:val="0"/>
      <w:marBottom w:val="0"/>
      <w:divBdr>
        <w:top w:val="none" w:sz="0" w:space="0" w:color="auto"/>
        <w:left w:val="none" w:sz="0" w:space="0" w:color="auto"/>
        <w:bottom w:val="none" w:sz="0" w:space="0" w:color="auto"/>
        <w:right w:val="none" w:sz="0" w:space="0" w:color="auto"/>
      </w:divBdr>
    </w:div>
    <w:div w:id="1331710584">
      <w:bodyDiv w:val="1"/>
      <w:marLeft w:val="0"/>
      <w:marRight w:val="0"/>
      <w:marTop w:val="0"/>
      <w:marBottom w:val="0"/>
      <w:divBdr>
        <w:top w:val="none" w:sz="0" w:space="0" w:color="auto"/>
        <w:left w:val="none" w:sz="0" w:space="0" w:color="auto"/>
        <w:bottom w:val="none" w:sz="0" w:space="0" w:color="auto"/>
        <w:right w:val="none" w:sz="0" w:space="0" w:color="auto"/>
      </w:divBdr>
    </w:div>
    <w:div w:id="1623540263">
      <w:bodyDiv w:val="1"/>
      <w:marLeft w:val="0"/>
      <w:marRight w:val="0"/>
      <w:marTop w:val="0"/>
      <w:marBottom w:val="0"/>
      <w:divBdr>
        <w:top w:val="none" w:sz="0" w:space="0" w:color="auto"/>
        <w:left w:val="none" w:sz="0" w:space="0" w:color="auto"/>
        <w:bottom w:val="none" w:sz="0" w:space="0" w:color="auto"/>
        <w:right w:val="none" w:sz="0" w:space="0" w:color="auto"/>
      </w:divBdr>
    </w:div>
    <w:div w:id="1827042764">
      <w:bodyDiv w:val="1"/>
      <w:marLeft w:val="0"/>
      <w:marRight w:val="0"/>
      <w:marTop w:val="0"/>
      <w:marBottom w:val="0"/>
      <w:divBdr>
        <w:top w:val="none" w:sz="0" w:space="0" w:color="auto"/>
        <w:left w:val="none" w:sz="0" w:space="0" w:color="auto"/>
        <w:bottom w:val="none" w:sz="0" w:space="0" w:color="auto"/>
        <w:right w:val="none" w:sz="0" w:space="0" w:color="auto"/>
      </w:divBdr>
    </w:div>
    <w:div w:id="1836064755">
      <w:bodyDiv w:val="1"/>
      <w:marLeft w:val="0"/>
      <w:marRight w:val="0"/>
      <w:marTop w:val="0"/>
      <w:marBottom w:val="0"/>
      <w:divBdr>
        <w:top w:val="none" w:sz="0" w:space="0" w:color="auto"/>
        <w:left w:val="none" w:sz="0" w:space="0" w:color="auto"/>
        <w:bottom w:val="none" w:sz="0" w:space="0" w:color="auto"/>
        <w:right w:val="none" w:sz="0" w:space="0" w:color="auto"/>
      </w:divBdr>
    </w:div>
    <w:div w:id="20826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ucation.gov.au/tps/resources/faqs-unit-completion-rate-risk-factor-calcul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20A00004/latest/vers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ducation.gov.au/tps/resources/faqs-unit-completion-rate-risk-factor-calculation" TargetMode="External"/><Relationship Id="rId1" Type="http://schemas.openxmlformats.org/officeDocument/2006/relationships/hyperlink" Target="http://www.legislation.gov.au/C2020A00004/latest/text" TargetMode="External"/></Relationships>
</file>

<file path=word/theme/theme1.xml><?xml version="1.0" encoding="utf-8"?>
<a:theme xmlns:a="http://schemas.openxmlformats.org/drawingml/2006/main" name="Office Theme">
  <a:themeElements>
    <a:clrScheme name="TPS">
      <a:dk1>
        <a:sysClr val="windowText" lastClr="000000"/>
      </a:dk1>
      <a:lt1>
        <a:srgbClr val="FFFFFF"/>
      </a:lt1>
      <a:dk2>
        <a:srgbClr val="E8F3F4"/>
      </a:dk2>
      <a:lt2>
        <a:srgbClr val="FBFBFB"/>
      </a:lt2>
      <a:accent1>
        <a:srgbClr val="4897A2"/>
      </a:accent1>
      <a:accent2>
        <a:srgbClr val="F15A29"/>
      </a:accent2>
      <a:accent3>
        <a:srgbClr val="D6165F"/>
      </a:accent3>
      <a:accent4>
        <a:srgbClr val="F0B50E"/>
      </a:accent4>
      <a:accent5>
        <a:srgbClr val="4DB3E6"/>
      </a:accent5>
      <a:accent6>
        <a:srgbClr val="8AB679"/>
      </a:accent6>
      <a:hlink>
        <a:srgbClr val="357179"/>
      </a:hlink>
      <a:folHlink>
        <a:srgbClr val="0AA65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9f9fa170a5a52d7c04e6e009e370bd8c">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f339af0c8c5079f593c0cce695512488"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4A2C-B4F8-48A1-AB36-0AEDE01F45E9}">
  <ds:schemaRefs>
    <ds:schemaRef ds:uri="http://schemas.openxmlformats.org/officeDocument/2006/bibliography"/>
  </ds:schemaRefs>
</ds:datastoreItem>
</file>

<file path=customXml/itemProps2.xml><?xml version="1.0" encoding="utf-8"?>
<ds:datastoreItem xmlns:ds="http://schemas.openxmlformats.org/officeDocument/2006/customXml" ds:itemID="{DB51C825-E898-4CFA-AA0F-61F0D7CEA7D9}">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3.xml><?xml version="1.0" encoding="utf-8"?>
<ds:datastoreItem xmlns:ds="http://schemas.openxmlformats.org/officeDocument/2006/customXml" ds:itemID="{EC296C79-0B1D-4531-8EAA-7D6F373E88F5}">
  <ds:schemaRefs>
    <ds:schemaRef ds:uri="http://schemas.microsoft.com/sharepoint/v3/contenttype/forms"/>
  </ds:schemaRefs>
</ds:datastoreItem>
</file>

<file path=customXml/itemProps4.xml><?xml version="1.0" encoding="utf-8"?>
<ds:datastoreItem xmlns:ds="http://schemas.openxmlformats.org/officeDocument/2006/customXml" ds:itemID="{A5464897-8911-4362-93C7-37D67569B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Words>
  <Characters>7580</Characters>
  <Application>Microsoft Office Word</Application>
  <DocSecurity>0</DocSecurity>
  <Lines>48</Lines>
  <Paragraphs>1</Paragraphs>
  <ScaleCrop>false</ScaleCrop>
  <HeadingPairs>
    <vt:vector size="2" baseType="variant">
      <vt:variant>
        <vt:lpstr>Title</vt:lpstr>
      </vt:variant>
      <vt:variant>
        <vt:i4>1</vt:i4>
      </vt:variant>
    </vt:vector>
  </HeadingPairs>
  <TitlesOfParts>
    <vt:vector size="1" baseType="lpstr">
      <vt:lpstr>2025 Higher Education Loan Program (HELP) Tuition Protection Levy Calculation Guidelines</vt:lpstr>
    </vt:vector>
  </TitlesOfParts>
  <Company/>
  <LinksUpToDate>false</LinksUpToDate>
  <CharactersWithSpaces>7874</CharactersWithSpaces>
  <SharedDoc>false</SharedDoc>
  <HLinks>
    <vt:vector size="12" baseType="variant">
      <vt:variant>
        <vt:i4>655425</vt:i4>
      </vt:variant>
      <vt:variant>
        <vt:i4>3</vt:i4>
      </vt:variant>
      <vt:variant>
        <vt:i4>0</vt:i4>
      </vt:variant>
      <vt:variant>
        <vt:i4>5</vt:i4>
      </vt:variant>
      <vt:variant>
        <vt:lpwstr>https://www.education.gov.au/tps/resources/faqs-unit-completion-rate-risk-factor-calculation</vt:lpwstr>
      </vt:variant>
      <vt:variant>
        <vt:lpwstr/>
      </vt:variant>
      <vt:variant>
        <vt:i4>3145788</vt:i4>
      </vt:variant>
      <vt:variant>
        <vt:i4>0</vt:i4>
      </vt:variant>
      <vt:variant>
        <vt:i4>0</vt:i4>
      </vt:variant>
      <vt:variant>
        <vt:i4>5</vt:i4>
      </vt:variant>
      <vt:variant>
        <vt:lpwstr>https://www.legislation.gov.au/C2020A00004/latest/versions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Higher Education Loan Program (HELP) Tuition Protection Levy Calculation Guidelines</dc:title>
  <dc:subject/>
  <dc:creator/>
  <cp:keywords/>
  <dc:description/>
  <cp:lastModifiedBy/>
  <cp:revision>1</cp:revision>
  <dcterms:created xsi:type="dcterms:W3CDTF">2025-11-03T03:50:00Z</dcterms:created>
  <dcterms:modified xsi:type="dcterms:W3CDTF">2025-11-03T04:31:00Z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2025-11-03T03:51:29Z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58b707b1-9d6a-420e-a2ed-fcf30d2fa285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