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40085" w14:textId="014DE574" w:rsidR="00107DD5" w:rsidRDefault="005701FA" w:rsidP="004C2BDB">
      <w:pPr>
        <w:tabs>
          <w:tab w:val="right" w:pos="9026"/>
        </w:tabs>
      </w:pPr>
      <w:r>
        <w:rPr>
          <w:noProof/>
        </w:rPr>
        <w:drawing>
          <wp:anchor distT="0" distB="0" distL="114300" distR="114300" simplePos="0" relativeHeight="251658241" behindDoc="0" locked="0" layoutInCell="1" allowOverlap="1" wp14:anchorId="2468456B" wp14:editId="537FBB8B">
            <wp:simplePos x="0" y="0"/>
            <wp:positionH relativeFrom="margin">
              <wp:posOffset>216309</wp:posOffset>
            </wp:positionH>
            <wp:positionV relativeFrom="paragraph">
              <wp:posOffset>126283</wp:posOffset>
            </wp:positionV>
            <wp:extent cx="3176156" cy="733425"/>
            <wp:effectExtent l="0" t="0" r="5715" b="0"/>
            <wp:wrapNone/>
            <wp:docPr id="3" name="Graphic 3" descr="Australian Government. Higher Education Gender-based Violence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Higher Education Gender-based Violence Regulator."/>
                    <pic:cNvPicPr/>
                  </pic:nvPicPr>
                  <pic:blipFill>
                    <a:blip r:embed="rId11">
                      <a:extLst>
                        <a:ext uri="{28A0092B-C50C-407E-A947-70E740481C1C}">
                          <a14:useLocalDpi xmlns:a14="http://schemas.microsoft.com/office/drawing/2010/main" val="0"/>
                        </a:ext>
                      </a:extLst>
                    </a:blip>
                    <a:stretch>
                      <a:fillRect/>
                    </a:stretch>
                  </pic:blipFill>
                  <pic:spPr>
                    <a:xfrm>
                      <a:off x="0" y="0"/>
                      <a:ext cx="3176156" cy="733425"/>
                    </a:xfrm>
                    <a:prstGeom prst="rect">
                      <a:avLst/>
                    </a:prstGeom>
                  </pic:spPr>
                </pic:pic>
              </a:graphicData>
            </a:graphic>
            <wp14:sizeRelH relativeFrom="page">
              <wp14:pctWidth>0</wp14:pctWidth>
            </wp14:sizeRelH>
            <wp14:sizeRelV relativeFrom="page">
              <wp14:pctHeight>0</wp14:pctHeight>
            </wp14:sizeRelV>
          </wp:anchor>
        </w:drawing>
      </w:r>
      <w:r w:rsidRPr="00CA4815">
        <w:rPr>
          <w:b/>
          <w:bCs/>
          <w:noProof/>
        </w:rPr>
        <w:drawing>
          <wp:anchor distT="0" distB="0" distL="114300" distR="114300" simplePos="0" relativeHeight="251658240" behindDoc="1" locked="1" layoutInCell="1" allowOverlap="1" wp14:anchorId="6512E0FF" wp14:editId="07BA99A6">
            <wp:simplePos x="0" y="0"/>
            <wp:positionH relativeFrom="page">
              <wp:align>left</wp:align>
            </wp:positionH>
            <wp:positionV relativeFrom="paragraph">
              <wp:posOffset>-491490</wp:posOffset>
            </wp:positionV>
            <wp:extent cx="10668000" cy="1903095"/>
            <wp:effectExtent l="0" t="0" r="0" b="190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10668000" cy="1903095"/>
                    </a:xfrm>
                    <a:prstGeom prst="rect">
                      <a:avLst/>
                    </a:prstGeom>
                  </pic:spPr>
                </pic:pic>
              </a:graphicData>
            </a:graphic>
            <wp14:sizeRelH relativeFrom="page">
              <wp14:pctWidth>0</wp14:pctWidth>
            </wp14:sizeRelH>
            <wp14:sizeRelV relativeFrom="page">
              <wp14:pctHeight>0</wp14:pctHeight>
            </wp14:sizeRelV>
          </wp:anchor>
        </w:drawing>
      </w:r>
      <w:r w:rsidR="004C2BDB">
        <w:tab/>
      </w:r>
    </w:p>
    <w:bookmarkStart w:id="0" w:name="_Toc126923157" w:displacedByCustomXml="next"/>
    <w:bookmarkStart w:id="1" w:name="_Toc126923146" w:displacedByCustomXml="next"/>
    <w:bookmarkStart w:id="2" w:name="_Hlk215489433" w:displacedByCustomXml="next"/>
    <w:sdt>
      <w:sdtPr>
        <w:rPr>
          <w:sz w:val="36"/>
          <w:szCs w:val="36"/>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3284C95B" w14:textId="164A52DB" w:rsidR="00221D8F" w:rsidRPr="00A57F39" w:rsidRDefault="008D247A" w:rsidP="0068345B">
          <w:pPr>
            <w:pStyle w:val="Heading1"/>
            <w:spacing w:before="1920"/>
            <w:rPr>
              <w:sz w:val="36"/>
              <w:szCs w:val="36"/>
            </w:rPr>
          </w:pPr>
          <w:r w:rsidRPr="00A57F39">
            <w:rPr>
              <w:sz w:val="36"/>
              <w:szCs w:val="36"/>
            </w:rPr>
            <w:t>National Higher Education Code to Prevent and Respond to Gender-based Violence</w:t>
          </w:r>
        </w:p>
      </w:sdtContent>
    </w:sdt>
    <w:bookmarkEnd w:id="0" w:displacedByCustomXml="prev"/>
    <w:bookmarkEnd w:id="1" w:displacedByCustomXml="prev"/>
    <w:p w14:paraId="5ED2490A" w14:textId="1CCBD0A0" w:rsidR="008112B3" w:rsidRPr="008112B3" w:rsidRDefault="008112B3" w:rsidP="0068345B">
      <w:pPr>
        <w:pStyle w:val="Subtitle"/>
      </w:pPr>
      <w:bookmarkStart w:id="3" w:name="_Hlk215489438"/>
      <w:bookmarkEnd w:id="2"/>
      <w:r w:rsidRPr="008112B3">
        <w:t xml:space="preserve">Table 1: Key Requirements of </w:t>
      </w:r>
      <w:r w:rsidR="00882EFD">
        <w:t>P</w:t>
      </w:r>
      <w:r w:rsidR="00051FEB">
        <w:t>roviders</w:t>
      </w:r>
      <w:r w:rsidRPr="008112B3">
        <w:t xml:space="preserve"> (by Standard) </w:t>
      </w:r>
    </w:p>
    <w:p w14:paraId="4448F3C0" w14:textId="45F9617F" w:rsidR="008112B3" w:rsidRPr="008112B3" w:rsidRDefault="008112B3" w:rsidP="0068345B">
      <w:bookmarkStart w:id="4" w:name="_Hlk215489448"/>
      <w:bookmarkEnd w:id="3"/>
      <w:r w:rsidRPr="008112B3">
        <w:t xml:space="preserve">Published </w:t>
      </w:r>
      <w:r w:rsidR="00AE1637">
        <w:t>June</w:t>
      </w:r>
      <w:r w:rsidRPr="008112B3">
        <w:t xml:space="preserve"> 202</w:t>
      </w:r>
      <w:r w:rsidR="00B23EE2">
        <w:t>6</w:t>
      </w:r>
    </w:p>
    <w:p w14:paraId="3DBBF4E7" w14:textId="72DBD25B" w:rsidR="008112B3" w:rsidRPr="008112B3" w:rsidRDefault="008112B3" w:rsidP="00DE22E7">
      <w:pPr>
        <w:spacing w:after="0"/>
      </w:pPr>
      <w:r>
        <w:t xml:space="preserve">This table provides a summary of key National Code requirements – for further detail see the </w:t>
      </w:r>
      <w:hyperlink r:id="rId13">
        <w:r w:rsidRPr="682179F3">
          <w:rPr>
            <w:rStyle w:val="Hyperlink"/>
          </w:rPr>
          <w:t>National Higher Education Code to Prevent and Respond to Gender-based Violence</w:t>
        </w:r>
      </w:hyperlink>
    </w:p>
    <w:p w14:paraId="4B05793B" w14:textId="27EB26AE" w:rsidR="682179F3" w:rsidRDefault="682179F3" w:rsidP="682179F3">
      <w:pPr>
        <w:spacing w:after="0"/>
      </w:pPr>
    </w:p>
    <w:p w14:paraId="647AE013" w14:textId="168D8029" w:rsidR="00B35DA6" w:rsidRDefault="00B35DA6" w:rsidP="4F0141CF">
      <w:pPr>
        <w:spacing w:after="0"/>
      </w:pPr>
      <w:r>
        <w:t xml:space="preserve">References to the Initial Date </w:t>
      </w:r>
      <w:r w:rsidR="00FC0292">
        <w:t>are references to:</w:t>
      </w:r>
    </w:p>
    <w:p w14:paraId="7884B175" w14:textId="77777777" w:rsidR="00FC0292" w:rsidRDefault="00FC0292" w:rsidP="4F0141CF">
      <w:pPr>
        <w:spacing w:after="0"/>
      </w:pPr>
    </w:p>
    <w:p w14:paraId="17B4792D" w14:textId="6C957EDE" w:rsidR="00FC0292" w:rsidRDefault="00DA32DF" w:rsidP="00FC0292">
      <w:pPr>
        <w:pStyle w:val="ListParagraph"/>
        <w:numPr>
          <w:ilvl w:val="0"/>
          <w:numId w:val="36"/>
        </w:numPr>
        <w:spacing w:after="0"/>
      </w:pPr>
      <w:r>
        <w:t xml:space="preserve">1 January 2026 for </w:t>
      </w:r>
      <w:r w:rsidR="00F87E62">
        <w:t xml:space="preserve">providers that are </w:t>
      </w:r>
      <w:r w:rsidR="00FC0292">
        <w:t xml:space="preserve">Table A and B </w:t>
      </w:r>
      <w:r w:rsidR="00F87E62">
        <w:t>P</w:t>
      </w:r>
      <w:r w:rsidR="00FC0292">
        <w:t>roviders</w:t>
      </w:r>
      <w:r w:rsidR="00F87E62">
        <w:t xml:space="preserve"> under the Higher Education Support Act 2003 (</w:t>
      </w:r>
      <w:proofErr w:type="spellStart"/>
      <w:r w:rsidR="00F87E62">
        <w:t>Cth</w:t>
      </w:r>
      <w:proofErr w:type="spellEnd"/>
      <w:r w:rsidR="00F87E62">
        <w:t xml:space="preserve">) as </w:t>
      </w:r>
      <w:proofErr w:type="gramStart"/>
      <w:r w:rsidR="00F87E62">
        <w:t>at</w:t>
      </w:r>
      <w:proofErr w:type="gramEnd"/>
      <w:r w:rsidR="00F87E62">
        <w:t xml:space="preserve"> 1 January 2026</w:t>
      </w:r>
      <w:r>
        <w:t>;</w:t>
      </w:r>
    </w:p>
    <w:p w14:paraId="3BCD02C6" w14:textId="34BD1744" w:rsidR="00FC0292" w:rsidRDefault="00DA32DF" w:rsidP="00FC0292">
      <w:pPr>
        <w:pStyle w:val="ListParagraph"/>
        <w:numPr>
          <w:ilvl w:val="0"/>
          <w:numId w:val="36"/>
        </w:numPr>
        <w:spacing w:after="0"/>
      </w:pPr>
      <w:r>
        <w:t xml:space="preserve">1 January 2027 for </w:t>
      </w:r>
      <w:r w:rsidR="0032739F">
        <w:t>all other providers registered under the Tertiary Education Quality and Standards Agency Act 2011 (</w:t>
      </w:r>
      <w:proofErr w:type="spellStart"/>
      <w:r w:rsidR="0032739F">
        <w:t>Cth</w:t>
      </w:r>
      <w:proofErr w:type="spellEnd"/>
      <w:r w:rsidR="0032739F">
        <w:t xml:space="preserve">) before 1 January 2027; </w:t>
      </w:r>
    </w:p>
    <w:p w14:paraId="1975A2CA" w14:textId="0EB7D323" w:rsidR="00B35DA6" w:rsidRDefault="00DA32DF" w:rsidP="00DA32DF">
      <w:pPr>
        <w:pStyle w:val="ListParagraph"/>
        <w:numPr>
          <w:ilvl w:val="0"/>
          <w:numId w:val="36"/>
        </w:numPr>
        <w:spacing w:after="0"/>
      </w:pPr>
      <w:r>
        <w:t>the date on which the Provider is registered under the Tertiary Education Quality and Standards Act 2011 (</w:t>
      </w:r>
      <w:proofErr w:type="spellStart"/>
      <w:r>
        <w:t>Cth</w:t>
      </w:r>
      <w:proofErr w:type="spellEnd"/>
      <w:r>
        <w:t>) for</w:t>
      </w:r>
      <w:r w:rsidR="0032739F">
        <w:t xml:space="preserve"> all</w:t>
      </w:r>
      <w:r>
        <w:t xml:space="preserve"> providers registered after 1 January 2027. </w:t>
      </w:r>
    </w:p>
    <w:p w14:paraId="37B7AA84" w14:textId="77777777" w:rsidR="00DA32DF" w:rsidRDefault="00DA32DF" w:rsidP="4F0141CF">
      <w:pPr>
        <w:spacing w:after="0"/>
      </w:pPr>
    </w:p>
    <w:p w14:paraId="264ACE8F" w14:textId="33AE1064" w:rsidR="21C109E7" w:rsidRDefault="21C109E7" w:rsidP="4F0141CF">
      <w:pPr>
        <w:spacing w:after="0"/>
      </w:pPr>
      <w:r>
        <w:t xml:space="preserve">The </w:t>
      </w:r>
      <w:r w:rsidR="00D33832">
        <w:t xml:space="preserve">other </w:t>
      </w:r>
      <w:r>
        <w:t>defin</w:t>
      </w:r>
      <w:r w:rsidR="003821D4">
        <w:t>it</w:t>
      </w:r>
      <w:r>
        <w:t xml:space="preserve">ions used in the table are derived from the National Code. </w:t>
      </w:r>
    </w:p>
    <w:tbl>
      <w:tblPr>
        <w:tblW w:w="15180" w:type="dxa"/>
        <w:tblInd w:w="-10" w:type="dxa"/>
        <w:tblLayout w:type="fixed"/>
        <w:tblCellMar>
          <w:left w:w="0" w:type="dxa"/>
          <w:right w:w="0" w:type="dxa"/>
        </w:tblCellMar>
        <w:tblLook w:val="04A0" w:firstRow="1" w:lastRow="0" w:firstColumn="1" w:lastColumn="0" w:noHBand="0" w:noVBand="1"/>
      </w:tblPr>
      <w:tblGrid>
        <w:gridCol w:w="10"/>
        <w:gridCol w:w="744"/>
        <w:gridCol w:w="9039"/>
        <w:gridCol w:w="2552"/>
        <w:gridCol w:w="565"/>
        <w:gridCol w:w="567"/>
        <w:gridCol w:w="569"/>
        <w:gridCol w:w="425"/>
        <w:gridCol w:w="709"/>
      </w:tblGrid>
      <w:tr w:rsidR="008112B3" w:rsidRPr="008112B3" w14:paraId="6F638B46" w14:textId="77777777" w:rsidTr="00A57F39">
        <w:trPr>
          <w:gridBefore w:val="1"/>
          <w:wBefore w:w="10" w:type="dxa"/>
          <w:trHeight w:val="238"/>
        </w:trPr>
        <w:tc>
          <w:tcPr>
            <w:tcW w:w="12335" w:type="dxa"/>
            <w:gridSpan w:val="3"/>
            <w:tcBorders>
              <w:top w:val="nil"/>
              <w:left w:val="nil"/>
              <w:bottom w:val="single" w:sz="4" w:space="0" w:color="auto"/>
              <w:right w:val="single" w:sz="4" w:space="0" w:color="auto"/>
            </w:tcBorders>
            <w:tcMar>
              <w:top w:w="0" w:type="dxa"/>
              <w:left w:w="108" w:type="dxa"/>
              <w:bottom w:w="0" w:type="dxa"/>
              <w:right w:w="108" w:type="dxa"/>
            </w:tcMar>
          </w:tcPr>
          <w:p w14:paraId="6EAF07D3" w14:textId="62419B87" w:rsidR="008112B3" w:rsidRPr="008112B3" w:rsidRDefault="00513439" w:rsidP="00513439">
            <w:pPr>
              <w:tabs>
                <w:tab w:val="left" w:pos="8861"/>
              </w:tabs>
              <w:rPr>
                <w:b/>
                <w:bCs/>
              </w:rPr>
            </w:pPr>
            <w:bookmarkStart w:id="5" w:name="_Hlk215489553"/>
            <w:bookmarkEnd w:id="4"/>
            <w:r>
              <w:rPr>
                <w:b/>
                <w:bCs/>
              </w:rPr>
              <w:tab/>
            </w:r>
          </w:p>
        </w:tc>
        <w:tc>
          <w:tcPr>
            <w:tcW w:w="2835"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CC158C" w14:textId="77777777" w:rsidR="008112B3" w:rsidRPr="008112B3" w:rsidRDefault="008112B3" w:rsidP="00A57F39">
            <w:pPr>
              <w:spacing w:after="40"/>
              <w:rPr>
                <w:b/>
                <w:bCs/>
              </w:rPr>
            </w:pPr>
            <w:r w:rsidRPr="008112B3">
              <w:rPr>
                <w:b/>
                <w:bCs/>
              </w:rPr>
              <w:t xml:space="preserve">Area of </w:t>
            </w:r>
            <w:r w:rsidRPr="008112B3">
              <w:rPr>
                <w:rStyle w:val="Strong"/>
              </w:rPr>
              <w:t>focus</w:t>
            </w:r>
            <w:r w:rsidRPr="008112B3">
              <w:rPr>
                <w:b/>
                <w:bCs/>
              </w:rPr>
              <w:t xml:space="preserve"> </w:t>
            </w:r>
          </w:p>
        </w:tc>
      </w:tr>
      <w:tr w:rsidR="008112B3" w:rsidRPr="008112B3" w14:paraId="2B2DE1BC" w14:textId="77777777" w:rsidTr="7AB4989F">
        <w:trPr>
          <w:gridBefore w:val="1"/>
          <w:wBefore w:w="10" w:type="dxa"/>
          <w:cantSplit/>
          <w:trHeight w:val="1428"/>
        </w:trPr>
        <w:tc>
          <w:tcPr>
            <w:tcW w:w="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8E30074" w14:textId="77777777" w:rsidR="008112B3" w:rsidRPr="008112B3" w:rsidRDefault="008112B3" w:rsidP="008112B3">
            <w:pPr>
              <w:rPr>
                <w:rStyle w:val="Strong"/>
              </w:rPr>
            </w:pPr>
            <w:r w:rsidRPr="008112B3">
              <w:rPr>
                <w:rStyle w:val="Strong"/>
              </w:rPr>
              <w:t>Ref.</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7953E15" w14:textId="77777777" w:rsidR="008112B3" w:rsidRPr="008112B3" w:rsidRDefault="008112B3" w:rsidP="008112B3">
            <w:pPr>
              <w:rPr>
                <w:rStyle w:val="Strong"/>
              </w:rPr>
            </w:pPr>
            <w:r w:rsidRPr="008112B3">
              <w:rPr>
                <w:rStyle w:val="Strong"/>
              </w:rPr>
              <w:t>Specific Requirement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37B5A3C" w14:textId="77777777" w:rsidR="008112B3" w:rsidRPr="008112B3" w:rsidRDefault="008112B3" w:rsidP="008112B3">
            <w:pPr>
              <w:rPr>
                <w:rStyle w:val="Strong"/>
              </w:rPr>
            </w:pPr>
            <w:r w:rsidRPr="008112B3">
              <w:rPr>
                <w:rStyle w:val="Strong"/>
              </w:rPr>
              <w:t>Timing and cadence</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3E4188E3" w14:textId="77777777" w:rsidR="008112B3" w:rsidRPr="008112B3" w:rsidRDefault="008112B3" w:rsidP="008112B3">
            <w:pPr>
              <w:rPr>
                <w:rStyle w:val="Strong"/>
              </w:rPr>
            </w:pPr>
            <w:r w:rsidRPr="008112B3">
              <w:rPr>
                <w:rStyle w:val="Strong"/>
              </w:rPr>
              <w:t>Capability</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732D452D" w14:textId="77777777" w:rsidR="008112B3" w:rsidRPr="008112B3" w:rsidRDefault="008112B3" w:rsidP="008112B3">
            <w:pPr>
              <w:rPr>
                <w:rStyle w:val="Strong"/>
              </w:rPr>
            </w:pPr>
            <w:r w:rsidRPr="008112B3">
              <w:rPr>
                <w:rStyle w:val="Strong"/>
              </w:rPr>
              <w:t>Governance</w:t>
            </w: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2AC3D1F3" w14:textId="77777777" w:rsidR="008112B3" w:rsidRPr="008112B3" w:rsidRDefault="008112B3" w:rsidP="008112B3">
            <w:pPr>
              <w:rPr>
                <w:rStyle w:val="Strong"/>
              </w:rPr>
            </w:pPr>
            <w:r w:rsidRPr="008112B3">
              <w:rPr>
                <w:rStyle w:val="Strong"/>
              </w:rPr>
              <w:t>Reporting</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355A21D5" w14:textId="77777777" w:rsidR="008112B3" w:rsidRPr="008112B3" w:rsidRDefault="008112B3" w:rsidP="008112B3">
            <w:pPr>
              <w:rPr>
                <w:rStyle w:val="Strong"/>
              </w:rPr>
            </w:pPr>
            <w:r w:rsidRPr="008112B3">
              <w:rPr>
                <w:rStyle w:val="Strong"/>
              </w:rPr>
              <w:t>Data</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5DD0B7F4" w14:textId="77777777" w:rsidR="008112B3" w:rsidRPr="008112B3" w:rsidRDefault="008112B3" w:rsidP="008112B3">
            <w:pPr>
              <w:rPr>
                <w:rStyle w:val="Strong"/>
              </w:rPr>
            </w:pPr>
            <w:r w:rsidRPr="008112B3">
              <w:rPr>
                <w:rStyle w:val="Strong"/>
              </w:rPr>
              <w:t>Processes and systems</w:t>
            </w:r>
          </w:p>
        </w:tc>
      </w:tr>
      <w:tr w:rsidR="008112B3" w:rsidRPr="008112B3" w14:paraId="334DDAEA" w14:textId="77777777" w:rsidTr="7AB4989F">
        <w:trPr>
          <w:gridBefore w:val="1"/>
          <w:wBefore w:w="10" w:type="dxa"/>
        </w:trPr>
        <w:tc>
          <w:tcPr>
            <w:tcW w:w="15170" w:type="dxa"/>
            <w:gridSpan w:val="8"/>
            <w:tcBorders>
              <w:top w:val="single" w:sz="4" w:space="0" w:color="auto"/>
              <w:left w:val="single" w:sz="4" w:space="0" w:color="auto"/>
              <w:bottom w:val="single" w:sz="4" w:space="0" w:color="auto"/>
              <w:right w:val="single" w:sz="4" w:space="0" w:color="auto"/>
            </w:tcBorders>
            <w:shd w:val="clear" w:color="auto" w:fill="48255F"/>
            <w:tcMar>
              <w:top w:w="0" w:type="dxa"/>
              <w:left w:w="108" w:type="dxa"/>
              <w:bottom w:w="0" w:type="dxa"/>
              <w:right w:w="108" w:type="dxa"/>
            </w:tcMar>
            <w:hideMark/>
          </w:tcPr>
          <w:p w14:paraId="1A39B7D3" w14:textId="77777777" w:rsidR="008112B3" w:rsidRPr="00520AC5" w:rsidRDefault="008112B3" w:rsidP="00520AC5">
            <w:pPr>
              <w:rPr>
                <w:rStyle w:val="Strong"/>
              </w:rPr>
            </w:pPr>
            <w:r w:rsidRPr="00520AC5">
              <w:rPr>
                <w:rStyle w:val="Strong"/>
              </w:rPr>
              <w:t>STANDARD 1: ACCOUNTABLE LEADERSHIP AND GOVERNANCE</w:t>
            </w:r>
          </w:p>
        </w:tc>
      </w:tr>
      <w:tr w:rsidR="008112B3" w:rsidRPr="008112B3" w14:paraId="6CD80874" w14:textId="77777777" w:rsidTr="7AB4989F">
        <w:trPr>
          <w:gridBefore w:val="1"/>
          <w:wBefore w:w="10" w:type="dxa"/>
          <w:cantSplit/>
          <w:trHeight w:val="1002"/>
        </w:trPr>
        <w:tc>
          <w:tcPr>
            <w:tcW w:w="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D424DD" w14:textId="77777777" w:rsidR="008112B3" w:rsidRPr="008112B3" w:rsidRDefault="008112B3" w:rsidP="00926287">
            <w:r w:rsidRPr="008112B3">
              <w:lastRenderedPageBreak/>
              <w:t>1.2</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9714AC" w14:textId="77777777" w:rsidR="008112B3" w:rsidRPr="008112B3" w:rsidRDefault="008112B3" w:rsidP="00DE22E7">
            <w:pPr>
              <w:spacing w:after="120"/>
            </w:pPr>
            <w:r w:rsidRPr="008112B3">
              <w:t xml:space="preserve">A </w:t>
            </w:r>
            <w:r w:rsidRPr="008112B3">
              <w:rPr>
                <w:b/>
                <w:bCs/>
              </w:rPr>
              <w:t>Provider</w:t>
            </w:r>
            <w:r w:rsidRPr="008112B3">
              <w:t xml:space="preserve"> must have expertise in </w:t>
            </w:r>
            <w:r w:rsidRPr="008112B3">
              <w:rPr>
                <w:b/>
                <w:bCs/>
              </w:rPr>
              <w:t>Student</w:t>
            </w:r>
            <w:r w:rsidRPr="008112B3">
              <w:t xml:space="preserve"> and </w:t>
            </w:r>
            <w:r w:rsidRPr="008112B3">
              <w:rPr>
                <w:b/>
                <w:bCs/>
              </w:rPr>
              <w:t>Staff</w:t>
            </w:r>
            <w:r w:rsidRPr="008112B3">
              <w:t xml:space="preserve"> safety and wellbeing within the membership of the </w:t>
            </w:r>
            <w:r w:rsidRPr="008112B3">
              <w:rPr>
                <w:b/>
                <w:bCs/>
              </w:rPr>
              <w:t>Provider's</w:t>
            </w:r>
            <w:r w:rsidRPr="008112B3">
              <w:t xml:space="preserve"> </w:t>
            </w:r>
            <w:r w:rsidRPr="008112B3">
              <w:rPr>
                <w:b/>
                <w:bCs/>
              </w:rPr>
              <w:t>Governing Body</w:t>
            </w:r>
            <w:r w:rsidRPr="008112B3">
              <w:t xml:space="preserve"> or a subcommittee that reports directly to the </w:t>
            </w:r>
            <w:r w:rsidRPr="008112B3">
              <w:rPr>
                <w:b/>
                <w:bCs/>
              </w:rPr>
              <w:t>Provider's</w:t>
            </w:r>
            <w:r w:rsidRPr="008112B3">
              <w:t xml:space="preserve"> </w:t>
            </w:r>
            <w:r w:rsidRPr="008112B3">
              <w:rPr>
                <w:b/>
                <w:bCs/>
              </w:rPr>
              <w:t>Governing Body</w:t>
            </w:r>
            <w:r w:rsidRPr="008112B3">
              <w:t xml:space="preserve"> that has delegated responsibility for </w:t>
            </w:r>
            <w:r w:rsidRPr="008112B3">
              <w:rPr>
                <w:b/>
                <w:bCs/>
              </w:rPr>
              <w:t>Student</w:t>
            </w:r>
            <w:r w:rsidRPr="008112B3">
              <w:t xml:space="preserve"> and </w:t>
            </w:r>
            <w:r w:rsidRPr="008112B3">
              <w:rPr>
                <w:b/>
                <w:bCs/>
              </w:rPr>
              <w:t xml:space="preserve">Staff </w:t>
            </w:r>
            <w:r w:rsidRPr="008112B3">
              <w:t xml:space="preserve">safety and wellbeing.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00AA8E" w14:textId="55187648" w:rsidR="008112B3" w:rsidRPr="008112B3" w:rsidRDefault="00EF69D8" w:rsidP="00926287">
            <w:r>
              <w:t xml:space="preserve">From </w:t>
            </w:r>
            <w:r w:rsidR="00DA32DF">
              <w:t>the Initial Date</w:t>
            </w:r>
            <w:r w:rsidR="008112B3" w:rsidRPr="008112B3">
              <w:t xml:space="preserve">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609BD989" w14:textId="77777777" w:rsidR="008112B3" w:rsidRPr="00794D0D" w:rsidRDefault="008112B3" w:rsidP="00794D0D">
            <w:pPr>
              <w:jc w:val="center"/>
              <w:rPr>
                <w:b/>
                <w:sz w:val="32"/>
                <w:szCs w:val="32"/>
              </w:rPr>
            </w:pPr>
            <w:r w:rsidRPr="00794D0D">
              <w:rPr>
                <w:b/>
                <w:sz w:val="32"/>
                <w:szCs w:val="32"/>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5F53AD7" w14:textId="77777777" w:rsidR="008112B3" w:rsidRPr="00794D0D" w:rsidRDefault="008112B3" w:rsidP="00794D0D">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BDF3900" w14:textId="77777777" w:rsidR="008112B3" w:rsidRPr="00794D0D" w:rsidRDefault="008112B3" w:rsidP="00794D0D">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D9A883E" w14:textId="77777777" w:rsidR="008112B3" w:rsidRPr="00794D0D" w:rsidRDefault="008112B3" w:rsidP="00794D0D">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C69AB29" w14:textId="77777777" w:rsidR="008112B3" w:rsidRPr="00794D0D" w:rsidRDefault="008112B3" w:rsidP="00794D0D">
            <w:pPr>
              <w:jc w:val="center"/>
              <w:rPr>
                <w:b/>
                <w:sz w:val="32"/>
                <w:szCs w:val="32"/>
              </w:rPr>
            </w:pPr>
          </w:p>
        </w:tc>
      </w:tr>
      <w:tr w:rsidR="008112B3" w:rsidRPr="008112B3" w14:paraId="2D4A41B5" w14:textId="77777777" w:rsidTr="7AB4989F">
        <w:trPr>
          <w:gridBefore w:val="1"/>
          <w:wBefore w:w="10" w:type="dxa"/>
          <w:cantSplit/>
          <w:trHeight w:val="835"/>
        </w:trPr>
        <w:tc>
          <w:tcPr>
            <w:tcW w:w="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92BB3" w14:textId="77777777" w:rsidR="008112B3" w:rsidRPr="008112B3" w:rsidRDefault="008112B3" w:rsidP="00926287">
            <w:r w:rsidRPr="008112B3">
              <w:t xml:space="preserve">1.4 </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9E38AF" w14:textId="77777777" w:rsidR="008112B3" w:rsidRPr="008112B3" w:rsidRDefault="008112B3" w:rsidP="00DE22E7">
            <w:pPr>
              <w:spacing w:after="120"/>
              <w:rPr>
                <w:b/>
              </w:rPr>
            </w:pPr>
            <w:r w:rsidRPr="008112B3">
              <w:t xml:space="preserve">A </w:t>
            </w:r>
            <w:r w:rsidRPr="008112B3">
              <w:rPr>
                <w:b/>
              </w:rPr>
              <w:t xml:space="preserve">Provider </w:t>
            </w:r>
            <w:r w:rsidRPr="008112B3">
              <w:t xml:space="preserve">must, led by its </w:t>
            </w:r>
            <w:r w:rsidRPr="008112B3">
              <w:rPr>
                <w:b/>
              </w:rPr>
              <w:t>Higher Education Principal Executive Officer</w:t>
            </w:r>
            <w:r w:rsidRPr="008112B3">
              <w:t xml:space="preserve">, prepare, implement and publish on its website a </w:t>
            </w:r>
            <w:r w:rsidRPr="008112B3">
              <w:rPr>
                <w:b/>
              </w:rPr>
              <w:t>Whole</w:t>
            </w:r>
            <w:r w:rsidRPr="008112B3">
              <w:rPr>
                <w:b/>
                <w:bCs/>
              </w:rPr>
              <w:t>-</w:t>
            </w:r>
            <w:r w:rsidRPr="008112B3">
              <w:rPr>
                <w:b/>
              </w:rPr>
              <w:t>of</w:t>
            </w:r>
            <w:r w:rsidRPr="008112B3">
              <w:rPr>
                <w:b/>
                <w:bCs/>
              </w:rPr>
              <w:t>-</w:t>
            </w:r>
            <w:r w:rsidRPr="008112B3">
              <w:rPr>
                <w:b/>
              </w:rPr>
              <w:t>Organisation</w:t>
            </w:r>
            <w:r w:rsidRPr="008112B3">
              <w:t xml:space="preserve"> </w:t>
            </w:r>
            <w:r w:rsidRPr="008112B3">
              <w:rPr>
                <w:b/>
              </w:rPr>
              <w:t>Prevention and Response Plan.</w:t>
            </w:r>
          </w:p>
          <w:p w14:paraId="76F1766D" w14:textId="77777777" w:rsidR="008112B3" w:rsidRPr="008112B3" w:rsidRDefault="008112B3" w:rsidP="00DE22E7">
            <w:pPr>
              <w:spacing w:after="120"/>
              <w:rPr>
                <w:i/>
              </w:rPr>
            </w:pPr>
            <w:r w:rsidRPr="008112B3">
              <w:rPr>
                <w:i/>
              </w:rPr>
              <w:t xml:space="preserve">NB: National Code provides details of what the Whole-of-Organisation Prevention and Response Plan needs to include.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59202C" w14:textId="610865E1" w:rsidR="008112B3" w:rsidRPr="008112B3" w:rsidRDefault="008112B3" w:rsidP="00926287">
            <w:r w:rsidRPr="008112B3">
              <w:t xml:space="preserve">By </w:t>
            </w:r>
            <w:r w:rsidR="00DA32DF">
              <w:t>the Initial Date</w:t>
            </w:r>
            <w:r w:rsidRPr="008112B3">
              <w:t xml:space="preserve"> and every four years thereafter</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E33F319" w14:textId="77777777" w:rsidR="008112B3" w:rsidRPr="00794D0D" w:rsidRDefault="008112B3" w:rsidP="00794D0D">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2A021259" w14:textId="77777777" w:rsidR="008112B3" w:rsidRPr="00794D0D" w:rsidRDefault="008112B3" w:rsidP="00794D0D">
            <w:pPr>
              <w:jc w:val="center"/>
              <w:rPr>
                <w:b/>
                <w:sz w:val="32"/>
                <w:szCs w:val="32"/>
              </w:rPr>
            </w:pPr>
            <w:r w:rsidRPr="00794D0D">
              <w:rPr>
                <w:b/>
                <w:sz w:val="32"/>
                <w:szCs w:val="32"/>
              </w:rPr>
              <w:t>X</w:t>
            </w: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C86BB5F" w14:textId="77777777" w:rsidR="008112B3" w:rsidRPr="00794D0D" w:rsidRDefault="008112B3" w:rsidP="00794D0D">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7CEF996" w14:textId="77777777" w:rsidR="008112B3" w:rsidRPr="00794D0D" w:rsidRDefault="008112B3" w:rsidP="00794D0D">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A49D3AB" w14:textId="77777777" w:rsidR="008112B3" w:rsidRPr="00794D0D" w:rsidRDefault="008112B3" w:rsidP="00794D0D">
            <w:pPr>
              <w:jc w:val="center"/>
              <w:rPr>
                <w:b/>
                <w:sz w:val="32"/>
                <w:szCs w:val="32"/>
              </w:rPr>
            </w:pPr>
          </w:p>
        </w:tc>
      </w:tr>
      <w:tr w:rsidR="001D4477" w:rsidRPr="008112B3" w14:paraId="2B782CDB" w14:textId="77777777" w:rsidTr="7AB4989F">
        <w:trPr>
          <w:gridBefore w:val="1"/>
          <w:wBefore w:w="10" w:type="dxa"/>
          <w:cantSplit/>
          <w:trHeight w:val="715"/>
        </w:trPr>
        <w:tc>
          <w:tcPr>
            <w:tcW w:w="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DABF5" w14:textId="253C1C52" w:rsidR="001D4477" w:rsidRPr="008112B3" w:rsidRDefault="001D4477" w:rsidP="00926287">
            <w:r>
              <w:t>1.5</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A9F5B" w14:textId="00AFC9A9" w:rsidR="001D4477" w:rsidRPr="001D4477" w:rsidRDefault="001D4477" w:rsidP="00DE22E7">
            <w:pPr>
              <w:spacing w:after="120"/>
              <w:rPr>
                <w:b/>
                <w:bCs/>
              </w:rPr>
            </w:pPr>
            <w:r>
              <w:t xml:space="preserve">The </w:t>
            </w:r>
            <w:r>
              <w:rPr>
                <w:b/>
                <w:bCs/>
              </w:rPr>
              <w:t xml:space="preserve">Secretary </w:t>
            </w:r>
            <w:r>
              <w:t xml:space="preserve">may require a </w:t>
            </w:r>
            <w:r>
              <w:rPr>
                <w:b/>
                <w:bCs/>
              </w:rPr>
              <w:t>Provider</w:t>
            </w:r>
            <w:r>
              <w:t xml:space="preserve"> to report on how the engagement </w:t>
            </w:r>
            <w:proofErr w:type="gramStart"/>
            <w:r>
              <w:t>with</w:t>
            </w:r>
            <w:proofErr w:type="gramEnd"/>
            <w:r>
              <w:t xml:space="preserve"> and views of </w:t>
            </w:r>
            <w:r>
              <w:rPr>
                <w:b/>
                <w:bCs/>
              </w:rPr>
              <w:t xml:space="preserve">Students </w:t>
            </w:r>
            <w:r>
              <w:t xml:space="preserve">and </w:t>
            </w:r>
            <w:r>
              <w:rPr>
                <w:b/>
                <w:bCs/>
              </w:rPr>
              <w:t>Staff</w:t>
            </w:r>
            <w:r>
              <w:t xml:space="preserve"> has informed the development of the </w:t>
            </w:r>
            <w:r>
              <w:rPr>
                <w:b/>
                <w:bCs/>
              </w:rPr>
              <w:t>Prevention and Response Plan</w:t>
            </w:r>
            <w:r>
              <w: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05F98" w14:textId="57806E21" w:rsidR="001D4477" w:rsidRPr="008112B3" w:rsidDel="00EF69D8" w:rsidRDefault="001D4477" w:rsidP="00926287">
            <w:r>
              <w:t>As required</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B0015AD" w14:textId="77777777" w:rsidR="001D4477" w:rsidRPr="00794D0D" w:rsidRDefault="001D4477" w:rsidP="00794D0D">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D4C3DF4" w14:textId="77777777" w:rsidR="001D4477" w:rsidRPr="00794D0D" w:rsidRDefault="001D4477" w:rsidP="00794D0D">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0F184A6" w14:textId="72370F73" w:rsidR="001D4477" w:rsidRPr="00794D0D" w:rsidRDefault="001D4477" w:rsidP="00794D0D">
            <w:pPr>
              <w:jc w:val="center"/>
              <w:rPr>
                <w:b/>
                <w:sz w:val="32"/>
                <w:szCs w:val="32"/>
              </w:rPr>
            </w:pPr>
            <w:r w:rsidRPr="00794D0D">
              <w:rPr>
                <w:b/>
                <w:sz w:val="32"/>
                <w:szCs w:val="32"/>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C7A80F7" w14:textId="77777777" w:rsidR="001D4477" w:rsidRPr="00794D0D" w:rsidRDefault="001D4477" w:rsidP="00794D0D">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2B24119" w14:textId="77777777" w:rsidR="001D4477" w:rsidRPr="00794D0D" w:rsidRDefault="001D4477" w:rsidP="00794D0D">
            <w:pPr>
              <w:jc w:val="center"/>
              <w:rPr>
                <w:b/>
                <w:sz w:val="32"/>
                <w:szCs w:val="32"/>
              </w:rPr>
            </w:pPr>
          </w:p>
        </w:tc>
      </w:tr>
      <w:tr w:rsidR="008112B3" w:rsidRPr="008112B3" w14:paraId="6E28888B" w14:textId="77777777" w:rsidTr="7AB4989F">
        <w:trPr>
          <w:gridBefore w:val="1"/>
          <w:wBefore w:w="10" w:type="dxa"/>
          <w:cantSplit/>
          <w:trHeight w:val="715"/>
        </w:trPr>
        <w:tc>
          <w:tcPr>
            <w:tcW w:w="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C77687" w14:textId="77777777" w:rsidR="008112B3" w:rsidRPr="008112B3" w:rsidRDefault="008112B3" w:rsidP="00926287">
            <w:r w:rsidRPr="008112B3">
              <w:t>1.7</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1ACE3E" w14:textId="77777777" w:rsidR="008112B3" w:rsidRPr="008112B3" w:rsidRDefault="008112B3" w:rsidP="00DE22E7">
            <w:pPr>
              <w:spacing w:after="120"/>
              <w:rPr>
                <w:b/>
                <w:bCs/>
              </w:rPr>
            </w:pPr>
            <w:r w:rsidRPr="008112B3">
              <w:t xml:space="preserve">A </w:t>
            </w:r>
            <w:r w:rsidRPr="008112B3">
              <w:rPr>
                <w:b/>
                <w:bCs/>
              </w:rPr>
              <w:t>Provider</w:t>
            </w:r>
            <w:r w:rsidRPr="008112B3">
              <w:t xml:space="preserve"> must develop and implement an outcomes framework to track and measure the effectiveness of actions under their </w:t>
            </w:r>
            <w:r w:rsidRPr="008112B3">
              <w:rPr>
                <w:b/>
                <w:bCs/>
              </w:rPr>
              <w:t>Prevention and Response Plan</w:t>
            </w:r>
            <w:r w:rsidRPr="00871064">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66F903" w14:textId="3B551458" w:rsidR="008112B3" w:rsidRPr="008112B3" w:rsidRDefault="00EF69D8" w:rsidP="00926287">
            <w:r>
              <w:t xml:space="preserve">By </w:t>
            </w:r>
            <w:r w:rsidR="00DA32DF">
              <w:t xml:space="preserve">the Initial Date </w:t>
            </w:r>
            <w:r w:rsidR="008112B3" w:rsidRPr="008112B3">
              <w:t xml:space="preserve">and ongoing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76BD5C8" w14:textId="77777777" w:rsidR="008112B3" w:rsidRPr="00794D0D" w:rsidRDefault="008112B3" w:rsidP="00794D0D">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2EF556DD" w14:textId="77777777" w:rsidR="008112B3" w:rsidRPr="00794D0D" w:rsidRDefault="008112B3" w:rsidP="00794D0D">
            <w:pPr>
              <w:jc w:val="center"/>
              <w:rPr>
                <w:b/>
                <w:sz w:val="32"/>
                <w:szCs w:val="32"/>
              </w:rPr>
            </w:pPr>
            <w:r w:rsidRPr="00794D0D">
              <w:rPr>
                <w:b/>
                <w:sz w:val="32"/>
                <w:szCs w:val="32"/>
              </w:rPr>
              <w:t>X</w:t>
            </w: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51223C5" w14:textId="77777777" w:rsidR="008112B3" w:rsidRPr="00794D0D" w:rsidRDefault="008112B3" w:rsidP="00794D0D">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3F2FAFB" w14:textId="77777777" w:rsidR="008112B3" w:rsidRPr="00794D0D" w:rsidRDefault="008112B3" w:rsidP="00794D0D">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B9354C9" w14:textId="77777777" w:rsidR="008112B3" w:rsidRPr="00794D0D" w:rsidRDefault="008112B3" w:rsidP="00794D0D">
            <w:pPr>
              <w:jc w:val="center"/>
              <w:rPr>
                <w:b/>
                <w:sz w:val="32"/>
                <w:szCs w:val="32"/>
              </w:rPr>
            </w:pPr>
          </w:p>
        </w:tc>
      </w:tr>
      <w:tr w:rsidR="008112B3" w:rsidRPr="008112B3" w14:paraId="5ED049FF" w14:textId="77777777" w:rsidTr="7AB4989F">
        <w:trPr>
          <w:gridBefore w:val="1"/>
          <w:wBefore w:w="10" w:type="dxa"/>
          <w:cantSplit/>
          <w:trHeight w:val="883"/>
        </w:trPr>
        <w:tc>
          <w:tcPr>
            <w:tcW w:w="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0B416C" w14:textId="77777777" w:rsidR="008112B3" w:rsidRPr="008112B3" w:rsidRDefault="008112B3" w:rsidP="00926287">
            <w:r w:rsidRPr="008112B3">
              <w:t>1.8</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FAA587" w14:textId="77777777" w:rsidR="008112B3" w:rsidRDefault="008112B3" w:rsidP="00DE22E7">
            <w:pPr>
              <w:spacing w:after="120"/>
            </w:pPr>
            <w:r w:rsidRPr="008112B3">
              <w:t xml:space="preserve">A </w:t>
            </w:r>
            <w:r w:rsidRPr="008112B3">
              <w:rPr>
                <w:b/>
                <w:bCs/>
              </w:rPr>
              <w:t xml:space="preserve">Provider </w:t>
            </w:r>
            <w:r w:rsidRPr="008112B3">
              <w:t>must</w:t>
            </w:r>
            <w:r w:rsidRPr="008112B3">
              <w:rPr>
                <w:b/>
              </w:rPr>
              <w:t xml:space="preserve"> </w:t>
            </w:r>
            <w:r w:rsidRPr="008112B3">
              <w:t xml:space="preserve">give to the </w:t>
            </w:r>
            <w:r w:rsidRPr="008112B3">
              <w:rPr>
                <w:b/>
                <w:bCs/>
              </w:rPr>
              <w:t xml:space="preserve">Secretary </w:t>
            </w:r>
            <w:r w:rsidRPr="008112B3">
              <w:t xml:space="preserve">a copy of the </w:t>
            </w:r>
            <w:r w:rsidRPr="008112B3">
              <w:rPr>
                <w:b/>
                <w:bCs/>
              </w:rPr>
              <w:t>Prevention and Response Plan</w:t>
            </w:r>
            <w:r w:rsidRPr="008112B3">
              <w:t xml:space="preserve"> and outcomes framework</w:t>
            </w:r>
            <w:r w:rsidRPr="000F2FF7">
              <w:t>…</w:t>
            </w:r>
            <w:r w:rsidR="000F2FF7" w:rsidRPr="000F2FF7">
              <w:t xml:space="preserve"> </w:t>
            </w:r>
            <w:r w:rsidRPr="008112B3">
              <w:t xml:space="preserve">and must include a systemic review and analysis and is informed by the </w:t>
            </w:r>
            <w:r w:rsidRPr="008112B3">
              <w:rPr>
                <w:b/>
                <w:bCs/>
              </w:rPr>
              <w:t xml:space="preserve">Provider’s </w:t>
            </w:r>
            <w:r w:rsidRPr="008112B3">
              <w:t xml:space="preserve">analysis of data, as reported to the </w:t>
            </w:r>
            <w:r w:rsidRPr="008112B3">
              <w:rPr>
                <w:b/>
                <w:bCs/>
              </w:rPr>
              <w:t>Secretary</w:t>
            </w:r>
            <w:r w:rsidRPr="008112B3">
              <w:t xml:space="preserve"> under Standard 6. </w:t>
            </w:r>
          </w:p>
          <w:p w14:paraId="5ED988B3" w14:textId="10ACF241" w:rsidR="00DD5214" w:rsidRPr="008112B3" w:rsidRDefault="00DD5214" w:rsidP="00DE22E7">
            <w:pPr>
              <w:spacing w:after="120"/>
            </w:pPr>
            <w:r w:rsidRPr="007D0432">
              <w:rPr>
                <w:i/>
              </w:rPr>
              <w:t>NB: National Code provides detail about Provider’s obligations with respect to feedback provided by the Secretary.</w:t>
            </w:r>
            <w:r w:rsidRPr="008112B3">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E2B45" w14:textId="7CEB4DB5" w:rsidR="008112B3" w:rsidRPr="008112B3" w:rsidRDefault="008112B3" w:rsidP="00926287">
            <w:r w:rsidRPr="008112B3">
              <w:t xml:space="preserve">By </w:t>
            </w:r>
            <w:r w:rsidR="00DA32DF">
              <w:t xml:space="preserve">the Initial Date </w:t>
            </w:r>
            <w:r w:rsidRPr="008112B3">
              <w:t>and every four years thereafter</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9AED3A6" w14:textId="77777777" w:rsidR="008112B3" w:rsidRPr="00794D0D" w:rsidRDefault="008112B3" w:rsidP="00794D0D">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72FA827C" w14:textId="77777777" w:rsidR="008112B3" w:rsidRPr="00794D0D" w:rsidRDefault="008112B3" w:rsidP="00794D0D">
            <w:pPr>
              <w:jc w:val="center"/>
              <w:rPr>
                <w:b/>
                <w:sz w:val="32"/>
                <w:szCs w:val="32"/>
              </w:rPr>
            </w:pPr>
            <w:r w:rsidRPr="00794D0D">
              <w:rPr>
                <w:b/>
                <w:sz w:val="32"/>
                <w:szCs w:val="32"/>
              </w:rPr>
              <w:t>X</w:t>
            </w: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F6CC091" w14:textId="77777777" w:rsidR="008112B3" w:rsidRPr="00794D0D" w:rsidRDefault="008112B3" w:rsidP="00794D0D">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A243558" w14:textId="77777777" w:rsidR="008112B3" w:rsidRPr="00794D0D" w:rsidRDefault="008112B3" w:rsidP="00794D0D">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A1F536D" w14:textId="77777777" w:rsidR="008112B3" w:rsidRPr="00794D0D" w:rsidRDefault="008112B3" w:rsidP="00794D0D">
            <w:pPr>
              <w:jc w:val="center"/>
              <w:rPr>
                <w:b/>
                <w:sz w:val="32"/>
                <w:szCs w:val="32"/>
              </w:rPr>
            </w:pPr>
          </w:p>
        </w:tc>
      </w:tr>
      <w:tr w:rsidR="008112B3" w:rsidRPr="008112B3" w14:paraId="628932BF" w14:textId="77777777" w:rsidTr="7AB4989F">
        <w:trPr>
          <w:gridBefore w:val="1"/>
          <w:wBefore w:w="10" w:type="dxa"/>
          <w:cantSplit/>
          <w:trHeight w:val="967"/>
        </w:trPr>
        <w:tc>
          <w:tcPr>
            <w:tcW w:w="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B3ADD3" w14:textId="77777777" w:rsidR="008112B3" w:rsidRPr="008112B3" w:rsidRDefault="008112B3" w:rsidP="00926287">
            <w:r w:rsidRPr="008112B3">
              <w:t>1.9</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2070F6" w14:textId="28AB8D26" w:rsidR="008112B3" w:rsidRPr="008112B3" w:rsidRDefault="008112B3" w:rsidP="00DE22E7">
            <w:pPr>
              <w:spacing w:after="120"/>
            </w:pPr>
            <w:r w:rsidRPr="008112B3">
              <w:t xml:space="preserve">A </w:t>
            </w:r>
            <w:r w:rsidRPr="008112B3">
              <w:rPr>
                <w:b/>
                <w:bCs/>
              </w:rPr>
              <w:t>Provider</w:t>
            </w:r>
            <w:r w:rsidRPr="008112B3">
              <w:t xml:space="preserve"> must report to the </w:t>
            </w:r>
            <w:r w:rsidRPr="008112B3">
              <w:rPr>
                <w:b/>
                <w:bCs/>
              </w:rPr>
              <w:t>Governing Body</w:t>
            </w:r>
            <w:r w:rsidRPr="00790831">
              <w:t xml:space="preserve">… </w:t>
            </w:r>
            <w:r w:rsidRPr="008112B3">
              <w:t xml:space="preserve">against the </w:t>
            </w:r>
            <w:proofErr w:type="gramStart"/>
            <w:r w:rsidRPr="008112B3">
              <w:t>outcomes</w:t>
            </w:r>
            <w:proofErr w:type="gramEnd"/>
            <w:r w:rsidRPr="008112B3">
              <w:t xml:space="preserve"> framework for its </w:t>
            </w:r>
            <w:r w:rsidRPr="008112B3">
              <w:rPr>
                <w:b/>
                <w:bCs/>
              </w:rPr>
              <w:t>Prevention and Response Plan</w:t>
            </w:r>
            <w:r w:rsidRPr="008112B3">
              <w:t>. The report must include</w:t>
            </w:r>
            <w:r w:rsidRPr="008112B3">
              <w:rPr>
                <w:b/>
                <w:bCs/>
              </w:rPr>
              <w:t xml:space="preserve"> De</w:t>
            </w:r>
            <w:r w:rsidRPr="008112B3">
              <w:rPr>
                <w:b/>
                <w:bCs/>
              </w:rPr>
              <w:noBreakHyphen/>
              <w:t>identified</w:t>
            </w:r>
            <w:r w:rsidRPr="008112B3">
              <w:t xml:space="preserve"> data on incidents of </w:t>
            </w:r>
            <w:r w:rsidRPr="008112B3">
              <w:rPr>
                <w:b/>
                <w:bCs/>
              </w:rPr>
              <w:t>Gender</w:t>
            </w:r>
            <w:r w:rsidRPr="008112B3">
              <w:rPr>
                <w:b/>
              </w:rPr>
              <w:noBreakHyphen/>
            </w:r>
            <w:r w:rsidRPr="008112B3">
              <w:rPr>
                <w:b/>
                <w:bCs/>
              </w:rPr>
              <w:t xml:space="preserve">based Violence </w:t>
            </w:r>
            <w:r w:rsidRPr="008112B3">
              <w:t xml:space="preserve">experienced by </w:t>
            </w:r>
            <w:r w:rsidRPr="008112B3">
              <w:rPr>
                <w:b/>
                <w:bCs/>
              </w:rPr>
              <w:t xml:space="preserve">Students </w:t>
            </w:r>
            <w:r w:rsidRPr="008112B3">
              <w:t xml:space="preserve">and </w:t>
            </w:r>
            <w:r w:rsidRPr="008112B3">
              <w:rPr>
                <w:b/>
                <w:bCs/>
              </w:rPr>
              <w:t>Staff</w:t>
            </w:r>
            <w:r w:rsidRPr="008112B3">
              <w:t xml:space="preserve"> since the last report, including identification of any trends in the data.</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9A6A34" w14:textId="362532A3" w:rsidR="008112B3" w:rsidRPr="008112B3" w:rsidRDefault="00DA32DF" w:rsidP="00926287">
            <w:r>
              <w:t xml:space="preserve">Commencing after the Initial Date, at least every 6 months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4E928C1" w14:textId="77777777" w:rsidR="008112B3" w:rsidRPr="00794D0D" w:rsidRDefault="008112B3" w:rsidP="00794D0D">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4FCD421D" w14:textId="77777777" w:rsidR="008112B3" w:rsidRPr="00794D0D" w:rsidRDefault="008112B3" w:rsidP="00794D0D">
            <w:pPr>
              <w:jc w:val="center"/>
              <w:rPr>
                <w:b/>
                <w:sz w:val="32"/>
                <w:szCs w:val="32"/>
              </w:rPr>
            </w:pPr>
            <w:r w:rsidRPr="00794D0D">
              <w:rPr>
                <w:b/>
                <w:sz w:val="32"/>
                <w:szCs w:val="32"/>
              </w:rPr>
              <w:t>X</w:t>
            </w: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06E2FC0" w14:textId="77777777" w:rsidR="008112B3" w:rsidRPr="00794D0D" w:rsidRDefault="008112B3" w:rsidP="00794D0D">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E2A8ABA" w14:textId="77777777" w:rsidR="008112B3" w:rsidRPr="00794D0D" w:rsidRDefault="008112B3" w:rsidP="00794D0D">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118E153" w14:textId="77777777" w:rsidR="008112B3" w:rsidRPr="00794D0D" w:rsidRDefault="008112B3" w:rsidP="00794D0D">
            <w:pPr>
              <w:jc w:val="center"/>
              <w:rPr>
                <w:b/>
                <w:sz w:val="32"/>
                <w:szCs w:val="32"/>
              </w:rPr>
            </w:pPr>
          </w:p>
        </w:tc>
      </w:tr>
      <w:tr w:rsidR="008112B3" w:rsidRPr="008112B3" w14:paraId="22491B15" w14:textId="77777777" w:rsidTr="7AB4989F">
        <w:trPr>
          <w:gridBefore w:val="1"/>
          <w:wBefore w:w="10" w:type="dxa"/>
          <w:cantSplit/>
          <w:trHeight w:val="841"/>
        </w:trPr>
        <w:tc>
          <w:tcPr>
            <w:tcW w:w="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6CC47E" w14:textId="77777777" w:rsidR="008112B3" w:rsidRPr="008112B3" w:rsidRDefault="008112B3" w:rsidP="00926287">
            <w:r w:rsidRPr="008112B3">
              <w:t xml:space="preserve">1.10 </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82EDD" w14:textId="68FC01EF" w:rsidR="008112B3" w:rsidRPr="008112B3" w:rsidRDefault="008112B3" w:rsidP="00DE22E7">
            <w:pPr>
              <w:spacing w:after="120"/>
            </w:pPr>
            <w:r w:rsidRPr="008112B3">
              <w:t xml:space="preserve">A </w:t>
            </w:r>
            <w:r w:rsidRPr="008112B3">
              <w:rPr>
                <w:b/>
                <w:bCs/>
              </w:rPr>
              <w:t xml:space="preserve">Higher Education Principal Executive Officer </w:t>
            </w:r>
            <w:r w:rsidRPr="008112B3">
              <w:t xml:space="preserve">must give to the </w:t>
            </w:r>
            <w:r w:rsidRPr="008112B3">
              <w:rPr>
                <w:b/>
                <w:bCs/>
              </w:rPr>
              <w:t>Secretary</w:t>
            </w:r>
            <w:r w:rsidRPr="008112B3">
              <w:t xml:space="preserve"> every two years a report on the </w:t>
            </w:r>
            <w:r w:rsidRPr="008112B3">
              <w:rPr>
                <w:b/>
                <w:bCs/>
              </w:rPr>
              <w:t xml:space="preserve">Prevention and Response Plan </w:t>
            </w:r>
            <w:r w:rsidRPr="008112B3">
              <w:t xml:space="preserve">and its outcomes framework. The </w:t>
            </w:r>
            <w:r w:rsidRPr="008112B3">
              <w:rPr>
                <w:b/>
                <w:bCs/>
              </w:rPr>
              <w:t>Secretary</w:t>
            </w:r>
            <w:r w:rsidRPr="008112B3">
              <w:t xml:space="preserve"> may prescribe the manner and form in which these reports must be provided.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FAD5C4" w14:textId="32192A8D" w:rsidR="008112B3" w:rsidRPr="008112B3" w:rsidRDefault="00DA32DF" w:rsidP="00926287">
            <w:r>
              <w:t xml:space="preserve">Commencing after the Initial Date, every </w:t>
            </w:r>
            <w:r w:rsidR="00B62F8C">
              <w:t>two</w:t>
            </w:r>
            <w:r>
              <w:t xml:space="preserve"> years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5E76EE3" w14:textId="77777777" w:rsidR="008112B3" w:rsidRPr="00794D0D" w:rsidRDefault="008112B3" w:rsidP="00794D0D">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A95B429" w14:textId="77777777" w:rsidR="008112B3" w:rsidRPr="00794D0D" w:rsidRDefault="008112B3" w:rsidP="00794D0D">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1C2D5D7E" w14:textId="77777777" w:rsidR="008112B3" w:rsidRPr="00794D0D" w:rsidRDefault="008112B3" w:rsidP="00794D0D">
            <w:pPr>
              <w:jc w:val="center"/>
              <w:rPr>
                <w:b/>
                <w:sz w:val="32"/>
                <w:szCs w:val="32"/>
              </w:rPr>
            </w:pPr>
            <w:r w:rsidRPr="00794D0D">
              <w:rPr>
                <w:b/>
                <w:sz w:val="32"/>
                <w:szCs w:val="32"/>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3686106" w14:textId="77777777" w:rsidR="008112B3" w:rsidRPr="00794D0D" w:rsidRDefault="008112B3" w:rsidP="00794D0D">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65EEA24" w14:textId="77777777" w:rsidR="008112B3" w:rsidRPr="00794D0D" w:rsidRDefault="008112B3" w:rsidP="00794D0D">
            <w:pPr>
              <w:jc w:val="center"/>
              <w:rPr>
                <w:b/>
                <w:sz w:val="32"/>
                <w:szCs w:val="32"/>
              </w:rPr>
            </w:pPr>
          </w:p>
        </w:tc>
      </w:tr>
      <w:tr w:rsidR="008112B3" w:rsidRPr="008112B3" w14:paraId="298B6820" w14:textId="77777777" w:rsidTr="0052274A">
        <w:trPr>
          <w:gridBefore w:val="1"/>
          <w:wBefore w:w="10" w:type="dxa"/>
        </w:trPr>
        <w:tc>
          <w:tcPr>
            <w:tcW w:w="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A0AA5A" w14:textId="77777777" w:rsidR="008112B3" w:rsidRPr="008112B3" w:rsidRDefault="008112B3" w:rsidP="00926287">
            <w:r w:rsidRPr="008112B3">
              <w:t xml:space="preserve">1.11 </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79E1CB" w14:textId="20C0AC77" w:rsidR="008112B3" w:rsidRPr="008112B3" w:rsidRDefault="008112B3" w:rsidP="00DE22E7">
            <w:pPr>
              <w:spacing w:after="120"/>
            </w:pPr>
            <w:r w:rsidRPr="008112B3">
              <w:t xml:space="preserve">A </w:t>
            </w:r>
            <w:r w:rsidRPr="008112B3">
              <w:rPr>
                <w:b/>
              </w:rPr>
              <w:t>Provider</w:t>
            </w:r>
            <w:r w:rsidRPr="008112B3">
              <w:t xml:space="preserve"> must review and amend its </w:t>
            </w:r>
            <w:r w:rsidRPr="008112B3">
              <w:rPr>
                <w:b/>
              </w:rPr>
              <w:t xml:space="preserve">Prevention and Response Plan </w:t>
            </w:r>
            <w:r w:rsidRPr="008112B3">
              <w:t xml:space="preserve">having regard to its duty of care to </w:t>
            </w:r>
            <w:r w:rsidRPr="008112B3">
              <w:rPr>
                <w:b/>
              </w:rPr>
              <w:t xml:space="preserve">Students </w:t>
            </w:r>
            <w:r w:rsidRPr="008112B3">
              <w:t xml:space="preserve">and </w:t>
            </w:r>
            <w:r w:rsidRPr="008112B3">
              <w:rPr>
                <w:b/>
              </w:rPr>
              <w:t>Staff</w:t>
            </w:r>
            <w:r w:rsidRPr="008112B3">
              <w:t xml:space="preserve">, and those amendments must be endorsed by the </w:t>
            </w:r>
            <w:r w:rsidRPr="008112B3">
              <w:rPr>
                <w:b/>
              </w:rPr>
              <w:t>Governing Body</w:t>
            </w:r>
            <w:r w:rsidRPr="008112B3">
              <w: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D80236" w14:textId="3BA1956C" w:rsidR="008112B3" w:rsidRPr="008112B3" w:rsidRDefault="008112B3" w:rsidP="00926287">
            <w:r w:rsidRPr="008112B3">
              <w:t xml:space="preserve">From </w:t>
            </w:r>
            <w:r w:rsidR="00EF69D8">
              <w:t>the Initial Date</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FD9A6CF" w14:textId="77777777" w:rsidR="008112B3" w:rsidRPr="00794D0D" w:rsidRDefault="008112B3" w:rsidP="00794D0D">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BE14132" w14:textId="126DA1EE" w:rsidR="008112B3" w:rsidRPr="00794D0D" w:rsidRDefault="00513439" w:rsidP="00794D0D">
            <w:pPr>
              <w:jc w:val="center"/>
              <w:rPr>
                <w:b/>
                <w:sz w:val="32"/>
                <w:szCs w:val="32"/>
              </w:rPr>
            </w:pPr>
            <w:r w:rsidRPr="00794D0D">
              <w:rPr>
                <w:b/>
                <w:sz w:val="32"/>
                <w:szCs w:val="32"/>
              </w:rPr>
              <w:t>X</w:t>
            </w: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4B8EE784" w14:textId="40EE1B17" w:rsidR="008112B3" w:rsidRPr="00794D0D" w:rsidRDefault="008112B3" w:rsidP="00794D0D">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4549050" w14:textId="77777777" w:rsidR="008112B3" w:rsidRPr="00794D0D" w:rsidRDefault="008112B3" w:rsidP="00794D0D">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B313356" w14:textId="77777777" w:rsidR="008112B3" w:rsidRPr="00794D0D" w:rsidRDefault="008112B3" w:rsidP="00794D0D">
            <w:pPr>
              <w:jc w:val="center"/>
              <w:rPr>
                <w:b/>
                <w:sz w:val="32"/>
                <w:szCs w:val="32"/>
              </w:rPr>
            </w:pPr>
          </w:p>
        </w:tc>
      </w:tr>
      <w:tr w:rsidR="008112B3" w:rsidRPr="008112B3" w14:paraId="312D3B9A" w14:textId="77777777" w:rsidTr="0052274A">
        <w:trPr>
          <w:gridBefore w:val="1"/>
          <w:wBefore w:w="10" w:type="dxa"/>
        </w:trPr>
        <w:tc>
          <w:tcPr>
            <w:tcW w:w="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264D18" w14:textId="77777777" w:rsidR="008112B3" w:rsidRPr="008112B3" w:rsidRDefault="008112B3" w:rsidP="00926287">
            <w:r w:rsidRPr="008112B3">
              <w:t xml:space="preserve">1.13 </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6877C6" w14:textId="77777777" w:rsidR="008112B3" w:rsidRPr="008112B3" w:rsidRDefault="008112B3" w:rsidP="00DE22E7">
            <w:pPr>
              <w:spacing w:after="120"/>
            </w:pPr>
            <w:r w:rsidRPr="008112B3">
              <w:t xml:space="preserve">The </w:t>
            </w:r>
            <w:r w:rsidRPr="008112B3">
              <w:rPr>
                <w:b/>
                <w:bCs/>
              </w:rPr>
              <w:t xml:space="preserve">Secretary </w:t>
            </w:r>
            <w:r w:rsidRPr="008112B3">
              <w:t xml:space="preserve">may require a </w:t>
            </w:r>
            <w:r w:rsidRPr="008112B3">
              <w:rPr>
                <w:b/>
                <w:bCs/>
              </w:rPr>
              <w:t xml:space="preserve">Provider </w:t>
            </w:r>
            <w:r w:rsidRPr="008112B3">
              <w:t xml:space="preserve">to report on how it has complied with its obligations under this Standard in a manner and form to be prescribed by the </w:t>
            </w:r>
            <w:r w:rsidRPr="008112B3">
              <w:rPr>
                <w:b/>
                <w:bCs/>
              </w:rPr>
              <w:t>Secretary</w:t>
            </w:r>
            <w:r w:rsidRPr="008112B3">
              <w:t>.</w:t>
            </w:r>
            <w:r w:rsidRPr="008112B3">
              <w:rPr>
                <w:b/>
                <w:bCs/>
              </w:rPr>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C7A98B" w14:textId="77777777" w:rsidR="008112B3" w:rsidRPr="008112B3" w:rsidRDefault="008112B3" w:rsidP="00926287">
            <w:r w:rsidRPr="008112B3">
              <w:t xml:space="preserve">As required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CBFFF55" w14:textId="77777777" w:rsidR="008112B3" w:rsidRPr="00794D0D" w:rsidRDefault="008112B3" w:rsidP="00794D0D">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CB31E72" w14:textId="77777777" w:rsidR="008112B3" w:rsidRPr="00794D0D" w:rsidRDefault="008112B3" w:rsidP="00794D0D">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3EA3C897" w14:textId="77777777" w:rsidR="008112B3" w:rsidRPr="00794D0D" w:rsidRDefault="008112B3" w:rsidP="00794D0D">
            <w:pPr>
              <w:jc w:val="center"/>
              <w:rPr>
                <w:b/>
                <w:sz w:val="32"/>
                <w:szCs w:val="32"/>
              </w:rPr>
            </w:pPr>
            <w:r w:rsidRPr="00794D0D">
              <w:rPr>
                <w:b/>
                <w:sz w:val="32"/>
                <w:szCs w:val="32"/>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C532625" w14:textId="77777777" w:rsidR="008112B3" w:rsidRPr="00794D0D" w:rsidRDefault="008112B3" w:rsidP="00794D0D">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CEB1264" w14:textId="77777777" w:rsidR="008112B3" w:rsidRPr="00794D0D" w:rsidRDefault="008112B3" w:rsidP="00794D0D">
            <w:pPr>
              <w:jc w:val="center"/>
              <w:rPr>
                <w:b/>
                <w:sz w:val="32"/>
                <w:szCs w:val="32"/>
              </w:rPr>
            </w:pPr>
          </w:p>
        </w:tc>
      </w:tr>
      <w:tr w:rsidR="00805AC1" w:rsidRPr="008112B3" w14:paraId="075D0B6A" w14:textId="77777777" w:rsidTr="0052274A">
        <w:trPr>
          <w:gridBefore w:val="1"/>
          <w:wBefore w:w="10" w:type="dxa"/>
        </w:trPr>
        <w:tc>
          <w:tcPr>
            <w:tcW w:w="744" w:type="dxa"/>
            <w:tcBorders>
              <w:top w:val="single" w:sz="4" w:space="0" w:color="auto"/>
            </w:tcBorders>
            <w:tcMar>
              <w:top w:w="0" w:type="dxa"/>
              <w:left w:w="108" w:type="dxa"/>
              <w:bottom w:w="0" w:type="dxa"/>
              <w:right w:w="108" w:type="dxa"/>
            </w:tcMar>
          </w:tcPr>
          <w:p w14:paraId="76129448" w14:textId="77777777" w:rsidR="00805AC1" w:rsidRPr="008112B3" w:rsidRDefault="00805AC1" w:rsidP="00926287"/>
        </w:tc>
        <w:tc>
          <w:tcPr>
            <w:tcW w:w="9039" w:type="dxa"/>
            <w:tcBorders>
              <w:top w:val="single" w:sz="4" w:space="0" w:color="auto"/>
            </w:tcBorders>
            <w:tcMar>
              <w:top w:w="0" w:type="dxa"/>
              <w:left w:w="108" w:type="dxa"/>
              <w:bottom w:w="0" w:type="dxa"/>
              <w:right w:w="108" w:type="dxa"/>
            </w:tcMar>
          </w:tcPr>
          <w:p w14:paraId="41CF8644" w14:textId="77777777" w:rsidR="00805AC1" w:rsidRPr="008112B3" w:rsidRDefault="00805AC1" w:rsidP="00DE22E7">
            <w:pPr>
              <w:spacing w:after="120"/>
            </w:pPr>
          </w:p>
        </w:tc>
        <w:tc>
          <w:tcPr>
            <w:tcW w:w="2552" w:type="dxa"/>
            <w:tcBorders>
              <w:top w:val="single" w:sz="4" w:space="0" w:color="auto"/>
            </w:tcBorders>
            <w:tcMar>
              <w:top w:w="0" w:type="dxa"/>
              <w:left w:w="108" w:type="dxa"/>
              <w:bottom w:w="0" w:type="dxa"/>
              <w:right w:w="108" w:type="dxa"/>
            </w:tcMar>
          </w:tcPr>
          <w:p w14:paraId="515EBF23" w14:textId="77777777" w:rsidR="00805AC1" w:rsidRPr="008112B3" w:rsidRDefault="00805AC1" w:rsidP="00926287"/>
        </w:tc>
        <w:tc>
          <w:tcPr>
            <w:tcW w:w="565" w:type="dxa"/>
            <w:tcBorders>
              <w:top w:val="single" w:sz="4" w:space="0" w:color="auto"/>
            </w:tcBorders>
            <w:tcMar>
              <w:top w:w="0" w:type="dxa"/>
              <w:left w:w="108" w:type="dxa"/>
              <w:bottom w:w="0" w:type="dxa"/>
              <w:right w:w="108" w:type="dxa"/>
            </w:tcMar>
            <w:vAlign w:val="center"/>
          </w:tcPr>
          <w:p w14:paraId="3AD772CA" w14:textId="77777777" w:rsidR="00805AC1" w:rsidRPr="00794D0D" w:rsidRDefault="00805AC1" w:rsidP="00794D0D">
            <w:pPr>
              <w:jc w:val="center"/>
              <w:rPr>
                <w:b/>
                <w:sz w:val="32"/>
                <w:szCs w:val="32"/>
              </w:rPr>
            </w:pPr>
          </w:p>
        </w:tc>
        <w:tc>
          <w:tcPr>
            <w:tcW w:w="567" w:type="dxa"/>
            <w:tcBorders>
              <w:top w:val="single" w:sz="4" w:space="0" w:color="auto"/>
            </w:tcBorders>
            <w:tcMar>
              <w:top w:w="0" w:type="dxa"/>
              <w:left w:w="108" w:type="dxa"/>
              <w:bottom w:w="0" w:type="dxa"/>
              <w:right w:w="108" w:type="dxa"/>
            </w:tcMar>
            <w:vAlign w:val="center"/>
          </w:tcPr>
          <w:p w14:paraId="765B7763" w14:textId="77777777" w:rsidR="00805AC1" w:rsidRPr="00794D0D" w:rsidRDefault="00805AC1" w:rsidP="00794D0D">
            <w:pPr>
              <w:jc w:val="center"/>
              <w:rPr>
                <w:b/>
                <w:sz w:val="32"/>
                <w:szCs w:val="32"/>
              </w:rPr>
            </w:pPr>
          </w:p>
        </w:tc>
        <w:tc>
          <w:tcPr>
            <w:tcW w:w="569" w:type="dxa"/>
            <w:tcBorders>
              <w:top w:val="single" w:sz="4" w:space="0" w:color="auto"/>
            </w:tcBorders>
            <w:tcMar>
              <w:top w:w="0" w:type="dxa"/>
              <w:left w:w="108" w:type="dxa"/>
              <w:bottom w:w="0" w:type="dxa"/>
              <w:right w:w="108" w:type="dxa"/>
            </w:tcMar>
            <w:vAlign w:val="center"/>
          </w:tcPr>
          <w:p w14:paraId="2E000029" w14:textId="77777777" w:rsidR="00805AC1" w:rsidRPr="00794D0D" w:rsidRDefault="00805AC1" w:rsidP="00794D0D">
            <w:pPr>
              <w:jc w:val="center"/>
              <w:rPr>
                <w:b/>
                <w:sz w:val="32"/>
                <w:szCs w:val="32"/>
              </w:rPr>
            </w:pPr>
          </w:p>
        </w:tc>
        <w:tc>
          <w:tcPr>
            <w:tcW w:w="425" w:type="dxa"/>
            <w:tcBorders>
              <w:top w:val="single" w:sz="4" w:space="0" w:color="auto"/>
            </w:tcBorders>
            <w:tcMar>
              <w:top w:w="0" w:type="dxa"/>
              <w:left w:w="108" w:type="dxa"/>
              <w:bottom w:w="0" w:type="dxa"/>
              <w:right w:w="108" w:type="dxa"/>
            </w:tcMar>
            <w:vAlign w:val="center"/>
          </w:tcPr>
          <w:p w14:paraId="5112EDA6" w14:textId="77777777" w:rsidR="00805AC1" w:rsidRPr="00794D0D" w:rsidRDefault="00805AC1" w:rsidP="00794D0D">
            <w:pPr>
              <w:jc w:val="center"/>
              <w:rPr>
                <w:b/>
                <w:sz w:val="32"/>
                <w:szCs w:val="32"/>
              </w:rPr>
            </w:pPr>
          </w:p>
        </w:tc>
        <w:tc>
          <w:tcPr>
            <w:tcW w:w="709" w:type="dxa"/>
            <w:tcBorders>
              <w:top w:val="single" w:sz="4" w:space="0" w:color="auto"/>
            </w:tcBorders>
            <w:tcMar>
              <w:top w:w="0" w:type="dxa"/>
              <w:left w:w="108" w:type="dxa"/>
              <w:bottom w:w="0" w:type="dxa"/>
              <w:right w:w="108" w:type="dxa"/>
            </w:tcMar>
            <w:vAlign w:val="center"/>
          </w:tcPr>
          <w:p w14:paraId="5E33E174" w14:textId="77777777" w:rsidR="00805AC1" w:rsidRPr="00794D0D" w:rsidRDefault="00805AC1" w:rsidP="00794D0D">
            <w:pPr>
              <w:jc w:val="center"/>
              <w:rPr>
                <w:b/>
                <w:sz w:val="32"/>
                <w:szCs w:val="32"/>
              </w:rPr>
            </w:pPr>
          </w:p>
        </w:tc>
      </w:tr>
      <w:tr w:rsidR="008112B3" w:rsidRPr="008112B3" w14:paraId="28C19C92" w14:textId="77777777" w:rsidTr="7AB4989F">
        <w:tc>
          <w:tcPr>
            <w:tcW w:w="754" w:type="dxa"/>
            <w:gridSpan w:val="2"/>
            <w:tcBorders>
              <w:top w:val="nil"/>
              <w:left w:val="nil"/>
              <w:bottom w:val="single" w:sz="4" w:space="0" w:color="auto"/>
              <w:right w:val="nil"/>
            </w:tcBorders>
            <w:tcMar>
              <w:top w:w="0" w:type="dxa"/>
              <w:left w:w="108" w:type="dxa"/>
              <w:bottom w:w="0" w:type="dxa"/>
              <w:right w:w="108" w:type="dxa"/>
            </w:tcMar>
          </w:tcPr>
          <w:p w14:paraId="722D1111" w14:textId="77777777" w:rsidR="008112B3" w:rsidRPr="008112B3" w:rsidRDefault="008112B3" w:rsidP="00926287"/>
        </w:tc>
        <w:tc>
          <w:tcPr>
            <w:tcW w:w="9039" w:type="dxa"/>
            <w:tcBorders>
              <w:top w:val="nil"/>
              <w:left w:val="nil"/>
              <w:bottom w:val="single" w:sz="4" w:space="0" w:color="auto"/>
              <w:right w:val="nil"/>
            </w:tcBorders>
            <w:tcMar>
              <w:top w:w="0" w:type="dxa"/>
              <w:left w:w="108" w:type="dxa"/>
              <w:bottom w:w="0" w:type="dxa"/>
              <w:right w:w="108" w:type="dxa"/>
            </w:tcMar>
          </w:tcPr>
          <w:p w14:paraId="45F4B389" w14:textId="77777777" w:rsidR="008112B3" w:rsidRPr="008112B3" w:rsidRDefault="008112B3" w:rsidP="00926287"/>
        </w:tc>
        <w:tc>
          <w:tcPr>
            <w:tcW w:w="2552" w:type="dxa"/>
            <w:tcBorders>
              <w:top w:val="nil"/>
              <w:left w:val="nil"/>
              <w:bottom w:val="single" w:sz="4" w:space="0" w:color="auto"/>
              <w:right w:val="single" w:sz="4" w:space="0" w:color="auto"/>
            </w:tcBorders>
            <w:tcMar>
              <w:top w:w="0" w:type="dxa"/>
              <w:left w:w="108" w:type="dxa"/>
              <w:bottom w:w="0" w:type="dxa"/>
              <w:right w:w="108" w:type="dxa"/>
            </w:tcMar>
          </w:tcPr>
          <w:p w14:paraId="57985A12" w14:textId="77777777" w:rsidR="008112B3" w:rsidRPr="008112B3" w:rsidRDefault="008112B3" w:rsidP="00926287"/>
        </w:tc>
        <w:tc>
          <w:tcPr>
            <w:tcW w:w="283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0AC45370" w14:textId="77777777" w:rsidR="008112B3" w:rsidRPr="008112B3" w:rsidRDefault="008112B3" w:rsidP="00926287">
            <w:pPr>
              <w:rPr>
                <w:b/>
                <w:bCs/>
              </w:rPr>
            </w:pPr>
            <w:r w:rsidRPr="008112B3">
              <w:rPr>
                <w:b/>
                <w:bCs/>
              </w:rPr>
              <w:t xml:space="preserve">Area of focus </w:t>
            </w:r>
          </w:p>
        </w:tc>
      </w:tr>
      <w:tr w:rsidR="008112B3" w:rsidRPr="008112B3" w14:paraId="6B2AB0CB" w14:textId="77777777" w:rsidTr="7AB4989F">
        <w:trPr>
          <w:trHeight w:val="1503"/>
        </w:trPr>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6A05F50" w14:textId="77777777" w:rsidR="008112B3" w:rsidRPr="008112B3" w:rsidRDefault="008112B3" w:rsidP="00926287">
            <w:r w:rsidRPr="008112B3">
              <w:rPr>
                <w:b/>
              </w:rPr>
              <w:t>Ref.</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1754478" w14:textId="77777777" w:rsidR="008112B3" w:rsidRPr="008112B3" w:rsidRDefault="008112B3" w:rsidP="00926287">
            <w:r w:rsidRPr="008112B3">
              <w:rPr>
                <w:b/>
              </w:rPr>
              <w:t>Specific Requirement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AD0A994" w14:textId="77777777" w:rsidR="008112B3" w:rsidRPr="008112B3" w:rsidRDefault="008112B3" w:rsidP="00926287">
            <w:r w:rsidRPr="008112B3">
              <w:rPr>
                <w:b/>
              </w:rPr>
              <w:t>Timing and cadence</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72066183" w14:textId="77777777" w:rsidR="008112B3" w:rsidRPr="008112B3" w:rsidRDefault="008112B3" w:rsidP="00926287">
            <w:pPr>
              <w:rPr>
                <w:b/>
                <w:bCs/>
              </w:rPr>
            </w:pPr>
            <w:r w:rsidRPr="008112B3">
              <w:rPr>
                <w:b/>
                <w:bCs/>
              </w:rPr>
              <w:t>Capability</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79D7DB1E" w14:textId="77777777" w:rsidR="008112B3" w:rsidRPr="008112B3" w:rsidRDefault="008112B3" w:rsidP="00926287">
            <w:pPr>
              <w:rPr>
                <w:b/>
                <w:bCs/>
              </w:rPr>
            </w:pPr>
            <w:r w:rsidRPr="008112B3">
              <w:rPr>
                <w:b/>
                <w:bCs/>
              </w:rPr>
              <w:t>Governance</w:t>
            </w: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68FE09E7" w14:textId="77777777" w:rsidR="008112B3" w:rsidRPr="008112B3" w:rsidRDefault="008112B3" w:rsidP="00926287">
            <w:pPr>
              <w:rPr>
                <w:b/>
                <w:bCs/>
              </w:rPr>
            </w:pPr>
            <w:r w:rsidRPr="008112B3">
              <w:rPr>
                <w:b/>
                <w:bCs/>
              </w:rPr>
              <w:t>Reporting</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74CED46E" w14:textId="77777777" w:rsidR="008112B3" w:rsidRPr="008112B3" w:rsidRDefault="008112B3" w:rsidP="00926287">
            <w:pPr>
              <w:rPr>
                <w:b/>
                <w:bCs/>
              </w:rPr>
            </w:pPr>
            <w:r w:rsidRPr="008112B3">
              <w:rPr>
                <w:b/>
                <w:bCs/>
              </w:rPr>
              <w:t>Data</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3DB88748" w14:textId="77777777" w:rsidR="008112B3" w:rsidRPr="008112B3" w:rsidRDefault="008112B3" w:rsidP="00926287">
            <w:pPr>
              <w:rPr>
                <w:b/>
                <w:bCs/>
              </w:rPr>
            </w:pPr>
            <w:r w:rsidRPr="008112B3">
              <w:rPr>
                <w:b/>
                <w:bCs/>
              </w:rPr>
              <w:t>Processes and systems</w:t>
            </w:r>
          </w:p>
        </w:tc>
      </w:tr>
      <w:tr w:rsidR="008112B3" w:rsidRPr="008112B3" w14:paraId="5F65239D" w14:textId="77777777" w:rsidTr="7AB4989F">
        <w:trPr>
          <w:gridBefore w:val="1"/>
          <w:wBefore w:w="10" w:type="dxa"/>
        </w:trPr>
        <w:tc>
          <w:tcPr>
            <w:tcW w:w="15170" w:type="dxa"/>
            <w:gridSpan w:val="8"/>
            <w:tcBorders>
              <w:top w:val="single" w:sz="4" w:space="0" w:color="auto"/>
              <w:left w:val="single" w:sz="4" w:space="0" w:color="auto"/>
              <w:bottom w:val="single" w:sz="4" w:space="0" w:color="auto"/>
              <w:right w:val="single" w:sz="4" w:space="0" w:color="auto"/>
            </w:tcBorders>
            <w:shd w:val="clear" w:color="auto" w:fill="48255F"/>
            <w:tcMar>
              <w:top w:w="0" w:type="dxa"/>
              <w:left w:w="108" w:type="dxa"/>
              <w:bottom w:w="0" w:type="dxa"/>
              <w:right w:w="108" w:type="dxa"/>
            </w:tcMar>
            <w:hideMark/>
          </w:tcPr>
          <w:p w14:paraId="5FCD3B34" w14:textId="77777777" w:rsidR="008112B3" w:rsidRPr="008112B3" w:rsidRDefault="008112B3" w:rsidP="008112B3">
            <w:pPr>
              <w:rPr>
                <w:b/>
                <w:bCs/>
              </w:rPr>
            </w:pPr>
            <w:r w:rsidRPr="008112B3">
              <w:rPr>
                <w:rStyle w:val="Strong"/>
              </w:rPr>
              <w:t>STANDARD</w:t>
            </w:r>
            <w:r w:rsidRPr="008112B3">
              <w:rPr>
                <w:b/>
                <w:bCs/>
              </w:rPr>
              <w:t xml:space="preserve"> 2: SAFE ENVIRONMENTS AND SYSTEMS</w:t>
            </w:r>
            <w:r w:rsidRPr="008112B3">
              <w:t xml:space="preserve"> </w:t>
            </w:r>
          </w:p>
        </w:tc>
      </w:tr>
      <w:tr w:rsidR="008112B3" w:rsidRPr="008112B3" w14:paraId="482A4A8E" w14:textId="77777777" w:rsidTr="00794D0D">
        <w:trPr>
          <w:gridBefore w:val="1"/>
          <w:wBefore w:w="10" w:type="dxa"/>
        </w:trPr>
        <w:tc>
          <w:tcPr>
            <w:tcW w:w="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42330" w14:textId="44E53D67" w:rsidR="008112B3" w:rsidRPr="008112B3" w:rsidRDefault="00513439" w:rsidP="00BF42EB">
            <w:r>
              <w:t>2.1</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96CA86" w14:textId="77777777" w:rsidR="008112B3" w:rsidRPr="008112B3" w:rsidRDefault="008112B3" w:rsidP="00DE22E7">
            <w:pPr>
              <w:spacing w:after="120"/>
            </w:pPr>
            <w:r w:rsidRPr="008112B3">
              <w:t xml:space="preserve">A </w:t>
            </w:r>
            <w:r w:rsidRPr="008112B3">
              <w:rPr>
                <w:b/>
              </w:rPr>
              <w:t>Provider</w:t>
            </w:r>
            <w:r w:rsidRPr="008112B3">
              <w:t xml:space="preserve"> must: </w:t>
            </w:r>
          </w:p>
          <w:p w14:paraId="6CE4213D" w14:textId="77777777" w:rsidR="008112B3" w:rsidRPr="008112B3" w:rsidRDefault="008112B3" w:rsidP="00DE22E7">
            <w:pPr>
              <w:spacing w:after="120"/>
            </w:pPr>
            <w:r w:rsidRPr="008112B3">
              <w:t xml:space="preserve">a) ensure its </w:t>
            </w:r>
            <w:r w:rsidRPr="008112B3">
              <w:rPr>
                <w:b/>
                <w:bCs/>
              </w:rPr>
              <w:t>Staff</w:t>
            </w:r>
            <w:r w:rsidRPr="008112B3">
              <w:t xml:space="preserve"> comply with the </w:t>
            </w:r>
            <w:r w:rsidRPr="008112B3">
              <w:rPr>
                <w:b/>
                <w:bCs/>
              </w:rPr>
              <w:t>Working with Children Check</w:t>
            </w:r>
            <w:r w:rsidRPr="008112B3">
              <w:t xml:space="preserve"> requirements of their governing State or Territory;</w:t>
            </w:r>
          </w:p>
          <w:p w14:paraId="06DC0199" w14:textId="1E7CEDA4" w:rsidR="008112B3" w:rsidRDefault="008112B3" w:rsidP="00DE22E7">
            <w:pPr>
              <w:spacing w:after="120"/>
            </w:pPr>
            <w:r w:rsidRPr="008112B3">
              <w:t xml:space="preserve">b) as part of the engagement process, ask prospective employees and members of the </w:t>
            </w:r>
            <w:r w:rsidRPr="008112B3">
              <w:rPr>
                <w:b/>
                <w:bCs/>
              </w:rPr>
              <w:t>Governing Body</w:t>
            </w:r>
            <w:r w:rsidRPr="008112B3">
              <w:t xml:space="preserve"> to declare whether they have been investigated for an allegation of </w:t>
            </w:r>
            <w:r w:rsidRPr="008112B3">
              <w:rPr>
                <w:b/>
                <w:bCs/>
              </w:rPr>
              <w:t>Gender</w:t>
            </w:r>
            <w:r w:rsidR="70E10319" w:rsidRPr="008112B3">
              <w:rPr>
                <w:b/>
                <w:bCs/>
              </w:rPr>
              <w:t>-</w:t>
            </w:r>
            <w:r w:rsidRPr="008112B3">
              <w:rPr>
                <w:b/>
                <w:bCs/>
              </w:rPr>
              <w:t>based Violence</w:t>
            </w:r>
            <w:r w:rsidRPr="008112B3">
              <w:t xml:space="preserve">, or determined to have engaged in conduct that constitutes </w:t>
            </w:r>
            <w:r w:rsidRPr="008112B3">
              <w:rPr>
                <w:b/>
                <w:bCs/>
              </w:rPr>
              <w:t>Gender</w:t>
            </w:r>
            <w:r w:rsidR="353BCAEA" w:rsidRPr="008112B3">
              <w:rPr>
                <w:b/>
                <w:bCs/>
              </w:rPr>
              <w:t>-</w:t>
            </w:r>
            <w:r w:rsidRPr="008112B3">
              <w:rPr>
                <w:b/>
                <w:bCs/>
              </w:rPr>
              <w:t>based Violence</w:t>
            </w:r>
            <w:r w:rsidRPr="008112B3">
              <w:t xml:space="preserve"> during the course of their previous employment, or otherwise in a legal process</w:t>
            </w:r>
            <w:r w:rsidR="00F34A8B">
              <w:t>;</w:t>
            </w:r>
            <w:r w:rsidRPr="008112B3">
              <w:t xml:space="preserve"> </w:t>
            </w:r>
          </w:p>
          <w:p w14:paraId="7C48C328" w14:textId="39B56F1D" w:rsidR="00CC68FD" w:rsidRDefault="00966EC3" w:rsidP="00DE22E7">
            <w:pPr>
              <w:spacing w:after="120"/>
            </w:pPr>
            <w:r>
              <w:t xml:space="preserve">c) </w:t>
            </w:r>
            <w:proofErr w:type="gramStart"/>
            <w:r w:rsidR="00316228">
              <w:t>take into account</w:t>
            </w:r>
            <w:proofErr w:type="gramEnd"/>
            <w:r w:rsidR="00316228">
              <w:t xml:space="preserve"> any declaration made under 2.1(b) </w:t>
            </w:r>
            <w:r w:rsidR="00F34A8B">
              <w:t>and any risks arising in determining the person’s suitability for their position;</w:t>
            </w:r>
          </w:p>
          <w:p w14:paraId="3099014C" w14:textId="007490C4" w:rsidR="00F34A8B" w:rsidRDefault="00F34A8B" w:rsidP="00DE22E7">
            <w:pPr>
              <w:spacing w:after="120"/>
            </w:pPr>
            <w:r>
              <w:t xml:space="preserve">d) take into consideration any substantiated allegation of </w:t>
            </w:r>
            <w:r>
              <w:rPr>
                <w:b/>
                <w:bCs/>
              </w:rPr>
              <w:t>Gender-based Violence</w:t>
            </w:r>
            <w:r>
              <w:t xml:space="preserve"> found by the Provider </w:t>
            </w:r>
            <w:proofErr w:type="gramStart"/>
            <w:r>
              <w:t>in the course of</w:t>
            </w:r>
            <w:proofErr w:type="gramEnd"/>
            <w:r>
              <w:t xml:space="preserve"> an employee’s employment in the promotion, recognition and reward of that employee;</w:t>
            </w:r>
          </w:p>
          <w:p w14:paraId="70D50745" w14:textId="1B648A39" w:rsidR="00F34A8B" w:rsidRDefault="00F34A8B" w:rsidP="00DE22E7">
            <w:pPr>
              <w:spacing w:after="120"/>
            </w:pPr>
            <w:r>
              <w:t xml:space="preserve">e) address any material risk arising in relation to any </w:t>
            </w:r>
            <w:r>
              <w:rPr>
                <w:b/>
                <w:bCs/>
              </w:rPr>
              <w:t>Staff</w:t>
            </w:r>
            <w:r>
              <w:t xml:space="preserve"> who are not employees where they have been investigated for, or determined to have engaged in, </w:t>
            </w:r>
            <w:r>
              <w:rPr>
                <w:b/>
                <w:bCs/>
              </w:rPr>
              <w:t>Gender-based Violence</w:t>
            </w:r>
            <w:r>
              <w:t>;</w:t>
            </w:r>
          </w:p>
          <w:p w14:paraId="4135F55E" w14:textId="34A338E1" w:rsidR="008112B3" w:rsidRPr="008112B3" w:rsidRDefault="00F34A8B" w:rsidP="00DE22E7">
            <w:pPr>
              <w:spacing w:after="120"/>
            </w:pPr>
            <w:r>
              <w:t xml:space="preserve">f) make alternative teaching, research, research supervision, employment or living arrangements as necessary to ensure the safety of </w:t>
            </w:r>
            <w:r>
              <w:rPr>
                <w:b/>
                <w:bCs/>
              </w:rPr>
              <w:t xml:space="preserve">Students </w:t>
            </w:r>
            <w:r>
              <w:t xml:space="preserve">and </w:t>
            </w:r>
            <w:r>
              <w:rPr>
                <w:b/>
                <w:bCs/>
              </w:rPr>
              <w:t xml:space="preserve">Staff </w:t>
            </w:r>
            <w:r>
              <w:t xml:space="preserve">where a </w:t>
            </w:r>
            <w:proofErr w:type="gramStart"/>
            <w:r>
              <w:rPr>
                <w:b/>
                <w:bCs/>
              </w:rPr>
              <w:t>Student</w:t>
            </w:r>
            <w:proofErr w:type="gramEnd"/>
            <w:r>
              <w:rPr>
                <w:b/>
                <w:bCs/>
              </w:rPr>
              <w:t xml:space="preserve"> </w:t>
            </w:r>
            <w:r>
              <w:t xml:space="preserve">or </w:t>
            </w:r>
            <w:r>
              <w:rPr>
                <w:b/>
                <w:bCs/>
              </w:rPr>
              <w:t xml:space="preserve">Staff </w:t>
            </w:r>
            <w:r>
              <w:t xml:space="preserve">alleges that they have experienced </w:t>
            </w:r>
            <w:r>
              <w:rPr>
                <w:b/>
                <w:bCs/>
              </w:rPr>
              <w:t>Gender-based Violence</w:t>
            </w:r>
            <w:r>
              <w: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12E61F" w14:textId="420DE2A9" w:rsidR="008112B3" w:rsidRPr="008112B3" w:rsidRDefault="008112B3" w:rsidP="00BF42EB">
            <w:r w:rsidRPr="008112B3">
              <w:t xml:space="preserve">From </w:t>
            </w:r>
            <w:r w:rsidR="00513439">
              <w:t>the Initial Date</w:t>
            </w:r>
            <w:r w:rsidRPr="008112B3">
              <w:t xml:space="preserve"> and ongoing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6131E56" w14:textId="77777777" w:rsidR="008112B3" w:rsidRPr="00794D0D" w:rsidRDefault="008112B3" w:rsidP="00794D0D">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667F925F" w14:textId="77777777" w:rsidR="008112B3" w:rsidRPr="00794D0D" w:rsidRDefault="008112B3" w:rsidP="00794D0D">
            <w:pPr>
              <w:jc w:val="center"/>
              <w:rPr>
                <w:b/>
                <w:sz w:val="32"/>
                <w:szCs w:val="32"/>
              </w:rPr>
            </w:pPr>
            <w:r w:rsidRPr="00794D0D">
              <w:rPr>
                <w:b/>
                <w:sz w:val="32"/>
                <w:szCs w:val="32"/>
              </w:rPr>
              <w:t>X</w:t>
            </w: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71F2B24" w14:textId="77777777" w:rsidR="008112B3" w:rsidRPr="00794D0D" w:rsidRDefault="008112B3" w:rsidP="00794D0D">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1C6DBBF" w14:textId="77777777" w:rsidR="008112B3" w:rsidRPr="00794D0D" w:rsidRDefault="008112B3" w:rsidP="00794D0D">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14E8F5CC" w14:textId="77777777" w:rsidR="008112B3" w:rsidRPr="00794D0D" w:rsidRDefault="008112B3" w:rsidP="00794D0D">
            <w:pPr>
              <w:jc w:val="center"/>
              <w:rPr>
                <w:b/>
                <w:sz w:val="32"/>
                <w:szCs w:val="32"/>
              </w:rPr>
            </w:pPr>
            <w:r w:rsidRPr="00794D0D">
              <w:rPr>
                <w:b/>
                <w:sz w:val="32"/>
                <w:szCs w:val="32"/>
              </w:rPr>
              <w:t>X</w:t>
            </w:r>
          </w:p>
        </w:tc>
      </w:tr>
      <w:tr w:rsidR="008112B3" w:rsidRPr="008112B3" w14:paraId="7E95DED8" w14:textId="77777777" w:rsidTr="00794D0D">
        <w:trPr>
          <w:gridBefore w:val="1"/>
          <w:wBefore w:w="10" w:type="dxa"/>
        </w:trPr>
        <w:tc>
          <w:tcPr>
            <w:tcW w:w="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7B1350" w14:textId="77777777" w:rsidR="008112B3" w:rsidRPr="008112B3" w:rsidRDefault="008112B3" w:rsidP="00BF42EB">
            <w:r w:rsidRPr="008112B3">
              <w:t xml:space="preserve">2.2 </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A0A2DB" w14:textId="77777777" w:rsidR="008112B3" w:rsidRPr="008112B3" w:rsidRDefault="008112B3" w:rsidP="00DE22E7">
            <w:pPr>
              <w:spacing w:after="120"/>
            </w:pPr>
            <w:r w:rsidRPr="008112B3">
              <w:t xml:space="preserve">A </w:t>
            </w:r>
            <w:r w:rsidRPr="008112B3">
              <w:rPr>
                <w:b/>
              </w:rPr>
              <w:t>Provider</w:t>
            </w:r>
            <w:r w:rsidRPr="008112B3">
              <w:t xml:space="preserve"> must: </w:t>
            </w:r>
            <w:bookmarkStart w:id="6" w:name="_Ref183510069"/>
            <w:bookmarkEnd w:id="6"/>
          </w:p>
          <w:p w14:paraId="2A946747" w14:textId="5BBC2041" w:rsidR="008112B3" w:rsidRPr="008112B3" w:rsidRDefault="008112B3" w:rsidP="00DE22E7">
            <w:pPr>
              <w:spacing w:after="120"/>
            </w:pPr>
            <w:r w:rsidRPr="008112B3">
              <w:t>a) require employees to declare any existing or previous intimate personal relationship they have with: (</w:t>
            </w:r>
            <w:proofErr w:type="spellStart"/>
            <w:r w:rsidRPr="008112B3">
              <w:t>i</w:t>
            </w:r>
            <w:proofErr w:type="spellEnd"/>
            <w:r w:rsidRPr="008112B3">
              <w:t xml:space="preserve">) an employee, where one employee has, or is likely to have, any supervisory, oversight or </w:t>
            </w:r>
            <w:r w:rsidRPr="008112B3">
              <w:lastRenderedPageBreak/>
              <w:t>decision</w:t>
            </w:r>
            <w:r w:rsidR="184CE3DA" w:rsidRPr="008112B3">
              <w:t xml:space="preserve"> </w:t>
            </w:r>
            <w:r w:rsidRPr="008112B3">
              <w:t xml:space="preserve">making responsibilities in relation to the other employee; and (ii) a </w:t>
            </w:r>
            <w:r w:rsidRPr="008112B3">
              <w:rPr>
                <w:b/>
                <w:bCs/>
              </w:rPr>
              <w:t xml:space="preserve">Student, </w:t>
            </w:r>
            <w:r w:rsidRPr="008112B3">
              <w:t xml:space="preserve">where the employee has, or is likely to have, any academic or other decision-making responsibilities in relation to the </w:t>
            </w:r>
            <w:r w:rsidRPr="008112B3">
              <w:rPr>
                <w:b/>
                <w:bCs/>
              </w:rPr>
              <w:t>Student</w:t>
            </w:r>
            <w:r w:rsidRPr="008112B3">
              <w:t>; and</w:t>
            </w:r>
          </w:p>
          <w:p w14:paraId="1A4ADFB8" w14:textId="61C45AFD" w:rsidR="008112B3" w:rsidRPr="008112B3" w:rsidRDefault="008112B3" w:rsidP="00DE22E7">
            <w:pPr>
              <w:spacing w:after="120"/>
            </w:pPr>
            <w:r w:rsidRPr="008112B3">
              <w:t>b) where a declaration is made… implement a conflict-of-interest management plan that includes permanent alternative teaching, research or working arrangements as necessary.</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754FEA" w14:textId="5CED7535" w:rsidR="008112B3" w:rsidRPr="008112B3" w:rsidRDefault="008112B3" w:rsidP="00BF42EB">
            <w:r w:rsidRPr="008112B3">
              <w:lastRenderedPageBreak/>
              <w:t xml:space="preserve">From </w:t>
            </w:r>
            <w:r w:rsidR="00513439">
              <w:t xml:space="preserve">the Initial Date </w:t>
            </w:r>
            <w:r w:rsidRPr="008112B3">
              <w:t xml:space="preserve">and ongoing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0879515" w14:textId="77777777" w:rsidR="008112B3" w:rsidRPr="00794D0D" w:rsidRDefault="008112B3" w:rsidP="00794D0D">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2C6F0EA3" w14:textId="77777777" w:rsidR="008112B3" w:rsidRPr="00794D0D" w:rsidRDefault="008112B3" w:rsidP="00794D0D">
            <w:pPr>
              <w:jc w:val="center"/>
              <w:rPr>
                <w:b/>
                <w:sz w:val="32"/>
                <w:szCs w:val="32"/>
              </w:rPr>
            </w:pPr>
            <w:r w:rsidRPr="00794D0D">
              <w:rPr>
                <w:b/>
                <w:sz w:val="32"/>
                <w:szCs w:val="32"/>
              </w:rPr>
              <w:t>X</w:t>
            </w: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B914C0C" w14:textId="77777777" w:rsidR="008112B3" w:rsidRPr="00794D0D" w:rsidRDefault="008112B3" w:rsidP="00794D0D">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01F311D" w14:textId="77777777" w:rsidR="008112B3" w:rsidRPr="00794D0D" w:rsidRDefault="008112B3" w:rsidP="00794D0D">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57AC0DAF" w14:textId="77777777" w:rsidR="008112B3" w:rsidRPr="00794D0D" w:rsidRDefault="008112B3" w:rsidP="00794D0D">
            <w:pPr>
              <w:jc w:val="center"/>
              <w:rPr>
                <w:b/>
                <w:sz w:val="32"/>
                <w:szCs w:val="32"/>
              </w:rPr>
            </w:pPr>
            <w:r w:rsidRPr="00794D0D">
              <w:rPr>
                <w:b/>
                <w:sz w:val="32"/>
                <w:szCs w:val="32"/>
              </w:rPr>
              <w:t>X</w:t>
            </w:r>
          </w:p>
        </w:tc>
      </w:tr>
      <w:tr w:rsidR="008112B3" w:rsidRPr="008112B3" w14:paraId="11CA8ABC" w14:textId="77777777" w:rsidTr="00794D0D">
        <w:trPr>
          <w:gridBefore w:val="1"/>
          <w:wBefore w:w="10" w:type="dxa"/>
        </w:trPr>
        <w:tc>
          <w:tcPr>
            <w:tcW w:w="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92F05D" w14:textId="77777777" w:rsidR="008112B3" w:rsidRPr="008112B3" w:rsidRDefault="008112B3" w:rsidP="00BF42EB">
            <w:r w:rsidRPr="008112B3">
              <w:t xml:space="preserve">2.3 </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1C0F34" w14:textId="59CD7DD2" w:rsidR="008112B3" w:rsidRPr="008112B3" w:rsidRDefault="008112B3" w:rsidP="00DE22E7">
            <w:pPr>
              <w:spacing w:after="120"/>
              <w:rPr>
                <w:b/>
                <w:bCs/>
              </w:rPr>
            </w:pPr>
            <w:r w:rsidRPr="008112B3">
              <w:t xml:space="preserve">A </w:t>
            </w:r>
            <w:r w:rsidRPr="008112B3">
              <w:rPr>
                <w:b/>
                <w:bCs/>
              </w:rPr>
              <w:t xml:space="preserve">Provider </w:t>
            </w:r>
            <w:r w:rsidRPr="008112B3">
              <w:t xml:space="preserve">must have and implement a </w:t>
            </w:r>
            <w:r w:rsidRPr="008112B3">
              <w:rPr>
                <w:b/>
                <w:bCs/>
              </w:rPr>
              <w:t xml:space="preserve">Policy </w:t>
            </w:r>
            <w:r w:rsidRPr="008112B3">
              <w:t xml:space="preserve">on preventing and responding to </w:t>
            </w:r>
            <w:r w:rsidRPr="008112B3">
              <w:rPr>
                <w:b/>
                <w:bCs/>
              </w:rPr>
              <w:t>Gender-based Violence</w:t>
            </w:r>
            <w:r w:rsidRPr="00BB5E94">
              <w:t>.</w:t>
            </w:r>
          </w:p>
          <w:p w14:paraId="75801B8C" w14:textId="77777777" w:rsidR="008112B3" w:rsidRPr="008112B3" w:rsidRDefault="008112B3" w:rsidP="00DE22E7">
            <w:pPr>
              <w:spacing w:after="120"/>
            </w:pPr>
            <w:r w:rsidRPr="008112B3">
              <w:rPr>
                <w:i/>
              </w:rPr>
              <w:t>NB: The National Code provides detail on the content of the policy and scope of policy application.</w:t>
            </w:r>
            <w:r w:rsidRPr="008112B3">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DCC02" w14:textId="1CB66559" w:rsidR="008112B3" w:rsidRPr="008112B3" w:rsidRDefault="00BB5E94" w:rsidP="00BF42EB">
            <w:r>
              <w:t xml:space="preserve">From </w:t>
            </w:r>
            <w:r w:rsidR="00513439">
              <w:t>the Initial Date</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7C785632" w14:textId="77777777" w:rsidR="008112B3" w:rsidRPr="00794D0D" w:rsidRDefault="008112B3" w:rsidP="00794D0D">
            <w:pPr>
              <w:jc w:val="center"/>
              <w:rPr>
                <w:b/>
                <w:sz w:val="32"/>
                <w:szCs w:val="32"/>
              </w:rPr>
            </w:pPr>
            <w:r w:rsidRPr="00794D0D">
              <w:rPr>
                <w:b/>
                <w:sz w:val="32"/>
                <w:szCs w:val="32"/>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F8FA477" w14:textId="77777777" w:rsidR="008112B3" w:rsidRPr="00794D0D" w:rsidRDefault="008112B3" w:rsidP="00794D0D">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4A53D14" w14:textId="77777777" w:rsidR="008112B3" w:rsidRPr="00794D0D" w:rsidRDefault="008112B3" w:rsidP="00794D0D">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224E58F" w14:textId="77777777" w:rsidR="008112B3" w:rsidRPr="00794D0D" w:rsidRDefault="008112B3" w:rsidP="00794D0D">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1C8768C2" w14:textId="77777777" w:rsidR="008112B3" w:rsidRPr="00794D0D" w:rsidRDefault="008112B3" w:rsidP="00794D0D">
            <w:pPr>
              <w:jc w:val="center"/>
              <w:rPr>
                <w:b/>
                <w:sz w:val="32"/>
                <w:szCs w:val="32"/>
              </w:rPr>
            </w:pPr>
            <w:r w:rsidRPr="00794D0D">
              <w:rPr>
                <w:b/>
                <w:sz w:val="32"/>
                <w:szCs w:val="32"/>
              </w:rPr>
              <w:t>X</w:t>
            </w:r>
          </w:p>
        </w:tc>
      </w:tr>
      <w:tr w:rsidR="008112B3" w:rsidRPr="008112B3" w14:paraId="6457C096" w14:textId="77777777" w:rsidTr="00794D0D">
        <w:trPr>
          <w:gridBefore w:val="1"/>
          <w:wBefore w:w="10" w:type="dxa"/>
        </w:trPr>
        <w:tc>
          <w:tcPr>
            <w:tcW w:w="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3900E0" w14:textId="77777777" w:rsidR="008112B3" w:rsidRPr="008112B3" w:rsidRDefault="008112B3" w:rsidP="00BF42EB">
            <w:r w:rsidRPr="008112B3">
              <w:t>2.5</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E35C26" w14:textId="3C137A90" w:rsidR="008112B3" w:rsidRPr="008112B3" w:rsidRDefault="008112B3" w:rsidP="00DE22E7">
            <w:pPr>
              <w:spacing w:after="120"/>
            </w:pPr>
            <w:bookmarkStart w:id="7" w:name="_Ref184017534"/>
            <w:r w:rsidRPr="008112B3">
              <w:t xml:space="preserve">A </w:t>
            </w:r>
            <w:r w:rsidRPr="008112B3">
              <w:rPr>
                <w:b/>
                <w:bCs/>
              </w:rPr>
              <w:t>Provider</w:t>
            </w:r>
            <w:r w:rsidRPr="008112B3">
              <w:t xml:space="preserve"> must develop and review </w:t>
            </w:r>
            <w:bookmarkStart w:id="8" w:name="_Hlk188620204"/>
            <w:r w:rsidRPr="008112B3">
              <w:t xml:space="preserve">its </w:t>
            </w:r>
            <w:r w:rsidRPr="008112B3">
              <w:rPr>
                <w:b/>
                <w:bCs/>
              </w:rPr>
              <w:t>Policy</w:t>
            </w:r>
            <w:r w:rsidRPr="008112B3">
              <w:t xml:space="preserve"> on preventing and responding to </w:t>
            </w:r>
            <w:r w:rsidRPr="008112B3">
              <w:rPr>
                <w:b/>
                <w:bCs/>
              </w:rPr>
              <w:t>Gender-based Violence</w:t>
            </w:r>
            <w:r w:rsidRPr="008112B3">
              <w:t xml:space="preserve"> </w:t>
            </w:r>
            <w:bookmarkEnd w:id="8"/>
            <w:r w:rsidRPr="008112B3">
              <w:t xml:space="preserve">at least every three years including through engagement and collaboration </w:t>
            </w:r>
            <w:bookmarkEnd w:id="7"/>
            <w:r w:rsidR="00BB5E94">
              <w:t xml:space="preserve">with </w:t>
            </w:r>
            <w:r w:rsidRPr="008112B3">
              <w:t xml:space="preserve">key stakeholders outlined in the National Code.  </w:t>
            </w:r>
          </w:p>
          <w:p w14:paraId="505328A5" w14:textId="1C570375" w:rsidR="008112B3" w:rsidRPr="008112B3" w:rsidRDefault="008112B3" w:rsidP="00DE22E7">
            <w:pPr>
              <w:spacing w:after="120"/>
            </w:pPr>
            <w:r w:rsidRPr="008112B3">
              <w:rPr>
                <w:i/>
              </w:rPr>
              <w:t xml:space="preserve">NB: The National Code provides detail on the stakeholders that should be engaged, the Secretary’s power to require a Provider to produce evidence on its engagement with key stakeholders, and </w:t>
            </w:r>
            <w:r w:rsidR="00BB5E94">
              <w:rPr>
                <w:i/>
              </w:rPr>
              <w:t>matters</w:t>
            </w:r>
            <w:r w:rsidRPr="008112B3">
              <w:rPr>
                <w:i/>
              </w:rPr>
              <w:t xml:space="preserve"> the policy needs to support including the physical and psychological safety of students and staff.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4B321C" w14:textId="5FBD68DF" w:rsidR="008112B3" w:rsidRPr="008112B3" w:rsidRDefault="008112B3" w:rsidP="00BF42EB">
            <w:r w:rsidRPr="008112B3">
              <w:t xml:space="preserve">From </w:t>
            </w:r>
            <w:r w:rsidR="00513439">
              <w:t>the Initial Date</w:t>
            </w:r>
            <w:r w:rsidRPr="008112B3">
              <w:t>, and</w:t>
            </w:r>
            <w:r w:rsidR="00513439">
              <w:t xml:space="preserve"> at least</w:t>
            </w:r>
            <w:r w:rsidRPr="008112B3">
              <w:t xml:space="preserve"> every three years thereafter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CCE32CA" w14:textId="67301B6A" w:rsidR="008112B3" w:rsidRPr="00794D0D" w:rsidRDefault="001D4477" w:rsidP="00794D0D">
            <w:pPr>
              <w:jc w:val="center"/>
              <w:rPr>
                <w:b/>
                <w:sz w:val="32"/>
                <w:szCs w:val="32"/>
              </w:rPr>
            </w:pPr>
            <w:r w:rsidRPr="00794D0D">
              <w:rPr>
                <w:b/>
                <w:sz w:val="32"/>
                <w:szCs w:val="32"/>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D7F4852" w14:textId="77777777" w:rsidR="008112B3" w:rsidRPr="00794D0D" w:rsidRDefault="008112B3" w:rsidP="00794D0D">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70662EE" w14:textId="77777777" w:rsidR="008112B3" w:rsidRPr="00794D0D" w:rsidRDefault="008112B3" w:rsidP="00794D0D">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B0E2917" w14:textId="77777777" w:rsidR="008112B3" w:rsidRPr="00794D0D" w:rsidRDefault="008112B3" w:rsidP="00794D0D">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494B2F05" w14:textId="77777777" w:rsidR="008112B3" w:rsidRPr="00794D0D" w:rsidRDefault="008112B3" w:rsidP="00794D0D">
            <w:pPr>
              <w:jc w:val="center"/>
              <w:rPr>
                <w:b/>
                <w:sz w:val="32"/>
                <w:szCs w:val="32"/>
              </w:rPr>
            </w:pPr>
            <w:r w:rsidRPr="00794D0D">
              <w:rPr>
                <w:b/>
                <w:sz w:val="32"/>
                <w:szCs w:val="32"/>
              </w:rPr>
              <w:t>X</w:t>
            </w:r>
          </w:p>
        </w:tc>
      </w:tr>
      <w:tr w:rsidR="001D4477" w:rsidRPr="008112B3" w14:paraId="22E00A4F" w14:textId="77777777" w:rsidTr="00794D0D">
        <w:trPr>
          <w:gridBefore w:val="1"/>
          <w:wBefore w:w="10" w:type="dxa"/>
        </w:trPr>
        <w:tc>
          <w:tcPr>
            <w:tcW w:w="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8FD0B" w14:textId="6B34C326" w:rsidR="001D4477" w:rsidRPr="008112B3" w:rsidRDefault="001D4477" w:rsidP="00BF42EB">
            <w:r>
              <w:t>2.6</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5E6C" w14:textId="365F0BF9" w:rsidR="001D4477" w:rsidRPr="001D4477" w:rsidRDefault="001D4477" w:rsidP="00DE22E7">
            <w:pPr>
              <w:spacing w:after="120"/>
            </w:pPr>
            <w:r>
              <w:t xml:space="preserve">The </w:t>
            </w:r>
            <w:r>
              <w:rPr>
                <w:b/>
                <w:bCs/>
              </w:rPr>
              <w:t>Secretary</w:t>
            </w:r>
            <w:r>
              <w:t xml:space="preserve"> may require a </w:t>
            </w:r>
            <w:r>
              <w:rPr>
                <w:b/>
                <w:bCs/>
              </w:rPr>
              <w:t xml:space="preserve">Provider </w:t>
            </w:r>
            <w:r>
              <w:t xml:space="preserve">to report on how the engagement with, and the views of </w:t>
            </w:r>
            <w:r>
              <w:rPr>
                <w:b/>
                <w:bCs/>
              </w:rPr>
              <w:t xml:space="preserve">Students </w:t>
            </w:r>
            <w:r>
              <w:t xml:space="preserve">and employees, experts in prevention of </w:t>
            </w:r>
            <w:r>
              <w:rPr>
                <w:b/>
                <w:bCs/>
              </w:rPr>
              <w:t xml:space="preserve">Gender-based Violence </w:t>
            </w:r>
            <w:r>
              <w:t xml:space="preserve">and other persons identified in 2.5, has informed the development and review of the </w:t>
            </w:r>
            <w:r>
              <w:rPr>
                <w:b/>
                <w:bCs/>
              </w:rPr>
              <w:t>Policy</w:t>
            </w:r>
            <w:r>
              <w:t xml:space="preserve"> on preventing and responding to </w:t>
            </w:r>
            <w:r>
              <w:rPr>
                <w:b/>
                <w:bCs/>
              </w:rPr>
              <w:t>Gender-based Violence</w:t>
            </w:r>
            <w:r>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32BC8" w14:textId="26039996" w:rsidR="001D4477" w:rsidRPr="008112B3" w:rsidRDefault="001D4477" w:rsidP="00BF42EB">
            <w:r>
              <w:t>As required</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AA34345" w14:textId="7E39E83A" w:rsidR="001D4477" w:rsidRPr="00794D0D" w:rsidRDefault="001D4477" w:rsidP="00794D0D">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458569B" w14:textId="77777777" w:rsidR="001D4477" w:rsidRPr="00794D0D" w:rsidRDefault="001D4477" w:rsidP="00794D0D">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BFF360D" w14:textId="441883E8" w:rsidR="001D4477" w:rsidRPr="00794D0D" w:rsidRDefault="001D4477" w:rsidP="00794D0D">
            <w:pPr>
              <w:jc w:val="center"/>
              <w:rPr>
                <w:b/>
                <w:sz w:val="32"/>
                <w:szCs w:val="32"/>
              </w:rPr>
            </w:pPr>
            <w:r w:rsidRPr="00794D0D">
              <w:rPr>
                <w:b/>
                <w:sz w:val="32"/>
                <w:szCs w:val="32"/>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8C95DF9" w14:textId="77777777" w:rsidR="001D4477" w:rsidRPr="00794D0D" w:rsidRDefault="001D4477" w:rsidP="00794D0D">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026FDB5" w14:textId="77777777" w:rsidR="001D4477" w:rsidRPr="00794D0D" w:rsidRDefault="001D4477" w:rsidP="00794D0D">
            <w:pPr>
              <w:jc w:val="center"/>
              <w:rPr>
                <w:b/>
                <w:sz w:val="32"/>
                <w:szCs w:val="32"/>
              </w:rPr>
            </w:pPr>
          </w:p>
        </w:tc>
      </w:tr>
      <w:tr w:rsidR="008112B3" w:rsidRPr="008112B3" w14:paraId="14970F61" w14:textId="77777777" w:rsidTr="00794D0D">
        <w:trPr>
          <w:gridBefore w:val="1"/>
          <w:wBefore w:w="10" w:type="dxa"/>
        </w:trPr>
        <w:tc>
          <w:tcPr>
            <w:tcW w:w="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84184E" w14:textId="77777777" w:rsidR="008112B3" w:rsidRPr="008112B3" w:rsidRDefault="008112B3" w:rsidP="00BF42EB">
            <w:r w:rsidRPr="008112B3">
              <w:t xml:space="preserve">2.8 </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A52BB3" w14:textId="77777777" w:rsidR="008112B3" w:rsidRPr="008112B3" w:rsidRDefault="008112B3" w:rsidP="00DE22E7">
            <w:pPr>
              <w:spacing w:after="120"/>
            </w:pPr>
            <w:r w:rsidRPr="008112B3">
              <w:t xml:space="preserve">A </w:t>
            </w:r>
            <w:r w:rsidRPr="008112B3">
              <w:rPr>
                <w:b/>
              </w:rPr>
              <w:t>Provider</w:t>
            </w:r>
            <w:r w:rsidRPr="008112B3">
              <w:t xml:space="preserve"> must prohibit the use of a </w:t>
            </w:r>
            <w:r w:rsidRPr="008112B3">
              <w:rPr>
                <w:b/>
              </w:rPr>
              <w:t>Non-disclosure Agreement</w:t>
            </w:r>
            <w:r w:rsidRPr="008112B3">
              <w:t xml:space="preserve">, unless requested by a </w:t>
            </w:r>
            <w:r w:rsidRPr="008112B3">
              <w:rPr>
                <w:b/>
              </w:rPr>
              <w:t>Discloser</w:t>
            </w:r>
            <w:r w:rsidRPr="008112B3">
              <w:t>.</w:t>
            </w:r>
          </w:p>
          <w:p w14:paraId="668A30D1" w14:textId="77777777" w:rsidR="008112B3" w:rsidRPr="008112B3" w:rsidRDefault="008112B3" w:rsidP="00DE22E7">
            <w:pPr>
              <w:spacing w:after="120"/>
            </w:pPr>
            <w:r w:rsidRPr="008112B3">
              <w:rPr>
                <w:i/>
              </w:rPr>
              <w:t>NB: The National Code provides detail on use of non-disclosure agreements at the consent of the Discloser.</w:t>
            </w:r>
            <w:r w:rsidRPr="008112B3">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7FA401" w14:textId="728199A4" w:rsidR="008112B3" w:rsidRPr="008112B3" w:rsidRDefault="008112B3" w:rsidP="00BF42EB">
            <w:r w:rsidRPr="008112B3">
              <w:t xml:space="preserve">From </w:t>
            </w:r>
            <w:r w:rsidR="00EF3655">
              <w:t>the Initial Date</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1C3B1A6" w14:textId="77777777" w:rsidR="008112B3" w:rsidRPr="00794D0D" w:rsidRDefault="008112B3" w:rsidP="00794D0D">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B830DBD" w14:textId="77777777" w:rsidR="008112B3" w:rsidRPr="00794D0D" w:rsidRDefault="008112B3" w:rsidP="00794D0D">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DB2DCBB" w14:textId="77777777" w:rsidR="008112B3" w:rsidRPr="00794D0D" w:rsidRDefault="008112B3" w:rsidP="00794D0D">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1CAE04E" w14:textId="77777777" w:rsidR="008112B3" w:rsidRPr="00794D0D" w:rsidRDefault="008112B3" w:rsidP="00794D0D">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4F0BD92A" w14:textId="77777777" w:rsidR="008112B3" w:rsidRPr="00794D0D" w:rsidRDefault="008112B3" w:rsidP="00794D0D">
            <w:pPr>
              <w:jc w:val="center"/>
              <w:rPr>
                <w:b/>
                <w:sz w:val="32"/>
                <w:szCs w:val="32"/>
              </w:rPr>
            </w:pPr>
            <w:r w:rsidRPr="00794D0D">
              <w:rPr>
                <w:b/>
                <w:sz w:val="32"/>
                <w:szCs w:val="32"/>
              </w:rPr>
              <w:t>X</w:t>
            </w:r>
          </w:p>
        </w:tc>
      </w:tr>
      <w:tr w:rsidR="008112B3" w:rsidRPr="008112B3" w14:paraId="5DA43E0C" w14:textId="77777777" w:rsidTr="00794D0D">
        <w:trPr>
          <w:gridBefore w:val="1"/>
          <w:wBefore w:w="10" w:type="dxa"/>
        </w:trPr>
        <w:tc>
          <w:tcPr>
            <w:tcW w:w="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35BE08" w14:textId="77777777" w:rsidR="008112B3" w:rsidRPr="008112B3" w:rsidRDefault="008112B3" w:rsidP="00BF42EB">
            <w:r w:rsidRPr="008112B3">
              <w:t>2.9</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C7D873" w14:textId="7A6DF89F" w:rsidR="008112B3" w:rsidRPr="008112B3" w:rsidRDefault="008112B3" w:rsidP="00DE22E7">
            <w:pPr>
              <w:spacing w:after="120"/>
            </w:pPr>
            <w:r w:rsidRPr="008112B3">
              <w:t xml:space="preserve">A </w:t>
            </w:r>
            <w:r w:rsidRPr="008112B3">
              <w:rPr>
                <w:b/>
                <w:bCs/>
              </w:rPr>
              <w:t>Provider</w:t>
            </w:r>
            <w:r w:rsidRPr="008112B3">
              <w:t xml:space="preserve"> must implement any recommendations made by the </w:t>
            </w:r>
            <w:r w:rsidRPr="008112B3">
              <w:rPr>
                <w:b/>
                <w:bCs/>
              </w:rPr>
              <w:t>National Student Ombudsman</w:t>
            </w:r>
            <w:r w:rsidRPr="008112B3">
              <w:t xml:space="preserve"> in relation to </w:t>
            </w:r>
            <w:r w:rsidRPr="008112B3">
              <w:rPr>
                <w:b/>
                <w:bCs/>
              </w:rPr>
              <w:t>Gender</w:t>
            </w:r>
            <w:r w:rsidRPr="008112B3">
              <w:rPr>
                <w:b/>
              </w:rPr>
              <w:noBreakHyphen/>
            </w:r>
            <w:r w:rsidRPr="008112B3">
              <w:rPr>
                <w:b/>
                <w:bCs/>
              </w:rPr>
              <w:t xml:space="preserve">based Violence </w:t>
            </w:r>
            <w:r w:rsidRPr="008112B3">
              <w:t xml:space="preserve">which are directed to the </w:t>
            </w:r>
            <w:r w:rsidRPr="008112B3">
              <w:rPr>
                <w:b/>
                <w:bCs/>
              </w:rPr>
              <w:t xml:space="preserve">Provider. </w:t>
            </w:r>
            <w:r w:rsidRPr="008112B3">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C79FAE" w14:textId="77777777" w:rsidR="008112B3" w:rsidRPr="008112B3" w:rsidRDefault="008112B3" w:rsidP="00BF42EB">
            <w:r w:rsidRPr="008112B3">
              <w:t xml:space="preserve">As required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0458FE8" w14:textId="77777777" w:rsidR="008112B3" w:rsidRPr="00794D0D" w:rsidRDefault="008112B3" w:rsidP="00794D0D">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77AE8BDF" w14:textId="77777777" w:rsidR="008112B3" w:rsidRPr="00794D0D" w:rsidRDefault="008112B3" w:rsidP="00794D0D">
            <w:pPr>
              <w:jc w:val="center"/>
              <w:rPr>
                <w:b/>
                <w:sz w:val="32"/>
                <w:szCs w:val="32"/>
              </w:rPr>
            </w:pPr>
            <w:r w:rsidRPr="00794D0D">
              <w:rPr>
                <w:b/>
                <w:sz w:val="32"/>
                <w:szCs w:val="32"/>
              </w:rPr>
              <w:t>X</w:t>
            </w: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E38ECFC" w14:textId="77777777" w:rsidR="008112B3" w:rsidRPr="00794D0D" w:rsidRDefault="008112B3" w:rsidP="00794D0D">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8E86CDD" w14:textId="77777777" w:rsidR="008112B3" w:rsidRPr="00794D0D" w:rsidRDefault="008112B3" w:rsidP="00794D0D">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37A55B16" w14:textId="77777777" w:rsidR="008112B3" w:rsidRPr="00794D0D" w:rsidRDefault="008112B3" w:rsidP="00794D0D">
            <w:pPr>
              <w:jc w:val="center"/>
              <w:rPr>
                <w:b/>
                <w:sz w:val="32"/>
                <w:szCs w:val="32"/>
              </w:rPr>
            </w:pPr>
            <w:r w:rsidRPr="00794D0D">
              <w:rPr>
                <w:b/>
                <w:sz w:val="32"/>
                <w:szCs w:val="32"/>
              </w:rPr>
              <w:t>X</w:t>
            </w:r>
          </w:p>
        </w:tc>
      </w:tr>
      <w:tr w:rsidR="008112B3" w:rsidRPr="008112B3" w14:paraId="7AB0F12C" w14:textId="77777777" w:rsidTr="00794D0D">
        <w:trPr>
          <w:gridBefore w:val="1"/>
          <w:wBefore w:w="10" w:type="dxa"/>
        </w:trPr>
        <w:tc>
          <w:tcPr>
            <w:tcW w:w="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ED3126" w14:textId="77777777" w:rsidR="008112B3" w:rsidRPr="008112B3" w:rsidRDefault="008112B3" w:rsidP="00BF42EB">
            <w:r w:rsidRPr="008112B3">
              <w:t>2.10</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8329AA" w14:textId="77777777" w:rsidR="008112B3" w:rsidRPr="008112B3" w:rsidRDefault="008112B3" w:rsidP="00DE22E7">
            <w:pPr>
              <w:spacing w:after="120"/>
            </w:pPr>
            <w:r w:rsidRPr="008112B3">
              <w:t xml:space="preserve">The </w:t>
            </w:r>
            <w:r w:rsidRPr="008112B3">
              <w:rPr>
                <w:b/>
                <w:bCs/>
              </w:rPr>
              <w:t xml:space="preserve">Secretary </w:t>
            </w:r>
            <w:r w:rsidRPr="008112B3">
              <w:t xml:space="preserve">may require a </w:t>
            </w:r>
            <w:r w:rsidRPr="008112B3">
              <w:rPr>
                <w:b/>
                <w:bCs/>
              </w:rPr>
              <w:t xml:space="preserve">Provider </w:t>
            </w:r>
            <w:r w:rsidRPr="008112B3">
              <w:t xml:space="preserve">to report on how it has complied with its obligations under this Standard in a manner and form to be prescribed by the </w:t>
            </w:r>
            <w:r w:rsidRPr="008112B3">
              <w:rPr>
                <w:b/>
                <w:bCs/>
              </w:rPr>
              <w:t>Secretary</w:t>
            </w:r>
            <w:r w:rsidRPr="000A6AC4">
              <w:t>.</w:t>
            </w:r>
            <w:r w:rsidRPr="008112B3">
              <w:rPr>
                <w:b/>
                <w:bCs/>
              </w:rPr>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E234B4" w14:textId="70F01AB1" w:rsidR="008112B3" w:rsidRPr="008112B3" w:rsidRDefault="008112B3" w:rsidP="00BF42EB">
            <w:r w:rsidRPr="008112B3">
              <w:t xml:space="preserve">As </w:t>
            </w:r>
            <w:r w:rsidR="001D4477">
              <w:t>required</w:t>
            </w:r>
            <w:r w:rsidR="001D4477" w:rsidRPr="008112B3">
              <w:t xml:space="preserve">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10CA97B" w14:textId="77777777" w:rsidR="008112B3" w:rsidRPr="00794D0D" w:rsidRDefault="008112B3" w:rsidP="00794D0D">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DCEABD6" w14:textId="77777777" w:rsidR="008112B3" w:rsidRPr="00794D0D" w:rsidRDefault="008112B3" w:rsidP="00794D0D">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2CA3124D" w14:textId="77777777" w:rsidR="008112B3" w:rsidRPr="00794D0D" w:rsidRDefault="008112B3" w:rsidP="00794D0D">
            <w:pPr>
              <w:jc w:val="center"/>
              <w:rPr>
                <w:b/>
                <w:sz w:val="32"/>
                <w:szCs w:val="32"/>
              </w:rPr>
            </w:pPr>
            <w:r w:rsidRPr="00794D0D">
              <w:rPr>
                <w:b/>
                <w:sz w:val="32"/>
                <w:szCs w:val="32"/>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701DAA2" w14:textId="77777777" w:rsidR="008112B3" w:rsidRPr="00794D0D" w:rsidRDefault="008112B3" w:rsidP="00794D0D">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D2D3757" w14:textId="77777777" w:rsidR="008112B3" w:rsidRPr="00794D0D" w:rsidRDefault="008112B3" w:rsidP="00794D0D">
            <w:pPr>
              <w:jc w:val="center"/>
              <w:rPr>
                <w:b/>
                <w:sz w:val="32"/>
                <w:szCs w:val="32"/>
              </w:rPr>
            </w:pPr>
          </w:p>
        </w:tc>
      </w:tr>
    </w:tbl>
    <w:p w14:paraId="45C1C695" w14:textId="11727875" w:rsidR="002D171A" w:rsidRDefault="002D171A"/>
    <w:p w14:paraId="540CEA09" w14:textId="77777777" w:rsidR="0052274A" w:rsidRDefault="0052274A"/>
    <w:tbl>
      <w:tblPr>
        <w:tblW w:w="15180" w:type="dxa"/>
        <w:tblInd w:w="-10" w:type="dxa"/>
        <w:tblLayout w:type="fixed"/>
        <w:tblCellMar>
          <w:left w:w="0" w:type="dxa"/>
          <w:right w:w="0" w:type="dxa"/>
        </w:tblCellMar>
        <w:tblLook w:val="04A0" w:firstRow="1" w:lastRow="0" w:firstColumn="1" w:lastColumn="0" w:noHBand="0" w:noVBand="1"/>
      </w:tblPr>
      <w:tblGrid>
        <w:gridCol w:w="10"/>
        <w:gridCol w:w="744"/>
        <w:gridCol w:w="9039"/>
        <w:gridCol w:w="2552"/>
        <w:gridCol w:w="565"/>
        <w:gridCol w:w="567"/>
        <w:gridCol w:w="569"/>
        <w:gridCol w:w="425"/>
        <w:gridCol w:w="709"/>
      </w:tblGrid>
      <w:tr w:rsidR="008112B3" w:rsidRPr="008112B3" w14:paraId="3EC30134" w14:textId="77777777" w:rsidTr="005F1973">
        <w:trPr>
          <w:gridBefore w:val="1"/>
          <w:wBefore w:w="10" w:type="dxa"/>
        </w:trPr>
        <w:tc>
          <w:tcPr>
            <w:tcW w:w="744" w:type="dxa"/>
            <w:tcBorders>
              <w:top w:val="nil"/>
              <w:left w:val="nil"/>
              <w:bottom w:val="single" w:sz="4" w:space="0" w:color="auto"/>
              <w:right w:val="nil"/>
            </w:tcBorders>
            <w:tcMar>
              <w:top w:w="0" w:type="dxa"/>
              <w:left w:w="108" w:type="dxa"/>
              <w:bottom w:w="0" w:type="dxa"/>
              <w:right w:w="108" w:type="dxa"/>
            </w:tcMar>
          </w:tcPr>
          <w:p w14:paraId="73720853" w14:textId="77777777" w:rsidR="008112B3" w:rsidRPr="008112B3" w:rsidRDefault="008112B3" w:rsidP="008112B3">
            <w:pPr>
              <w:rPr>
                <w:rStyle w:val="Strong"/>
              </w:rPr>
            </w:pPr>
          </w:p>
        </w:tc>
        <w:tc>
          <w:tcPr>
            <w:tcW w:w="9039" w:type="dxa"/>
            <w:tcBorders>
              <w:top w:val="nil"/>
              <w:left w:val="nil"/>
              <w:bottom w:val="single" w:sz="4" w:space="0" w:color="auto"/>
              <w:right w:val="nil"/>
            </w:tcBorders>
            <w:tcMar>
              <w:top w:w="0" w:type="dxa"/>
              <w:left w:w="108" w:type="dxa"/>
              <w:bottom w:w="0" w:type="dxa"/>
              <w:right w:w="108" w:type="dxa"/>
            </w:tcMar>
          </w:tcPr>
          <w:p w14:paraId="78B6446C" w14:textId="77777777" w:rsidR="008112B3" w:rsidRPr="008112B3" w:rsidRDefault="008112B3" w:rsidP="00BF42EB">
            <w:pPr>
              <w:rPr>
                <w:rStyle w:val="Strong"/>
              </w:rPr>
            </w:pPr>
          </w:p>
        </w:tc>
        <w:tc>
          <w:tcPr>
            <w:tcW w:w="2552" w:type="dxa"/>
            <w:tcBorders>
              <w:top w:val="nil"/>
              <w:left w:val="nil"/>
              <w:bottom w:val="single" w:sz="4" w:space="0" w:color="auto"/>
              <w:right w:val="single" w:sz="4" w:space="0" w:color="auto"/>
            </w:tcBorders>
            <w:tcMar>
              <w:top w:w="0" w:type="dxa"/>
              <w:left w:w="108" w:type="dxa"/>
              <w:bottom w:w="0" w:type="dxa"/>
              <w:right w:w="108" w:type="dxa"/>
            </w:tcMar>
          </w:tcPr>
          <w:p w14:paraId="036BCF36" w14:textId="77777777" w:rsidR="008112B3" w:rsidRPr="008112B3" w:rsidRDefault="008112B3" w:rsidP="008112B3">
            <w:pPr>
              <w:rPr>
                <w:rStyle w:val="Strong"/>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59F8F45A" w14:textId="77777777" w:rsidR="008112B3" w:rsidRPr="008112B3" w:rsidRDefault="008112B3" w:rsidP="008112B3">
            <w:pPr>
              <w:rPr>
                <w:rStyle w:val="Strong"/>
              </w:rPr>
            </w:pPr>
            <w:r w:rsidRPr="008112B3">
              <w:rPr>
                <w:rStyle w:val="Strong"/>
              </w:rPr>
              <w:t xml:space="preserve">Area of focus </w:t>
            </w:r>
          </w:p>
        </w:tc>
      </w:tr>
      <w:tr w:rsidR="008112B3" w:rsidRPr="008112B3" w14:paraId="0A283250" w14:textId="77777777" w:rsidTr="005F1973">
        <w:trPr>
          <w:gridBefore w:val="1"/>
          <w:wBefore w:w="10" w:type="dxa"/>
          <w:trHeight w:val="1503"/>
        </w:trPr>
        <w:tc>
          <w:tcPr>
            <w:tcW w:w="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A11FFEE" w14:textId="77777777" w:rsidR="008112B3" w:rsidRPr="008112B3" w:rsidRDefault="008112B3" w:rsidP="008112B3">
            <w:pPr>
              <w:rPr>
                <w:rStyle w:val="Strong"/>
              </w:rPr>
            </w:pPr>
            <w:r w:rsidRPr="008112B3">
              <w:rPr>
                <w:rStyle w:val="Strong"/>
              </w:rPr>
              <w:t>Ref.</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F9437B5" w14:textId="77777777" w:rsidR="008112B3" w:rsidRPr="008112B3" w:rsidRDefault="008112B3" w:rsidP="00BF42EB">
            <w:pPr>
              <w:rPr>
                <w:rStyle w:val="Strong"/>
              </w:rPr>
            </w:pPr>
            <w:r w:rsidRPr="008112B3">
              <w:rPr>
                <w:rStyle w:val="Strong"/>
              </w:rPr>
              <w:t>Specific Requirement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42A0A52" w14:textId="77777777" w:rsidR="008112B3" w:rsidRPr="008112B3" w:rsidRDefault="008112B3" w:rsidP="008112B3">
            <w:pPr>
              <w:rPr>
                <w:rStyle w:val="Strong"/>
              </w:rPr>
            </w:pPr>
            <w:r w:rsidRPr="008112B3">
              <w:rPr>
                <w:rStyle w:val="Strong"/>
              </w:rPr>
              <w:t>Timing and cadence</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0BDAD777" w14:textId="77777777" w:rsidR="008112B3" w:rsidRPr="008112B3" w:rsidRDefault="008112B3" w:rsidP="008112B3">
            <w:pPr>
              <w:rPr>
                <w:rStyle w:val="Strong"/>
              </w:rPr>
            </w:pPr>
            <w:r w:rsidRPr="008112B3">
              <w:rPr>
                <w:rStyle w:val="Strong"/>
              </w:rPr>
              <w:t>Capability</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6588A474" w14:textId="77777777" w:rsidR="008112B3" w:rsidRPr="008112B3" w:rsidRDefault="008112B3" w:rsidP="008112B3">
            <w:pPr>
              <w:rPr>
                <w:rStyle w:val="Strong"/>
              </w:rPr>
            </w:pPr>
            <w:r w:rsidRPr="008112B3">
              <w:rPr>
                <w:rStyle w:val="Strong"/>
              </w:rPr>
              <w:t>Governance</w:t>
            </w: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4619E722" w14:textId="77777777" w:rsidR="008112B3" w:rsidRPr="008112B3" w:rsidRDefault="008112B3" w:rsidP="008112B3">
            <w:pPr>
              <w:rPr>
                <w:rStyle w:val="Strong"/>
              </w:rPr>
            </w:pPr>
            <w:r w:rsidRPr="008112B3">
              <w:rPr>
                <w:rStyle w:val="Strong"/>
              </w:rPr>
              <w:t>Reporting</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6AC4D9E4" w14:textId="77777777" w:rsidR="008112B3" w:rsidRPr="008112B3" w:rsidRDefault="008112B3" w:rsidP="008112B3">
            <w:pPr>
              <w:rPr>
                <w:rStyle w:val="Strong"/>
              </w:rPr>
            </w:pPr>
            <w:r w:rsidRPr="008112B3">
              <w:rPr>
                <w:rStyle w:val="Strong"/>
              </w:rPr>
              <w:t>Data</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1CE7F82A" w14:textId="77777777" w:rsidR="008112B3" w:rsidRPr="008112B3" w:rsidRDefault="008112B3" w:rsidP="008112B3">
            <w:pPr>
              <w:rPr>
                <w:rStyle w:val="Strong"/>
              </w:rPr>
            </w:pPr>
            <w:r w:rsidRPr="008112B3">
              <w:rPr>
                <w:rStyle w:val="Strong"/>
              </w:rPr>
              <w:t>Processes and systems</w:t>
            </w:r>
          </w:p>
        </w:tc>
      </w:tr>
      <w:tr w:rsidR="008112B3" w:rsidRPr="008112B3" w14:paraId="0F936A40" w14:textId="77777777" w:rsidTr="005F1973">
        <w:tc>
          <w:tcPr>
            <w:tcW w:w="15180" w:type="dxa"/>
            <w:gridSpan w:val="9"/>
            <w:tcBorders>
              <w:top w:val="single" w:sz="4" w:space="0" w:color="auto"/>
              <w:left w:val="single" w:sz="4" w:space="0" w:color="auto"/>
              <w:bottom w:val="single" w:sz="4" w:space="0" w:color="auto"/>
              <w:right w:val="single" w:sz="4" w:space="0" w:color="auto"/>
            </w:tcBorders>
            <w:shd w:val="clear" w:color="auto" w:fill="48255F"/>
            <w:tcMar>
              <w:top w:w="0" w:type="dxa"/>
              <w:left w:w="108" w:type="dxa"/>
              <w:bottom w:w="0" w:type="dxa"/>
              <w:right w:w="108" w:type="dxa"/>
            </w:tcMar>
            <w:hideMark/>
          </w:tcPr>
          <w:p w14:paraId="431ECC60" w14:textId="673944F8" w:rsidR="008112B3" w:rsidRPr="008112B3" w:rsidRDefault="008112B3" w:rsidP="008112B3">
            <w:pPr>
              <w:rPr>
                <w:rStyle w:val="Strong"/>
              </w:rPr>
            </w:pPr>
            <w:r w:rsidRPr="008112B3">
              <w:rPr>
                <w:rStyle w:val="Strong"/>
              </w:rPr>
              <w:t xml:space="preserve">STANDARD 3: </w:t>
            </w:r>
            <w:r w:rsidR="001B080C">
              <w:rPr>
                <w:rStyle w:val="Strong"/>
              </w:rPr>
              <w:t>KNOWLEDGE AND CAPABILITY</w:t>
            </w:r>
            <w:r w:rsidRPr="008112B3">
              <w:rPr>
                <w:rStyle w:val="Strong"/>
              </w:rPr>
              <w:t xml:space="preserve"> </w:t>
            </w:r>
          </w:p>
        </w:tc>
      </w:tr>
      <w:tr w:rsidR="008112B3" w:rsidRPr="008112B3" w14:paraId="3846013D" w14:textId="77777777" w:rsidTr="005F1973">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5FD7E4" w14:textId="77777777" w:rsidR="008112B3" w:rsidRPr="008112B3" w:rsidRDefault="008112B3" w:rsidP="00BF42EB">
            <w:r w:rsidRPr="008112B3">
              <w:t xml:space="preserve">3.1 </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EA19F8" w14:textId="77777777" w:rsidR="008112B3" w:rsidRPr="008112B3" w:rsidRDefault="008112B3" w:rsidP="00DE22E7">
            <w:pPr>
              <w:spacing w:after="120"/>
              <w:rPr>
                <w:b/>
              </w:rPr>
            </w:pPr>
            <w:r w:rsidRPr="008112B3">
              <w:t xml:space="preserve">A </w:t>
            </w:r>
            <w:r w:rsidRPr="008112B3">
              <w:rPr>
                <w:b/>
              </w:rPr>
              <w:t>Provider</w:t>
            </w:r>
            <w:r w:rsidRPr="008112B3">
              <w:t xml:space="preserve"> must ensure delivery of ongoing, comprehensive prevention education and training to its </w:t>
            </w:r>
            <w:r w:rsidRPr="008112B3">
              <w:rPr>
                <w:b/>
              </w:rPr>
              <w:t xml:space="preserve">Students, Leadership </w:t>
            </w:r>
            <w:r w:rsidRPr="008112B3">
              <w:t xml:space="preserve">and </w:t>
            </w:r>
            <w:r w:rsidRPr="008112B3">
              <w:rPr>
                <w:b/>
              </w:rPr>
              <w:t>Staff</w:t>
            </w:r>
            <w:r w:rsidRPr="00FC452F">
              <w:rPr>
                <w:bCs/>
              </w:rPr>
              <w:t xml:space="preserve">. </w:t>
            </w:r>
          </w:p>
          <w:p w14:paraId="77F33E9E" w14:textId="77777777" w:rsidR="008112B3" w:rsidRPr="008112B3" w:rsidRDefault="008112B3" w:rsidP="00DE22E7">
            <w:pPr>
              <w:spacing w:after="120"/>
            </w:pPr>
            <w:r w:rsidRPr="008112B3">
              <w:rPr>
                <w:i/>
              </w:rPr>
              <w:t>NB:  The National Code provides detail on the learning outcomes for participants; expectations on the quality and comprehensiveness of education design and content, including that it is evidence based and informed by experts in gender-based violence, students, staff, those with lived experience and groups disproportionately affected by gender-based violence; and expectations as to the safe management of disclosures that may arise in education and training contexts.</w:t>
            </w:r>
            <w:r w:rsidRPr="008112B3">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B63972" w14:textId="2BC0027E" w:rsidR="008112B3" w:rsidRPr="008112B3" w:rsidRDefault="008112B3" w:rsidP="00BF42EB">
            <w:r w:rsidRPr="008112B3">
              <w:t xml:space="preserve">From </w:t>
            </w:r>
            <w:r w:rsidR="00953459">
              <w:t>the Initial Date</w:t>
            </w:r>
            <w:r w:rsidRPr="008112B3">
              <w:t xml:space="preserve"> and ongoing</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EC6A29A" w14:textId="77777777" w:rsidR="008112B3" w:rsidRPr="00794D0D" w:rsidRDefault="008112B3" w:rsidP="00794D0D">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5558E621" w14:textId="77777777" w:rsidR="008112B3" w:rsidRPr="00794D0D" w:rsidRDefault="008112B3" w:rsidP="00794D0D">
            <w:pPr>
              <w:jc w:val="center"/>
              <w:rPr>
                <w:b/>
                <w:sz w:val="32"/>
                <w:szCs w:val="32"/>
              </w:rPr>
            </w:pPr>
            <w:r w:rsidRPr="00794D0D">
              <w:rPr>
                <w:b/>
                <w:sz w:val="32"/>
                <w:szCs w:val="32"/>
              </w:rPr>
              <w:t>X</w:t>
            </w: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E816750" w14:textId="77777777" w:rsidR="008112B3" w:rsidRPr="00794D0D" w:rsidRDefault="008112B3" w:rsidP="00794D0D">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5655468" w14:textId="77777777" w:rsidR="008112B3" w:rsidRPr="00794D0D" w:rsidRDefault="008112B3" w:rsidP="00794D0D">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2B640CA6" w14:textId="77777777" w:rsidR="008112B3" w:rsidRPr="00794D0D" w:rsidRDefault="008112B3" w:rsidP="00794D0D">
            <w:pPr>
              <w:jc w:val="center"/>
              <w:rPr>
                <w:b/>
                <w:sz w:val="32"/>
                <w:szCs w:val="32"/>
              </w:rPr>
            </w:pPr>
            <w:r w:rsidRPr="00794D0D">
              <w:rPr>
                <w:b/>
                <w:sz w:val="32"/>
                <w:szCs w:val="32"/>
              </w:rPr>
              <w:t>X</w:t>
            </w:r>
          </w:p>
        </w:tc>
      </w:tr>
      <w:tr w:rsidR="007908A1" w:rsidRPr="008112B3" w14:paraId="6E2599EB" w14:textId="77777777" w:rsidTr="005F1973">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BADAE" w14:textId="360F0D43" w:rsidR="007908A1" w:rsidRPr="008112B3" w:rsidRDefault="007908A1" w:rsidP="00BF42EB">
            <w:r>
              <w:t>3.3</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2A575" w14:textId="14B44F22" w:rsidR="007908A1" w:rsidRPr="00862259" w:rsidRDefault="007908A1" w:rsidP="00DE22E7">
            <w:pPr>
              <w:spacing w:after="120"/>
            </w:pPr>
            <w:r>
              <w:t xml:space="preserve">A </w:t>
            </w:r>
            <w:r>
              <w:rPr>
                <w:b/>
                <w:bCs/>
              </w:rPr>
              <w:t xml:space="preserve">Provider </w:t>
            </w:r>
            <w:r>
              <w:t>must develop th</w:t>
            </w:r>
            <w:r w:rsidR="00862259">
              <w:t>e</w:t>
            </w:r>
            <w:r>
              <w:t xml:space="preserve"> prevention education and training through collaboration and engagement </w:t>
            </w:r>
            <w:r w:rsidR="00862259">
              <w:t xml:space="preserve">with experts in the prevention of </w:t>
            </w:r>
            <w:r w:rsidR="00862259">
              <w:rPr>
                <w:b/>
                <w:bCs/>
              </w:rPr>
              <w:t>Gender-based Violence</w:t>
            </w:r>
            <w:r w:rsidR="00862259">
              <w:t xml:space="preserve">, </w:t>
            </w:r>
            <w:r w:rsidR="00862259">
              <w:rPr>
                <w:b/>
                <w:bCs/>
              </w:rPr>
              <w:t>Students</w:t>
            </w:r>
            <w:r w:rsidR="00862259">
              <w:t xml:space="preserve">, </w:t>
            </w:r>
            <w:r w:rsidR="00862259">
              <w:rPr>
                <w:b/>
                <w:bCs/>
              </w:rPr>
              <w:t>Staff</w:t>
            </w:r>
            <w:r w:rsidR="00862259">
              <w:t xml:space="preserve">, people who have experienced </w:t>
            </w:r>
            <w:r w:rsidR="00862259">
              <w:rPr>
                <w:b/>
                <w:bCs/>
              </w:rPr>
              <w:t>Gender-based Violence</w:t>
            </w:r>
            <w:r w:rsidR="00862259">
              <w:t xml:space="preserve"> and those groups who are disproportionately affected by </w:t>
            </w:r>
            <w:r w:rsidR="00862259">
              <w:rPr>
                <w:b/>
                <w:bCs/>
              </w:rPr>
              <w:t>Gender-based Violence</w:t>
            </w:r>
            <w:r w:rsidR="00862259">
              <w:t xml:space="preserve">, including women, First Nations people, culturally and linguistically diverse communities, people with disability and people of diverse sexual orientation and gender identity.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4AA8" w14:textId="7CF07A05" w:rsidR="007908A1" w:rsidRPr="008112B3" w:rsidRDefault="00862259" w:rsidP="00BF42EB">
            <w:r>
              <w:t>From the Initial Date and ongoing</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446B7A5" w14:textId="77777777" w:rsidR="007908A1" w:rsidRPr="00794D0D" w:rsidRDefault="007908A1" w:rsidP="00794D0D">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7FFF9A7" w14:textId="77777777" w:rsidR="007908A1" w:rsidRPr="00794D0D" w:rsidRDefault="007908A1" w:rsidP="00794D0D">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21944CC" w14:textId="77777777" w:rsidR="007908A1" w:rsidRPr="00794D0D" w:rsidRDefault="007908A1" w:rsidP="00794D0D">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E712ABD" w14:textId="77777777" w:rsidR="007908A1" w:rsidRPr="00794D0D" w:rsidRDefault="007908A1" w:rsidP="00794D0D">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6816C54" w14:textId="0305255D" w:rsidR="007908A1" w:rsidRPr="00794D0D" w:rsidRDefault="00862259" w:rsidP="00794D0D">
            <w:pPr>
              <w:jc w:val="center"/>
              <w:rPr>
                <w:b/>
                <w:sz w:val="32"/>
                <w:szCs w:val="32"/>
              </w:rPr>
            </w:pPr>
            <w:r w:rsidRPr="00794D0D">
              <w:rPr>
                <w:b/>
                <w:sz w:val="32"/>
                <w:szCs w:val="32"/>
              </w:rPr>
              <w:t>X</w:t>
            </w:r>
          </w:p>
        </w:tc>
      </w:tr>
      <w:tr w:rsidR="008112B3" w:rsidRPr="008112B3" w14:paraId="7374A448" w14:textId="77777777" w:rsidTr="005F1973">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AA5F31" w14:textId="77777777" w:rsidR="008112B3" w:rsidRPr="008112B3" w:rsidRDefault="008112B3" w:rsidP="00BF42EB">
            <w:r w:rsidRPr="008112B3">
              <w:t>3.4</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12D96E" w14:textId="002C5E50" w:rsidR="008112B3" w:rsidRPr="008112B3" w:rsidRDefault="008112B3" w:rsidP="00DE22E7">
            <w:pPr>
              <w:spacing w:after="120"/>
            </w:pPr>
            <w:r>
              <w:t xml:space="preserve">The </w:t>
            </w:r>
            <w:r w:rsidRPr="2CB1A554">
              <w:rPr>
                <w:b/>
                <w:bCs/>
              </w:rPr>
              <w:t>Secretary</w:t>
            </w:r>
            <w:r>
              <w:t xml:space="preserve"> may require a </w:t>
            </w:r>
            <w:r w:rsidRPr="2CB1A554">
              <w:rPr>
                <w:b/>
                <w:bCs/>
              </w:rPr>
              <w:t>Provider</w:t>
            </w:r>
            <w:r>
              <w:t xml:space="preserve"> to report on how the engagement </w:t>
            </w:r>
            <w:r w:rsidR="44BEC895">
              <w:t>with,</w:t>
            </w:r>
            <w:r>
              <w:t xml:space="preserve"> and views of the persons referred to </w:t>
            </w:r>
            <w:proofErr w:type="spellStart"/>
            <w:r w:rsidR="00862259">
              <w:t>at</w:t>
            </w:r>
            <w:proofErr w:type="spellEnd"/>
            <w:r w:rsidR="00862259">
              <w:t xml:space="preserve"> paragraph 3.3,</w:t>
            </w:r>
            <w:r>
              <w:t xml:space="preserve"> has informed the development of the education and training.</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2C29E7" w14:textId="412AE1ED" w:rsidR="008112B3" w:rsidRPr="008112B3" w:rsidRDefault="008112B3" w:rsidP="00BF42EB">
            <w:r w:rsidRPr="008112B3">
              <w:t xml:space="preserve">As </w:t>
            </w:r>
            <w:r w:rsidR="00953459" w:rsidRPr="008112B3">
              <w:t>re</w:t>
            </w:r>
            <w:r w:rsidR="00953459">
              <w:t>quired</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A504DB2" w14:textId="77777777" w:rsidR="008112B3" w:rsidRPr="00794D0D" w:rsidRDefault="008112B3" w:rsidP="00794D0D">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5C18A24" w14:textId="77777777" w:rsidR="008112B3" w:rsidRPr="00794D0D" w:rsidRDefault="008112B3" w:rsidP="00794D0D">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7CDD772B" w14:textId="77777777" w:rsidR="008112B3" w:rsidRPr="00794D0D" w:rsidRDefault="008112B3" w:rsidP="00794D0D">
            <w:pPr>
              <w:jc w:val="center"/>
              <w:rPr>
                <w:b/>
                <w:sz w:val="32"/>
                <w:szCs w:val="32"/>
              </w:rPr>
            </w:pPr>
            <w:r w:rsidRPr="00794D0D">
              <w:rPr>
                <w:b/>
                <w:sz w:val="32"/>
                <w:szCs w:val="32"/>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731A2A2" w14:textId="77777777" w:rsidR="008112B3" w:rsidRPr="00794D0D" w:rsidRDefault="008112B3" w:rsidP="00794D0D">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638FDFD" w14:textId="77777777" w:rsidR="008112B3" w:rsidRPr="00794D0D" w:rsidRDefault="008112B3" w:rsidP="00794D0D">
            <w:pPr>
              <w:jc w:val="center"/>
              <w:rPr>
                <w:b/>
                <w:sz w:val="32"/>
                <w:szCs w:val="32"/>
              </w:rPr>
            </w:pPr>
          </w:p>
        </w:tc>
      </w:tr>
      <w:tr w:rsidR="008112B3" w:rsidRPr="008112B3" w14:paraId="142B01B1" w14:textId="77777777" w:rsidTr="005F1973">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CF4209" w14:textId="77777777" w:rsidR="008112B3" w:rsidRPr="008112B3" w:rsidRDefault="008112B3" w:rsidP="00BF42EB">
            <w:r w:rsidRPr="008112B3">
              <w:t>3.5</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25320F" w14:textId="77777777" w:rsidR="008112B3" w:rsidRPr="008112B3" w:rsidRDefault="008112B3" w:rsidP="00DE22E7">
            <w:pPr>
              <w:spacing w:after="120"/>
            </w:pPr>
            <w:r w:rsidRPr="008112B3">
              <w:t>A</w:t>
            </w:r>
            <w:r w:rsidRPr="008112B3">
              <w:rPr>
                <w:b/>
                <w:bCs/>
              </w:rPr>
              <w:t xml:space="preserve"> Provider</w:t>
            </w:r>
            <w:r w:rsidRPr="008112B3">
              <w:t xml:space="preserve"> must promote and widely disseminate evidence-informed prevention communication and key messaging across its study, work, living and social environments.  </w:t>
            </w:r>
          </w:p>
          <w:p w14:paraId="2BFE144F" w14:textId="1C2CBBB9" w:rsidR="008112B3" w:rsidRPr="008112B3" w:rsidRDefault="008112B3" w:rsidP="00DE22E7">
            <w:pPr>
              <w:spacing w:after="120"/>
            </w:pPr>
            <w:r w:rsidRPr="2CB1A554">
              <w:rPr>
                <w:i/>
                <w:iCs/>
              </w:rPr>
              <w:t xml:space="preserve">NB: The National Code provides detail on the Provider’s obligation to ensure that prevention initiatives are evidence-based and evaluated and inform future prevention activity.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5DF0A4" w14:textId="5D9FCEFE" w:rsidR="008112B3" w:rsidRPr="008112B3" w:rsidRDefault="008112B3" w:rsidP="00BF42EB">
            <w:r w:rsidRPr="008112B3">
              <w:t xml:space="preserve">From </w:t>
            </w:r>
            <w:r w:rsidR="00DB14C1">
              <w:t>the Initial Date</w:t>
            </w:r>
            <w:r w:rsidRPr="008112B3">
              <w:t xml:space="preserve"> and ongoing</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7E5AA88" w14:textId="77777777" w:rsidR="008112B3" w:rsidRPr="00794D0D" w:rsidRDefault="008112B3" w:rsidP="00794D0D">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0CBECEA" w14:textId="77777777" w:rsidR="008112B3" w:rsidRPr="00794D0D" w:rsidRDefault="008112B3" w:rsidP="00794D0D">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A4C87C1" w14:textId="77777777" w:rsidR="008112B3" w:rsidRPr="00794D0D" w:rsidRDefault="008112B3" w:rsidP="00794D0D">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0500BA2E" w14:textId="77777777" w:rsidR="008112B3" w:rsidRPr="00794D0D" w:rsidRDefault="008112B3" w:rsidP="00794D0D">
            <w:pPr>
              <w:jc w:val="center"/>
              <w:rPr>
                <w:b/>
                <w:sz w:val="32"/>
                <w:szCs w:val="32"/>
              </w:rPr>
            </w:pPr>
            <w:r w:rsidRPr="00794D0D">
              <w:rPr>
                <w:b/>
                <w:sz w:val="32"/>
                <w:szCs w:val="32"/>
              </w:rPr>
              <w:t>X</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07F319A2" w14:textId="77777777" w:rsidR="008112B3" w:rsidRPr="00794D0D" w:rsidRDefault="008112B3" w:rsidP="00794D0D">
            <w:pPr>
              <w:jc w:val="center"/>
              <w:rPr>
                <w:b/>
                <w:sz w:val="32"/>
                <w:szCs w:val="32"/>
              </w:rPr>
            </w:pPr>
            <w:r w:rsidRPr="00794D0D">
              <w:rPr>
                <w:b/>
                <w:sz w:val="32"/>
                <w:szCs w:val="32"/>
              </w:rPr>
              <w:t>X</w:t>
            </w:r>
          </w:p>
        </w:tc>
      </w:tr>
      <w:tr w:rsidR="008112B3" w:rsidRPr="008112B3" w14:paraId="63DDBC0E" w14:textId="77777777" w:rsidTr="005F1973">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ECB2B9" w14:textId="77777777" w:rsidR="008112B3" w:rsidRPr="008112B3" w:rsidRDefault="008112B3" w:rsidP="00BF42EB">
            <w:r w:rsidRPr="008112B3">
              <w:t>3.7</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9151BA" w14:textId="77777777" w:rsidR="008112B3" w:rsidRPr="008112B3" w:rsidRDefault="008112B3" w:rsidP="00DE22E7">
            <w:pPr>
              <w:spacing w:after="120"/>
            </w:pPr>
            <w:r w:rsidRPr="008112B3">
              <w:t xml:space="preserve">The Secretary may require a </w:t>
            </w:r>
            <w:r w:rsidRPr="008112B3">
              <w:rPr>
                <w:b/>
                <w:bCs/>
              </w:rPr>
              <w:t>Provider</w:t>
            </w:r>
            <w:r w:rsidRPr="008112B3">
              <w:t xml:space="preserve"> to report on how the evaluation findings have informed future prevention initiatives.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F92357" w14:textId="56D4C249" w:rsidR="008112B3" w:rsidRPr="008112B3" w:rsidRDefault="008112B3" w:rsidP="00BF42EB">
            <w:r w:rsidRPr="008112B3">
              <w:t>As requ</w:t>
            </w:r>
            <w:r w:rsidR="00DB0806">
              <w:t>ired</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8CD811F" w14:textId="77777777" w:rsidR="008112B3" w:rsidRPr="00794D0D" w:rsidRDefault="008112B3" w:rsidP="00794D0D">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EDF44CC" w14:textId="77777777" w:rsidR="008112B3" w:rsidRPr="00794D0D" w:rsidRDefault="008112B3" w:rsidP="00794D0D">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065F2B57" w14:textId="77777777" w:rsidR="008112B3" w:rsidRPr="00794D0D" w:rsidRDefault="008112B3" w:rsidP="00794D0D">
            <w:pPr>
              <w:jc w:val="center"/>
              <w:rPr>
                <w:b/>
                <w:sz w:val="32"/>
                <w:szCs w:val="32"/>
              </w:rPr>
            </w:pPr>
            <w:r w:rsidRPr="00794D0D">
              <w:rPr>
                <w:b/>
                <w:sz w:val="32"/>
                <w:szCs w:val="32"/>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C0E6B5F" w14:textId="77777777" w:rsidR="008112B3" w:rsidRPr="00794D0D" w:rsidRDefault="008112B3" w:rsidP="00794D0D">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039C8EC" w14:textId="77777777" w:rsidR="008112B3" w:rsidRPr="00794D0D" w:rsidRDefault="008112B3" w:rsidP="00794D0D">
            <w:pPr>
              <w:jc w:val="center"/>
              <w:rPr>
                <w:b/>
                <w:sz w:val="32"/>
                <w:szCs w:val="32"/>
              </w:rPr>
            </w:pPr>
          </w:p>
        </w:tc>
      </w:tr>
      <w:tr w:rsidR="008112B3" w:rsidRPr="008112B3" w14:paraId="305E0A6C" w14:textId="77777777" w:rsidTr="005F1973">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45960" w14:textId="77777777" w:rsidR="008112B3" w:rsidRPr="008112B3" w:rsidRDefault="008112B3" w:rsidP="00BF42EB">
            <w:r w:rsidRPr="008112B3">
              <w:lastRenderedPageBreak/>
              <w:t>3.8</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658E1F" w14:textId="25A2B4A7" w:rsidR="008112B3" w:rsidRPr="008112B3" w:rsidRDefault="008112B3" w:rsidP="00DE22E7">
            <w:pPr>
              <w:spacing w:after="120"/>
            </w:pPr>
            <w:bookmarkStart w:id="9" w:name="_Ref188210343"/>
            <w:r w:rsidRPr="008112B3">
              <w:t xml:space="preserve">A </w:t>
            </w:r>
            <w:r w:rsidRPr="008112B3">
              <w:rPr>
                <w:b/>
                <w:bCs/>
              </w:rPr>
              <w:t>Provider</w:t>
            </w:r>
            <w:r w:rsidRPr="008112B3">
              <w:t xml:space="preserve"> must, as part of the onboarding process and subsequently on at least an annual basis, deliver specialised education and training on responding to </w:t>
            </w:r>
            <w:r w:rsidRPr="008112B3">
              <w:rPr>
                <w:b/>
                <w:bCs/>
              </w:rPr>
              <w:t xml:space="preserve">Disclosures </w:t>
            </w:r>
            <w:r w:rsidRPr="008112B3">
              <w:t xml:space="preserve">to </w:t>
            </w:r>
            <w:r w:rsidRPr="008112B3">
              <w:rPr>
                <w:b/>
                <w:bCs/>
              </w:rPr>
              <w:t xml:space="preserve">Students </w:t>
            </w:r>
            <w:r w:rsidRPr="008112B3">
              <w:t xml:space="preserve">in leadership positions, </w:t>
            </w:r>
            <w:r w:rsidRPr="008112B3">
              <w:rPr>
                <w:b/>
                <w:bCs/>
              </w:rPr>
              <w:t>Leadership</w:t>
            </w:r>
            <w:r w:rsidRPr="008112B3">
              <w:t xml:space="preserve">, </w:t>
            </w:r>
            <w:r w:rsidRPr="008112B3">
              <w:rPr>
                <w:b/>
                <w:bCs/>
              </w:rPr>
              <w:t xml:space="preserve">Staff </w:t>
            </w:r>
            <w:r w:rsidRPr="008112B3">
              <w:t xml:space="preserve">and any other person whom the </w:t>
            </w:r>
            <w:r w:rsidRPr="008112B3">
              <w:rPr>
                <w:b/>
                <w:bCs/>
              </w:rPr>
              <w:t>Provider</w:t>
            </w:r>
            <w:r w:rsidRPr="008112B3">
              <w:t xml:space="preserve"> considers necessary.</w:t>
            </w:r>
            <w:bookmarkEnd w:id="9"/>
            <w:r w:rsidRPr="008112B3">
              <w:t xml:space="preserve"> </w:t>
            </w:r>
          </w:p>
          <w:p w14:paraId="2F09F15C" w14:textId="77777777" w:rsidR="008112B3" w:rsidRPr="008112B3" w:rsidRDefault="008112B3" w:rsidP="00DE22E7">
            <w:pPr>
              <w:spacing w:after="120"/>
            </w:pPr>
            <w:r w:rsidRPr="008112B3">
              <w:rPr>
                <w:i/>
              </w:rPr>
              <w:t>NB: The National Code provides detail on, the content; expectations for the customisation of education and training to the Provider’s community including those who are disproportionately affected by gender-based violence; expectations that the education and training be developed with or approved by an Accredited specialist with expertise responding to gender-based violence; and management of safety considerations relating to disclosures which may arise in the course of the training.</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7D35CF" w14:textId="7951CB78" w:rsidR="008112B3" w:rsidRPr="008112B3" w:rsidRDefault="008112B3" w:rsidP="00BF42EB">
            <w:r w:rsidRPr="008112B3">
              <w:t xml:space="preserve">From </w:t>
            </w:r>
            <w:r w:rsidR="00F328FD">
              <w:t>the Initial Date</w:t>
            </w:r>
            <w:r w:rsidRPr="008112B3">
              <w:t xml:space="preserve"> and ongoing </w:t>
            </w:r>
            <w:r w:rsidR="008D5F73">
              <w:t xml:space="preserve">as part of the onboarding process and </w:t>
            </w:r>
            <w:r w:rsidRPr="008112B3">
              <w:t xml:space="preserve">on at least an annual basis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7D860270" w14:textId="77777777" w:rsidR="008112B3" w:rsidRPr="00794D0D" w:rsidRDefault="008112B3" w:rsidP="00794D0D">
            <w:pPr>
              <w:jc w:val="center"/>
              <w:rPr>
                <w:b/>
                <w:sz w:val="32"/>
                <w:szCs w:val="32"/>
              </w:rPr>
            </w:pPr>
            <w:r w:rsidRPr="00794D0D">
              <w:rPr>
                <w:b/>
                <w:sz w:val="32"/>
                <w:szCs w:val="32"/>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9188464" w14:textId="77777777" w:rsidR="008112B3" w:rsidRPr="00794D0D" w:rsidRDefault="008112B3" w:rsidP="00794D0D">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C9BB3FD" w14:textId="77777777" w:rsidR="008112B3" w:rsidRPr="00794D0D" w:rsidRDefault="008112B3" w:rsidP="00794D0D">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C54CB92" w14:textId="77777777" w:rsidR="008112B3" w:rsidRPr="00794D0D" w:rsidRDefault="008112B3" w:rsidP="00794D0D">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C129800" w14:textId="77777777" w:rsidR="008112B3" w:rsidRPr="00794D0D" w:rsidRDefault="008112B3" w:rsidP="00794D0D">
            <w:pPr>
              <w:jc w:val="center"/>
              <w:rPr>
                <w:b/>
                <w:sz w:val="32"/>
                <w:szCs w:val="32"/>
              </w:rPr>
            </w:pPr>
          </w:p>
        </w:tc>
      </w:tr>
      <w:tr w:rsidR="008112B3" w:rsidRPr="008112B3" w14:paraId="248CE5D2" w14:textId="77777777" w:rsidTr="005F1973">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C2A395" w14:textId="77777777" w:rsidR="008112B3" w:rsidRPr="008112B3" w:rsidRDefault="008112B3" w:rsidP="00BF42EB">
            <w:r w:rsidRPr="008112B3">
              <w:t>3.10</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0A5682" w14:textId="77777777" w:rsidR="008112B3" w:rsidRDefault="008112B3" w:rsidP="00DE22E7">
            <w:pPr>
              <w:spacing w:after="120"/>
            </w:pPr>
            <w:r w:rsidRPr="008112B3">
              <w:t xml:space="preserve">A </w:t>
            </w:r>
            <w:r w:rsidRPr="008112B3">
              <w:rPr>
                <w:b/>
              </w:rPr>
              <w:t>Provider</w:t>
            </w:r>
            <w:r w:rsidRPr="008112B3">
              <w:t xml:space="preserve"> must undertake ongoing monitoring and evaluation of its prevention and responding to </w:t>
            </w:r>
            <w:r w:rsidRPr="008112B3">
              <w:rPr>
                <w:b/>
              </w:rPr>
              <w:t>Disclosures</w:t>
            </w:r>
            <w:r w:rsidRPr="008112B3">
              <w:t xml:space="preserve"> education and training. </w:t>
            </w:r>
          </w:p>
          <w:p w14:paraId="47A588BA" w14:textId="77777777" w:rsidR="008112B3" w:rsidRPr="008112B3" w:rsidRDefault="008112B3" w:rsidP="00DE22E7">
            <w:pPr>
              <w:spacing w:after="120"/>
            </w:pPr>
            <w:r w:rsidRPr="008112B3">
              <w:rPr>
                <w:i/>
              </w:rPr>
              <w:t xml:space="preserve">NB: The National Code provides detail on what should inform monitoring and evaluation of education and training, and how findings from these processes should inform and update future education programs and initiatives. </w:t>
            </w:r>
            <w:r w:rsidRPr="008112B3">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7B16B2" w14:textId="27A93727" w:rsidR="00B32292" w:rsidRPr="008112B3" w:rsidRDefault="008112B3" w:rsidP="00BF42EB">
            <w:r w:rsidRPr="008112B3">
              <w:t xml:space="preserve">From </w:t>
            </w:r>
            <w:r w:rsidR="00236A86">
              <w:t>the Initial Date</w:t>
            </w:r>
            <w:r w:rsidRPr="008112B3">
              <w:t xml:space="preserve"> and ongoing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1227D4F" w14:textId="77777777" w:rsidR="008112B3" w:rsidRPr="00794D0D" w:rsidRDefault="008112B3" w:rsidP="00794D0D">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32E26F3" w14:textId="77777777" w:rsidR="008112B3" w:rsidRPr="00794D0D" w:rsidRDefault="008112B3" w:rsidP="00794D0D">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C991DCF" w14:textId="0017FDBE" w:rsidR="008112B3" w:rsidRPr="00794D0D" w:rsidRDefault="008112B3" w:rsidP="00794D0D">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9194666" w14:textId="77777777" w:rsidR="008112B3" w:rsidRPr="00794D0D" w:rsidRDefault="008112B3" w:rsidP="00794D0D">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29AE7360" w14:textId="77777777" w:rsidR="008112B3" w:rsidRPr="00794D0D" w:rsidRDefault="008112B3" w:rsidP="00794D0D">
            <w:pPr>
              <w:jc w:val="center"/>
              <w:rPr>
                <w:b/>
                <w:sz w:val="32"/>
                <w:szCs w:val="32"/>
              </w:rPr>
            </w:pPr>
            <w:r w:rsidRPr="00794D0D">
              <w:rPr>
                <w:b/>
                <w:sz w:val="32"/>
                <w:szCs w:val="32"/>
              </w:rPr>
              <w:t>X</w:t>
            </w:r>
          </w:p>
        </w:tc>
      </w:tr>
      <w:tr w:rsidR="00B32292" w:rsidRPr="008112B3" w14:paraId="249BA9FA" w14:textId="77777777" w:rsidTr="005F1973">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A2BF3" w14:textId="32D900FF" w:rsidR="00B32292" w:rsidRPr="008112B3" w:rsidRDefault="00B32292" w:rsidP="00BF42EB">
            <w:r>
              <w:t>3.1</w:t>
            </w:r>
            <w:r w:rsidR="0024360E">
              <w:t>1</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4FA45" w14:textId="5E9D3E6B" w:rsidR="00B32292" w:rsidRPr="008112B3" w:rsidRDefault="0024360E" w:rsidP="00DE22E7">
            <w:pPr>
              <w:spacing w:after="120"/>
            </w:pPr>
            <w:r>
              <w:t xml:space="preserve">The Secretary may require a Provider to report on how learning outcomes, feedback from participants, feedback from experts in the prevention of and response to </w:t>
            </w:r>
            <w:r>
              <w:rPr>
                <w:b/>
                <w:bCs/>
              </w:rPr>
              <w:t xml:space="preserve">Gender-based Violence </w:t>
            </w:r>
            <w:r>
              <w:t>and any other relevant factors informed the evaluation and future education and training.</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1FF9B" w14:textId="21B59003" w:rsidR="00B32292" w:rsidRPr="008112B3" w:rsidRDefault="0024360E" w:rsidP="00BF42EB">
            <w:r>
              <w:t xml:space="preserve">As </w:t>
            </w:r>
            <w:r w:rsidR="00236A86">
              <w:t>required</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7F7D5A5" w14:textId="77777777" w:rsidR="00B32292" w:rsidRPr="00794D0D" w:rsidRDefault="00B32292" w:rsidP="00794D0D">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9CBE9D8" w14:textId="77777777" w:rsidR="00B32292" w:rsidRPr="00794D0D" w:rsidRDefault="00B32292" w:rsidP="00794D0D">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ED6C135" w14:textId="336E0FF5" w:rsidR="00B32292" w:rsidRPr="00794D0D" w:rsidRDefault="0024360E" w:rsidP="00794D0D">
            <w:pPr>
              <w:jc w:val="center"/>
              <w:rPr>
                <w:b/>
                <w:sz w:val="32"/>
                <w:szCs w:val="32"/>
              </w:rPr>
            </w:pPr>
            <w:r w:rsidRPr="00794D0D">
              <w:rPr>
                <w:b/>
                <w:sz w:val="32"/>
                <w:szCs w:val="32"/>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FBF01DE" w14:textId="77777777" w:rsidR="00B32292" w:rsidRPr="00794D0D" w:rsidRDefault="00B32292" w:rsidP="00794D0D">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DB785FB" w14:textId="77777777" w:rsidR="00B32292" w:rsidRPr="00794D0D" w:rsidRDefault="00B32292" w:rsidP="00794D0D">
            <w:pPr>
              <w:jc w:val="center"/>
              <w:rPr>
                <w:b/>
                <w:sz w:val="32"/>
                <w:szCs w:val="32"/>
              </w:rPr>
            </w:pPr>
          </w:p>
        </w:tc>
      </w:tr>
      <w:tr w:rsidR="008112B3" w:rsidRPr="008112B3" w14:paraId="0EB71B59" w14:textId="77777777" w:rsidTr="005F1973">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968C1" w14:textId="77777777" w:rsidR="008112B3" w:rsidRPr="008112B3" w:rsidRDefault="008112B3" w:rsidP="00BF42EB">
            <w:r w:rsidRPr="008112B3">
              <w:t xml:space="preserve">3.12 </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14882F" w14:textId="77777777" w:rsidR="008112B3" w:rsidRPr="008112B3" w:rsidRDefault="008112B3" w:rsidP="00DE22E7">
            <w:pPr>
              <w:spacing w:after="120"/>
            </w:pPr>
            <w:r w:rsidRPr="008112B3">
              <w:t xml:space="preserve">The Secretary may require the Provider to provide copies of evaluation reports.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B94545" w14:textId="4D628972" w:rsidR="008112B3" w:rsidRPr="008112B3" w:rsidRDefault="008112B3" w:rsidP="00BF42EB">
            <w:r w:rsidRPr="008112B3">
              <w:t xml:space="preserve">As </w:t>
            </w:r>
            <w:r w:rsidR="00236A86">
              <w:t>required</w:t>
            </w:r>
            <w:r w:rsidR="00236A86" w:rsidRPr="008112B3">
              <w:t xml:space="preserve">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9A34BDF" w14:textId="77777777" w:rsidR="008112B3" w:rsidRPr="00794D0D" w:rsidRDefault="008112B3" w:rsidP="00794D0D">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8A281C0" w14:textId="77777777" w:rsidR="008112B3" w:rsidRPr="00794D0D" w:rsidRDefault="008112B3" w:rsidP="00794D0D">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3D58977D" w14:textId="77777777" w:rsidR="008112B3" w:rsidRPr="00794D0D" w:rsidRDefault="008112B3" w:rsidP="00794D0D">
            <w:pPr>
              <w:jc w:val="center"/>
              <w:rPr>
                <w:b/>
                <w:sz w:val="32"/>
                <w:szCs w:val="32"/>
              </w:rPr>
            </w:pPr>
            <w:r w:rsidRPr="00794D0D">
              <w:rPr>
                <w:b/>
                <w:sz w:val="32"/>
                <w:szCs w:val="32"/>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AB8701A" w14:textId="77777777" w:rsidR="008112B3" w:rsidRPr="00794D0D" w:rsidRDefault="008112B3" w:rsidP="00794D0D">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0B1592E" w14:textId="77777777" w:rsidR="008112B3" w:rsidRPr="00794D0D" w:rsidRDefault="008112B3" w:rsidP="00794D0D">
            <w:pPr>
              <w:jc w:val="center"/>
              <w:rPr>
                <w:b/>
                <w:sz w:val="32"/>
                <w:szCs w:val="32"/>
              </w:rPr>
            </w:pPr>
          </w:p>
        </w:tc>
      </w:tr>
      <w:tr w:rsidR="008112B3" w:rsidRPr="008112B3" w14:paraId="7D17B442" w14:textId="77777777" w:rsidTr="005F1973">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A0CC72" w14:textId="4BF0F7FC" w:rsidR="008112B3" w:rsidRPr="008112B3" w:rsidRDefault="008112B3" w:rsidP="00BF42EB">
            <w:r w:rsidRPr="008112B3">
              <w:t>3</w:t>
            </w:r>
            <w:r w:rsidR="00A751D8">
              <w:t>.</w:t>
            </w:r>
            <w:r w:rsidRPr="008112B3">
              <w:t>14</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D00436" w14:textId="7792817B" w:rsidR="008112B3" w:rsidRPr="008112B3" w:rsidRDefault="008112B3" w:rsidP="00DE22E7">
            <w:pPr>
              <w:spacing w:after="120"/>
            </w:pPr>
            <w:r w:rsidRPr="008112B3">
              <w:t xml:space="preserve">A </w:t>
            </w:r>
            <w:r w:rsidRPr="008112B3">
              <w:rPr>
                <w:b/>
              </w:rPr>
              <w:t>Provider</w:t>
            </w:r>
            <w:r w:rsidRPr="008112B3">
              <w:t xml:space="preserve"> must require that risk assessments conducted under the </w:t>
            </w:r>
            <w:r w:rsidRPr="008112B3">
              <w:rPr>
                <w:b/>
              </w:rPr>
              <w:t>Code</w:t>
            </w:r>
            <w:r w:rsidRPr="008112B3">
              <w:t xml:space="preserve"> are undertaken by </w:t>
            </w:r>
            <w:r w:rsidR="00A751D8">
              <w:rPr>
                <w:b/>
                <w:bCs/>
              </w:rPr>
              <w:t>Staff</w:t>
            </w:r>
            <w:r w:rsidRPr="008112B3">
              <w:t xml:space="preserve"> with appropriate expertise</w:t>
            </w:r>
            <w:r w:rsidR="002E2FBE">
              <w:t xml:space="preserve"> </w:t>
            </w:r>
            <w:r w:rsidRPr="008112B3">
              <w:t xml:space="preserve">and knowledge of </w:t>
            </w:r>
            <w:r w:rsidRPr="008112B3">
              <w:rPr>
                <w:b/>
                <w:bCs/>
              </w:rPr>
              <w:t>Gender-based Violence</w:t>
            </w:r>
            <w:r w:rsidRPr="008112B3">
              <w:t xml:space="preserve"> and competency working with specific cohorts </w:t>
            </w:r>
            <w:r w:rsidR="009B239F">
              <w:t>including First Nations people, culturally and linguistically diverse communities, people with disability and people of diverse sexual orientation and gender identity</w:t>
            </w:r>
            <w:r w:rsidRPr="008112B3">
              <w: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3E5A71" w14:textId="222BEE2C" w:rsidR="008112B3" w:rsidRPr="008112B3" w:rsidRDefault="00A50247" w:rsidP="00BF42EB">
            <w:r>
              <w:t>From</w:t>
            </w:r>
            <w:r w:rsidR="008112B3" w:rsidRPr="008112B3">
              <w:t xml:space="preserve"> </w:t>
            </w:r>
            <w:r w:rsidR="00106ED0">
              <w:t>the Initial Date</w:t>
            </w:r>
            <w:r w:rsidR="008112B3" w:rsidRPr="008112B3">
              <w:t xml:space="preserve"> and ongoing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6E207E2F" w14:textId="77777777" w:rsidR="008112B3" w:rsidRPr="00794D0D" w:rsidRDefault="008112B3" w:rsidP="00794D0D">
            <w:pPr>
              <w:jc w:val="center"/>
              <w:rPr>
                <w:b/>
                <w:sz w:val="32"/>
                <w:szCs w:val="32"/>
              </w:rPr>
            </w:pPr>
            <w:r w:rsidRPr="00794D0D">
              <w:rPr>
                <w:b/>
                <w:sz w:val="32"/>
                <w:szCs w:val="32"/>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F95C8CF" w14:textId="77777777" w:rsidR="008112B3" w:rsidRPr="00794D0D" w:rsidRDefault="008112B3" w:rsidP="00794D0D">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045913A" w14:textId="77777777" w:rsidR="008112B3" w:rsidRPr="00794D0D" w:rsidRDefault="008112B3" w:rsidP="00794D0D">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7E14ACA" w14:textId="77777777" w:rsidR="008112B3" w:rsidRPr="00794D0D" w:rsidRDefault="008112B3" w:rsidP="00794D0D">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8FF16BA" w14:textId="77777777" w:rsidR="008112B3" w:rsidRPr="00794D0D" w:rsidRDefault="008112B3" w:rsidP="00794D0D">
            <w:pPr>
              <w:jc w:val="center"/>
              <w:rPr>
                <w:b/>
                <w:sz w:val="32"/>
                <w:szCs w:val="32"/>
              </w:rPr>
            </w:pPr>
          </w:p>
        </w:tc>
      </w:tr>
      <w:tr w:rsidR="008112B3" w:rsidRPr="008112B3" w14:paraId="46D26EB8" w14:textId="77777777" w:rsidTr="005F1973">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6B4E40" w14:textId="77777777" w:rsidR="008112B3" w:rsidRPr="008112B3" w:rsidRDefault="008112B3" w:rsidP="00BF42EB">
            <w:r w:rsidRPr="008112B3">
              <w:t>3.15</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A5B3E8" w14:textId="77777777" w:rsidR="008112B3" w:rsidRPr="008112B3" w:rsidRDefault="008112B3" w:rsidP="00DE22E7">
            <w:pPr>
              <w:spacing w:after="120"/>
            </w:pPr>
            <w:r w:rsidRPr="008112B3">
              <w:t xml:space="preserve">Where a </w:t>
            </w:r>
            <w:r w:rsidRPr="008112B3">
              <w:rPr>
                <w:b/>
              </w:rPr>
              <w:t>Provider</w:t>
            </w:r>
            <w:r w:rsidRPr="008112B3">
              <w:t xml:space="preserve"> identifies that it does not have </w:t>
            </w:r>
            <w:r w:rsidRPr="008112B3">
              <w:rPr>
                <w:b/>
              </w:rPr>
              <w:t>Staff</w:t>
            </w:r>
            <w:r w:rsidRPr="008112B3">
              <w:t xml:space="preserve"> with the necessary expertise and experience to conduct a risk assessment, the </w:t>
            </w:r>
            <w:r w:rsidRPr="008112B3">
              <w:rPr>
                <w:b/>
              </w:rPr>
              <w:t>Provider</w:t>
            </w:r>
            <w:r w:rsidRPr="008112B3">
              <w:t xml:space="preserve"> must engage a person external to the </w:t>
            </w:r>
            <w:r w:rsidRPr="008112B3">
              <w:rPr>
                <w:b/>
              </w:rPr>
              <w:t>Provider</w:t>
            </w:r>
            <w:r w:rsidRPr="008112B3">
              <w:t xml:space="preserve"> who has the necessary expertise and experience to do so, except in urgent circumstances in which a </w:t>
            </w:r>
            <w:r w:rsidRPr="008112B3">
              <w:rPr>
                <w:b/>
                <w:bCs/>
              </w:rPr>
              <w:t>Provider</w:t>
            </w:r>
            <w:r w:rsidRPr="008112B3">
              <w:t xml:space="preserve"> must take action consistently with its duty of care to </w:t>
            </w:r>
            <w:r w:rsidRPr="008112B3">
              <w:rPr>
                <w:b/>
                <w:bCs/>
              </w:rPr>
              <w:t xml:space="preserve">Students </w:t>
            </w:r>
            <w:r w:rsidRPr="008112B3">
              <w:t xml:space="preserve">and </w:t>
            </w:r>
            <w:r w:rsidRPr="008112B3">
              <w:rPr>
                <w:b/>
                <w:bCs/>
              </w:rPr>
              <w:t>Staff</w:t>
            </w:r>
            <w:r w:rsidRPr="008112B3">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F3B022" w14:textId="0A5CC788" w:rsidR="008112B3" w:rsidRPr="008112B3" w:rsidRDefault="00A50247" w:rsidP="00BF42EB">
            <w:r>
              <w:t>From</w:t>
            </w:r>
            <w:r w:rsidR="00CE43AD">
              <w:t xml:space="preserve"> </w:t>
            </w:r>
            <w:r w:rsidR="00106ED0">
              <w:t>the Initial Date</w:t>
            </w:r>
            <w:r w:rsidR="008112B3" w:rsidRPr="008112B3">
              <w:t xml:space="preserve"> </w:t>
            </w:r>
            <w:r w:rsidR="009252E8">
              <w:t xml:space="preserve">and ongoing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2EB8F4ED" w14:textId="77777777" w:rsidR="008112B3" w:rsidRPr="00794D0D" w:rsidRDefault="008112B3" w:rsidP="00794D0D">
            <w:pPr>
              <w:jc w:val="center"/>
              <w:rPr>
                <w:b/>
                <w:sz w:val="32"/>
                <w:szCs w:val="32"/>
              </w:rPr>
            </w:pPr>
            <w:r w:rsidRPr="00794D0D">
              <w:rPr>
                <w:b/>
                <w:sz w:val="32"/>
                <w:szCs w:val="32"/>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898E325" w14:textId="77777777" w:rsidR="008112B3" w:rsidRPr="00794D0D" w:rsidRDefault="008112B3" w:rsidP="00794D0D">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C4EBB03" w14:textId="77777777" w:rsidR="008112B3" w:rsidRPr="00794D0D" w:rsidRDefault="008112B3" w:rsidP="00794D0D">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3694140" w14:textId="77777777" w:rsidR="008112B3" w:rsidRPr="00794D0D" w:rsidRDefault="008112B3" w:rsidP="00794D0D">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7F9021A" w14:textId="77777777" w:rsidR="008112B3" w:rsidRPr="00794D0D" w:rsidRDefault="008112B3" w:rsidP="00794D0D">
            <w:pPr>
              <w:jc w:val="center"/>
              <w:rPr>
                <w:b/>
                <w:sz w:val="32"/>
                <w:szCs w:val="32"/>
              </w:rPr>
            </w:pPr>
          </w:p>
        </w:tc>
      </w:tr>
      <w:tr w:rsidR="008112B3" w:rsidRPr="008112B3" w14:paraId="21815768" w14:textId="77777777" w:rsidTr="005F1973">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EE696E" w14:textId="77777777" w:rsidR="008112B3" w:rsidRPr="008112B3" w:rsidRDefault="008112B3" w:rsidP="00BF42EB">
            <w:r w:rsidRPr="008112B3">
              <w:t>3.16</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4F599C" w14:textId="77777777" w:rsidR="008112B3" w:rsidRPr="008112B3" w:rsidRDefault="008112B3" w:rsidP="00DE22E7">
            <w:pPr>
              <w:spacing w:after="120"/>
            </w:pPr>
            <w:bookmarkStart w:id="10" w:name="_Ref181773510"/>
            <w:bookmarkStart w:id="11" w:name="_Ref183505271"/>
            <w:bookmarkStart w:id="12" w:name="_Ref183505258"/>
            <w:r w:rsidRPr="008112B3">
              <w:t xml:space="preserve">A </w:t>
            </w:r>
            <w:r w:rsidRPr="008112B3">
              <w:rPr>
                <w:b/>
              </w:rPr>
              <w:t>Provider</w:t>
            </w:r>
            <w:r w:rsidRPr="008112B3">
              <w:t xml:space="preserve"> must require </w:t>
            </w:r>
            <w:r w:rsidRPr="008112B3">
              <w:rPr>
                <w:b/>
              </w:rPr>
              <w:t>Staff</w:t>
            </w:r>
            <w:r w:rsidRPr="008112B3">
              <w:t xml:space="preserve"> involved in responding to</w:t>
            </w:r>
            <w:r w:rsidRPr="008112B3">
              <w:rPr>
                <w:b/>
              </w:rPr>
              <w:t xml:space="preserve"> Formal Reports</w:t>
            </w:r>
            <w:r w:rsidRPr="008112B3">
              <w:t xml:space="preserve">, </w:t>
            </w:r>
            <w:proofErr w:type="gramStart"/>
            <w:r w:rsidRPr="008112B3">
              <w:t>conducting an investigation</w:t>
            </w:r>
            <w:proofErr w:type="gramEnd"/>
            <w:r w:rsidRPr="008112B3">
              <w:t>, or determining a disciplinary proceeding to have</w:t>
            </w:r>
            <w:bookmarkEnd w:id="10"/>
            <w:bookmarkEnd w:id="11"/>
            <w:bookmarkEnd w:id="12"/>
            <w:r w:rsidRPr="008112B3">
              <w:t xml:space="preserve"> appropriate knowledge, experience and expertise to respond to people who have experienced and engaged in </w:t>
            </w:r>
            <w:r w:rsidRPr="008112B3">
              <w:rPr>
                <w:b/>
              </w:rPr>
              <w:t>Gender-based Violence.</w:t>
            </w:r>
            <w:r w:rsidRPr="008112B3">
              <w:t xml:space="preserve"> </w:t>
            </w:r>
          </w:p>
          <w:p w14:paraId="392D7570" w14:textId="77777777" w:rsidR="008112B3" w:rsidRPr="008112B3" w:rsidRDefault="008112B3" w:rsidP="00DE22E7">
            <w:pPr>
              <w:spacing w:after="120"/>
            </w:pPr>
            <w:r w:rsidRPr="008112B3">
              <w:rPr>
                <w:i/>
              </w:rPr>
              <w:lastRenderedPageBreak/>
              <w:t xml:space="preserve">NB: The National Code includes detail on the knowledge, experience and expertise required including knowledge, skills and competency in, trauma-informed and person-centred approaches; working with specific cohorts disproportionately impacted; procedural fairness; taking and recording statements and handling reports and disclosures. </w:t>
            </w:r>
            <w:r w:rsidRPr="008112B3">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FF1346" w14:textId="7CCE11AA" w:rsidR="008112B3" w:rsidRPr="008112B3" w:rsidRDefault="00A50247" w:rsidP="00BF42EB">
            <w:r>
              <w:lastRenderedPageBreak/>
              <w:t>From</w:t>
            </w:r>
            <w:r w:rsidR="008112B3" w:rsidRPr="008112B3">
              <w:t xml:space="preserve"> </w:t>
            </w:r>
            <w:r w:rsidR="00106ED0">
              <w:t>the Initial Date</w:t>
            </w:r>
            <w:r w:rsidR="008112B3" w:rsidRPr="008112B3">
              <w:t xml:space="preserve"> and ongoing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179316C9" w14:textId="77777777" w:rsidR="008112B3" w:rsidRPr="00794D0D" w:rsidRDefault="008112B3" w:rsidP="00794D0D">
            <w:pPr>
              <w:jc w:val="center"/>
              <w:rPr>
                <w:b/>
                <w:sz w:val="32"/>
                <w:szCs w:val="32"/>
              </w:rPr>
            </w:pPr>
            <w:r w:rsidRPr="00794D0D">
              <w:rPr>
                <w:b/>
                <w:sz w:val="32"/>
                <w:szCs w:val="32"/>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0DDD2E6" w14:textId="77777777" w:rsidR="008112B3" w:rsidRPr="00794D0D" w:rsidRDefault="008112B3" w:rsidP="00794D0D">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8F065AB" w14:textId="77777777" w:rsidR="008112B3" w:rsidRPr="00794D0D" w:rsidRDefault="008112B3" w:rsidP="00794D0D">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9794018" w14:textId="77777777" w:rsidR="008112B3" w:rsidRPr="00794D0D" w:rsidRDefault="008112B3" w:rsidP="00794D0D">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B9C9808" w14:textId="77777777" w:rsidR="008112B3" w:rsidRPr="00794D0D" w:rsidRDefault="008112B3" w:rsidP="00794D0D">
            <w:pPr>
              <w:jc w:val="center"/>
              <w:rPr>
                <w:b/>
                <w:sz w:val="32"/>
                <w:szCs w:val="32"/>
              </w:rPr>
            </w:pPr>
          </w:p>
        </w:tc>
      </w:tr>
      <w:tr w:rsidR="008112B3" w:rsidRPr="008112B3" w14:paraId="2C76B0A0" w14:textId="77777777" w:rsidTr="005F1973">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02E4DA" w14:textId="77777777" w:rsidR="008112B3" w:rsidRPr="008112B3" w:rsidRDefault="008112B3" w:rsidP="00BF42EB">
            <w:r w:rsidRPr="008112B3">
              <w:t>3.17</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12889D" w14:textId="77777777" w:rsidR="008112B3" w:rsidRPr="008112B3" w:rsidRDefault="008112B3" w:rsidP="00DE22E7">
            <w:pPr>
              <w:spacing w:after="120"/>
            </w:pPr>
            <w:r w:rsidRPr="008112B3">
              <w:t xml:space="preserve">A </w:t>
            </w:r>
            <w:r w:rsidRPr="008112B3">
              <w:rPr>
                <w:b/>
              </w:rPr>
              <w:t>Provider</w:t>
            </w:r>
            <w:r w:rsidRPr="008112B3">
              <w:t xml:space="preserve"> must require </w:t>
            </w:r>
            <w:r w:rsidRPr="008112B3">
              <w:rPr>
                <w:b/>
              </w:rPr>
              <w:t xml:space="preserve">Staff </w:t>
            </w:r>
            <w:r w:rsidRPr="008112B3">
              <w:t xml:space="preserve">under paragraph 3.16 to undertake training in areas relating to knowledge in relation to Gender-based violence and the expertise required for competent and sensitive handling of formal reports, once every three years.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0FCDF8" w14:textId="6FDFC289" w:rsidR="008112B3" w:rsidRPr="008112B3" w:rsidRDefault="008112B3" w:rsidP="00BF42EB">
            <w:r w:rsidRPr="008112B3">
              <w:t xml:space="preserve">From </w:t>
            </w:r>
            <w:r w:rsidR="00792A42">
              <w:t>the Initial Date</w:t>
            </w:r>
            <w:r w:rsidR="00385106">
              <w:t xml:space="preserve"> and every </w:t>
            </w:r>
            <w:r w:rsidR="00B62F8C">
              <w:t xml:space="preserve">three </w:t>
            </w:r>
            <w:r w:rsidR="00385106">
              <w:t>years thereafter</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4F5D8241" w14:textId="77777777" w:rsidR="008112B3" w:rsidRPr="00372282" w:rsidRDefault="008112B3" w:rsidP="00372282">
            <w:pPr>
              <w:jc w:val="center"/>
              <w:rPr>
                <w:b/>
                <w:sz w:val="32"/>
                <w:szCs w:val="32"/>
              </w:rPr>
            </w:pPr>
            <w:r w:rsidRPr="00372282">
              <w:rPr>
                <w:b/>
                <w:sz w:val="32"/>
                <w:szCs w:val="32"/>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15AC550" w14:textId="77777777" w:rsidR="008112B3" w:rsidRPr="00372282" w:rsidRDefault="008112B3" w:rsidP="00372282">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25075C4" w14:textId="77777777" w:rsidR="008112B3" w:rsidRPr="00372282" w:rsidRDefault="008112B3" w:rsidP="00372282">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3C2A2AB" w14:textId="77777777" w:rsidR="008112B3" w:rsidRPr="00372282" w:rsidRDefault="008112B3" w:rsidP="00372282">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CE73204" w14:textId="77777777" w:rsidR="008112B3" w:rsidRPr="00372282" w:rsidRDefault="008112B3" w:rsidP="00372282">
            <w:pPr>
              <w:jc w:val="center"/>
              <w:rPr>
                <w:b/>
                <w:sz w:val="32"/>
                <w:szCs w:val="32"/>
              </w:rPr>
            </w:pPr>
          </w:p>
        </w:tc>
      </w:tr>
      <w:tr w:rsidR="008112B3" w:rsidRPr="008112B3" w14:paraId="626ABCF3" w14:textId="77777777" w:rsidTr="005F1973">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62B68D" w14:textId="77777777" w:rsidR="008112B3" w:rsidRPr="008112B3" w:rsidRDefault="008112B3" w:rsidP="00BF42EB">
            <w:r w:rsidRPr="008112B3">
              <w:t>3.18</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02238D" w14:textId="77777777" w:rsidR="008112B3" w:rsidRPr="008112B3" w:rsidRDefault="008112B3" w:rsidP="00DE22E7">
            <w:pPr>
              <w:spacing w:after="120"/>
            </w:pPr>
            <w:r w:rsidRPr="008112B3">
              <w:t xml:space="preserve">Where a </w:t>
            </w:r>
            <w:r w:rsidRPr="008112B3">
              <w:rPr>
                <w:b/>
                <w:bCs/>
              </w:rPr>
              <w:t>Provider</w:t>
            </w:r>
            <w:r w:rsidRPr="008112B3">
              <w:t xml:space="preserve"> identifies that it does not have </w:t>
            </w:r>
            <w:r w:rsidRPr="008112B3">
              <w:rPr>
                <w:b/>
                <w:bCs/>
              </w:rPr>
              <w:t>Staff</w:t>
            </w:r>
            <w:r w:rsidRPr="008112B3">
              <w:t xml:space="preserve"> with the necessary expertise and experience to carry out an investigation or determine a disciplinary proceeding, the </w:t>
            </w:r>
            <w:r w:rsidRPr="008112B3">
              <w:rPr>
                <w:b/>
                <w:bCs/>
              </w:rPr>
              <w:t>Provider</w:t>
            </w:r>
            <w:r w:rsidRPr="008112B3">
              <w:t xml:space="preserve"> must engage a person</w:t>
            </w:r>
            <w:r w:rsidRPr="008112B3">
              <w:rPr>
                <w:b/>
                <w:bCs/>
              </w:rPr>
              <w:t xml:space="preserve"> </w:t>
            </w:r>
            <w:r w:rsidRPr="008112B3">
              <w:t xml:space="preserve">with the expertise under paragraph 3.16.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1ABA61" w14:textId="0E141A79" w:rsidR="008112B3" w:rsidRPr="008112B3" w:rsidRDefault="00C32F3C" w:rsidP="00BF42EB">
            <w:r>
              <w:t xml:space="preserve">From </w:t>
            </w:r>
            <w:r w:rsidR="00740FF0">
              <w:t>the Initial Date</w:t>
            </w:r>
            <w:r>
              <w:t xml:space="preserve">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2B6CF321" w14:textId="77777777" w:rsidR="008112B3" w:rsidRPr="00372282" w:rsidRDefault="008112B3" w:rsidP="00372282">
            <w:pPr>
              <w:jc w:val="center"/>
              <w:rPr>
                <w:b/>
                <w:sz w:val="32"/>
                <w:szCs w:val="32"/>
              </w:rPr>
            </w:pPr>
            <w:r w:rsidRPr="00372282">
              <w:rPr>
                <w:b/>
                <w:sz w:val="32"/>
                <w:szCs w:val="32"/>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DB8154E" w14:textId="77777777" w:rsidR="008112B3" w:rsidRPr="00372282" w:rsidRDefault="008112B3" w:rsidP="00372282">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A15FC6B" w14:textId="77777777" w:rsidR="008112B3" w:rsidRPr="00372282" w:rsidRDefault="008112B3" w:rsidP="00372282">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8817FB7" w14:textId="77777777" w:rsidR="008112B3" w:rsidRPr="00372282" w:rsidRDefault="008112B3" w:rsidP="00372282">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B0D906F" w14:textId="77777777" w:rsidR="008112B3" w:rsidRPr="00372282" w:rsidRDefault="008112B3" w:rsidP="00372282">
            <w:pPr>
              <w:jc w:val="center"/>
              <w:rPr>
                <w:b/>
                <w:sz w:val="32"/>
                <w:szCs w:val="32"/>
              </w:rPr>
            </w:pPr>
          </w:p>
        </w:tc>
      </w:tr>
      <w:tr w:rsidR="008112B3" w:rsidRPr="008112B3" w14:paraId="520F8454" w14:textId="77777777" w:rsidTr="005F1973">
        <w:tc>
          <w:tcPr>
            <w:tcW w:w="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DFB32F" w14:textId="77777777" w:rsidR="008112B3" w:rsidRPr="008112B3" w:rsidRDefault="008112B3" w:rsidP="00BF42EB">
            <w:r w:rsidRPr="008112B3">
              <w:t>3.19</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E9E40C" w14:textId="77777777" w:rsidR="008112B3" w:rsidRPr="008112B3" w:rsidRDefault="008112B3" w:rsidP="00DE22E7">
            <w:pPr>
              <w:spacing w:after="120"/>
            </w:pPr>
            <w:r w:rsidRPr="008112B3">
              <w:t xml:space="preserve">The </w:t>
            </w:r>
            <w:r w:rsidRPr="008112B3">
              <w:rPr>
                <w:b/>
                <w:bCs/>
              </w:rPr>
              <w:t xml:space="preserve">Secretary </w:t>
            </w:r>
            <w:r w:rsidRPr="008112B3">
              <w:t xml:space="preserve">may require a </w:t>
            </w:r>
            <w:r w:rsidRPr="008112B3">
              <w:rPr>
                <w:b/>
                <w:bCs/>
              </w:rPr>
              <w:t xml:space="preserve">Provider </w:t>
            </w:r>
            <w:r w:rsidRPr="008112B3">
              <w:t xml:space="preserve">to report on how it has complied with its obligations under this Standard in a manner and form to be prescribed by the </w:t>
            </w:r>
            <w:r w:rsidRPr="008112B3">
              <w:rPr>
                <w:b/>
                <w:bCs/>
              </w:rPr>
              <w:t xml:space="preserve">Secretary.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DE6F42" w14:textId="34484A22" w:rsidR="008112B3" w:rsidRPr="008112B3" w:rsidRDefault="008112B3" w:rsidP="00BF42EB">
            <w:r w:rsidRPr="008112B3">
              <w:t xml:space="preserve">As </w:t>
            </w:r>
            <w:r w:rsidR="00740FF0">
              <w:t>required</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A5F1B15" w14:textId="77777777" w:rsidR="008112B3" w:rsidRPr="00372282" w:rsidRDefault="008112B3" w:rsidP="00372282">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D9EC1E1" w14:textId="77777777" w:rsidR="008112B3" w:rsidRPr="00372282" w:rsidRDefault="008112B3" w:rsidP="00372282">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7E80B8FD" w14:textId="77777777" w:rsidR="008112B3" w:rsidRPr="00372282" w:rsidRDefault="008112B3" w:rsidP="00372282">
            <w:pPr>
              <w:jc w:val="center"/>
              <w:rPr>
                <w:b/>
                <w:sz w:val="32"/>
                <w:szCs w:val="32"/>
              </w:rPr>
            </w:pPr>
            <w:r w:rsidRPr="00372282">
              <w:rPr>
                <w:b/>
                <w:sz w:val="32"/>
                <w:szCs w:val="32"/>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B45C39D" w14:textId="77777777" w:rsidR="008112B3" w:rsidRPr="00372282" w:rsidRDefault="008112B3" w:rsidP="00372282">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E6E21B2" w14:textId="77777777" w:rsidR="008112B3" w:rsidRPr="00372282" w:rsidRDefault="008112B3" w:rsidP="00372282">
            <w:pPr>
              <w:jc w:val="center"/>
              <w:rPr>
                <w:b/>
                <w:sz w:val="32"/>
                <w:szCs w:val="32"/>
              </w:rPr>
            </w:pPr>
          </w:p>
        </w:tc>
      </w:tr>
    </w:tbl>
    <w:p w14:paraId="425AE4B2" w14:textId="2B1769C4" w:rsidR="005F1973" w:rsidRDefault="005F1973"/>
    <w:tbl>
      <w:tblPr>
        <w:tblW w:w="20852" w:type="dxa"/>
        <w:tblInd w:w="-10" w:type="dxa"/>
        <w:tblLayout w:type="fixed"/>
        <w:tblCellMar>
          <w:left w:w="0" w:type="dxa"/>
          <w:right w:w="0" w:type="dxa"/>
        </w:tblCellMar>
        <w:tblLook w:val="04A0" w:firstRow="1" w:lastRow="0" w:firstColumn="1" w:lastColumn="0" w:noHBand="0" w:noVBand="1"/>
      </w:tblPr>
      <w:tblGrid>
        <w:gridCol w:w="754"/>
        <w:gridCol w:w="9039"/>
        <w:gridCol w:w="2552"/>
        <w:gridCol w:w="565"/>
        <w:gridCol w:w="567"/>
        <w:gridCol w:w="569"/>
        <w:gridCol w:w="425"/>
        <w:gridCol w:w="709"/>
        <w:gridCol w:w="709"/>
        <w:gridCol w:w="709"/>
        <w:gridCol w:w="709"/>
        <w:gridCol w:w="709"/>
        <w:gridCol w:w="709"/>
        <w:gridCol w:w="709"/>
        <w:gridCol w:w="709"/>
        <w:gridCol w:w="709"/>
      </w:tblGrid>
      <w:tr w:rsidR="008112B3" w:rsidRPr="008112B3" w14:paraId="7215A5FD" w14:textId="77777777" w:rsidTr="00280948">
        <w:trPr>
          <w:gridAfter w:val="8"/>
          <w:wAfter w:w="5672" w:type="dxa"/>
        </w:trPr>
        <w:tc>
          <w:tcPr>
            <w:tcW w:w="754" w:type="dxa"/>
            <w:tcBorders>
              <w:left w:val="nil"/>
              <w:right w:val="nil"/>
            </w:tcBorders>
            <w:tcMar>
              <w:top w:w="0" w:type="dxa"/>
              <w:left w:w="108" w:type="dxa"/>
              <w:bottom w:w="0" w:type="dxa"/>
              <w:right w:w="108" w:type="dxa"/>
            </w:tcMar>
          </w:tcPr>
          <w:p w14:paraId="38545C1D" w14:textId="09FCCD41" w:rsidR="008112B3" w:rsidRPr="008112B3" w:rsidRDefault="008112B3" w:rsidP="008112B3"/>
        </w:tc>
        <w:tc>
          <w:tcPr>
            <w:tcW w:w="9039" w:type="dxa"/>
            <w:tcBorders>
              <w:left w:val="nil"/>
              <w:right w:val="nil"/>
            </w:tcBorders>
            <w:tcMar>
              <w:top w:w="0" w:type="dxa"/>
              <w:left w:w="108" w:type="dxa"/>
              <w:bottom w:w="0" w:type="dxa"/>
              <w:right w:w="108" w:type="dxa"/>
            </w:tcMar>
          </w:tcPr>
          <w:p w14:paraId="175E96F6" w14:textId="77777777" w:rsidR="008112B3" w:rsidRPr="008112B3" w:rsidRDefault="008112B3" w:rsidP="00BF42EB"/>
        </w:tc>
        <w:tc>
          <w:tcPr>
            <w:tcW w:w="2552" w:type="dxa"/>
            <w:tcBorders>
              <w:left w:val="nil"/>
              <w:right w:val="nil"/>
            </w:tcBorders>
            <w:tcMar>
              <w:top w:w="0" w:type="dxa"/>
              <w:left w:w="108" w:type="dxa"/>
              <w:bottom w:w="0" w:type="dxa"/>
              <w:right w:w="108" w:type="dxa"/>
            </w:tcMar>
          </w:tcPr>
          <w:p w14:paraId="22D2075A" w14:textId="77777777" w:rsidR="008112B3" w:rsidRPr="008112B3" w:rsidRDefault="008112B3" w:rsidP="008112B3"/>
        </w:tc>
        <w:tc>
          <w:tcPr>
            <w:tcW w:w="565" w:type="dxa"/>
            <w:tcBorders>
              <w:left w:val="nil"/>
              <w:bottom w:val="single" w:sz="4" w:space="0" w:color="auto"/>
              <w:right w:val="nil"/>
            </w:tcBorders>
            <w:tcMar>
              <w:top w:w="0" w:type="dxa"/>
              <w:left w:w="108" w:type="dxa"/>
              <w:bottom w:w="0" w:type="dxa"/>
              <w:right w:w="108" w:type="dxa"/>
            </w:tcMar>
          </w:tcPr>
          <w:p w14:paraId="6E70D312" w14:textId="77777777" w:rsidR="008112B3" w:rsidRPr="008112B3" w:rsidRDefault="008112B3" w:rsidP="008112B3">
            <w:pPr>
              <w:rPr>
                <w:b/>
                <w:bCs/>
              </w:rPr>
            </w:pPr>
          </w:p>
        </w:tc>
        <w:tc>
          <w:tcPr>
            <w:tcW w:w="567" w:type="dxa"/>
            <w:tcBorders>
              <w:left w:val="nil"/>
              <w:bottom w:val="single" w:sz="4" w:space="0" w:color="auto"/>
              <w:right w:val="nil"/>
            </w:tcBorders>
            <w:tcMar>
              <w:top w:w="0" w:type="dxa"/>
              <w:left w:w="108" w:type="dxa"/>
              <w:bottom w:w="0" w:type="dxa"/>
              <w:right w:w="108" w:type="dxa"/>
            </w:tcMar>
          </w:tcPr>
          <w:p w14:paraId="795E4F66" w14:textId="77777777" w:rsidR="008112B3" w:rsidRPr="008112B3" w:rsidRDefault="008112B3" w:rsidP="008112B3">
            <w:pPr>
              <w:rPr>
                <w:b/>
                <w:bCs/>
              </w:rPr>
            </w:pPr>
          </w:p>
        </w:tc>
        <w:tc>
          <w:tcPr>
            <w:tcW w:w="569" w:type="dxa"/>
            <w:tcBorders>
              <w:left w:val="nil"/>
              <w:bottom w:val="single" w:sz="4" w:space="0" w:color="auto"/>
              <w:right w:val="nil"/>
            </w:tcBorders>
            <w:tcMar>
              <w:top w:w="0" w:type="dxa"/>
              <w:left w:w="108" w:type="dxa"/>
              <w:bottom w:w="0" w:type="dxa"/>
              <w:right w:w="108" w:type="dxa"/>
            </w:tcMar>
          </w:tcPr>
          <w:p w14:paraId="3218F19E" w14:textId="77777777" w:rsidR="008112B3" w:rsidRPr="008112B3" w:rsidRDefault="008112B3" w:rsidP="008112B3">
            <w:pPr>
              <w:rPr>
                <w:b/>
                <w:bCs/>
              </w:rPr>
            </w:pPr>
          </w:p>
        </w:tc>
        <w:tc>
          <w:tcPr>
            <w:tcW w:w="425" w:type="dxa"/>
            <w:tcBorders>
              <w:left w:val="nil"/>
              <w:bottom w:val="single" w:sz="4" w:space="0" w:color="auto"/>
              <w:right w:val="nil"/>
            </w:tcBorders>
            <w:tcMar>
              <w:top w:w="0" w:type="dxa"/>
              <w:left w:w="108" w:type="dxa"/>
              <w:bottom w:w="0" w:type="dxa"/>
              <w:right w:w="108" w:type="dxa"/>
            </w:tcMar>
          </w:tcPr>
          <w:p w14:paraId="01FA1417" w14:textId="77777777" w:rsidR="008112B3" w:rsidRPr="008112B3" w:rsidRDefault="008112B3" w:rsidP="008112B3">
            <w:pPr>
              <w:rPr>
                <w:b/>
                <w:bCs/>
              </w:rPr>
            </w:pPr>
          </w:p>
        </w:tc>
        <w:tc>
          <w:tcPr>
            <w:tcW w:w="709" w:type="dxa"/>
            <w:tcBorders>
              <w:left w:val="nil"/>
              <w:bottom w:val="single" w:sz="4" w:space="0" w:color="auto"/>
              <w:right w:val="nil"/>
            </w:tcBorders>
            <w:tcMar>
              <w:top w:w="0" w:type="dxa"/>
              <w:left w:w="108" w:type="dxa"/>
              <w:bottom w:w="0" w:type="dxa"/>
              <w:right w:w="108" w:type="dxa"/>
            </w:tcMar>
          </w:tcPr>
          <w:p w14:paraId="71E17A17" w14:textId="77777777" w:rsidR="008112B3" w:rsidRPr="008112B3" w:rsidRDefault="008112B3" w:rsidP="008112B3">
            <w:pPr>
              <w:rPr>
                <w:b/>
                <w:bCs/>
              </w:rPr>
            </w:pPr>
          </w:p>
        </w:tc>
      </w:tr>
      <w:tr w:rsidR="008112B3" w:rsidRPr="008112B3" w14:paraId="7341E60C" w14:textId="77777777" w:rsidTr="00280948">
        <w:trPr>
          <w:gridAfter w:val="8"/>
          <w:wAfter w:w="5672" w:type="dxa"/>
        </w:trPr>
        <w:tc>
          <w:tcPr>
            <w:tcW w:w="754" w:type="dxa"/>
            <w:tcBorders>
              <w:left w:val="nil"/>
              <w:bottom w:val="single" w:sz="4" w:space="0" w:color="auto"/>
              <w:right w:val="nil"/>
            </w:tcBorders>
            <w:tcMar>
              <w:top w:w="0" w:type="dxa"/>
              <w:left w:w="108" w:type="dxa"/>
              <w:bottom w:w="0" w:type="dxa"/>
              <w:right w:w="108" w:type="dxa"/>
            </w:tcMar>
          </w:tcPr>
          <w:p w14:paraId="438DBF64" w14:textId="77777777" w:rsidR="008112B3" w:rsidRPr="008112B3" w:rsidRDefault="008112B3" w:rsidP="008112B3"/>
        </w:tc>
        <w:tc>
          <w:tcPr>
            <w:tcW w:w="9039" w:type="dxa"/>
            <w:tcBorders>
              <w:left w:val="nil"/>
              <w:bottom w:val="single" w:sz="4" w:space="0" w:color="auto"/>
              <w:right w:val="nil"/>
            </w:tcBorders>
            <w:tcMar>
              <w:top w:w="0" w:type="dxa"/>
              <w:left w:w="108" w:type="dxa"/>
              <w:bottom w:w="0" w:type="dxa"/>
              <w:right w:w="108" w:type="dxa"/>
            </w:tcMar>
          </w:tcPr>
          <w:p w14:paraId="2FF42922" w14:textId="77777777" w:rsidR="008112B3" w:rsidRPr="008112B3" w:rsidRDefault="008112B3" w:rsidP="00BF42EB"/>
        </w:tc>
        <w:tc>
          <w:tcPr>
            <w:tcW w:w="2552" w:type="dxa"/>
            <w:tcBorders>
              <w:left w:val="nil"/>
              <w:bottom w:val="single" w:sz="4" w:space="0" w:color="auto"/>
              <w:right w:val="single" w:sz="4" w:space="0" w:color="auto"/>
            </w:tcBorders>
            <w:tcMar>
              <w:top w:w="0" w:type="dxa"/>
              <w:left w:w="108" w:type="dxa"/>
              <w:bottom w:w="0" w:type="dxa"/>
              <w:right w:w="108" w:type="dxa"/>
            </w:tcMar>
          </w:tcPr>
          <w:p w14:paraId="44DAD3F8" w14:textId="77777777" w:rsidR="008112B3" w:rsidRPr="008112B3" w:rsidRDefault="008112B3" w:rsidP="008112B3"/>
        </w:tc>
        <w:tc>
          <w:tcPr>
            <w:tcW w:w="283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1A02AA09" w14:textId="77777777" w:rsidR="008112B3" w:rsidRPr="008112B3" w:rsidRDefault="008112B3" w:rsidP="008112B3">
            <w:pPr>
              <w:rPr>
                <w:b/>
                <w:bCs/>
              </w:rPr>
            </w:pPr>
            <w:r w:rsidRPr="008112B3">
              <w:rPr>
                <w:b/>
                <w:bCs/>
              </w:rPr>
              <w:t xml:space="preserve">Area of focus </w:t>
            </w:r>
          </w:p>
        </w:tc>
      </w:tr>
      <w:tr w:rsidR="008112B3" w:rsidRPr="008112B3" w14:paraId="5B8BC4B6" w14:textId="77777777" w:rsidTr="007E4125">
        <w:trPr>
          <w:gridAfter w:val="8"/>
          <w:wAfter w:w="5672" w:type="dxa"/>
          <w:trHeight w:val="1572"/>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2233ED7" w14:textId="642C8F93" w:rsidR="008112B3" w:rsidRPr="008112B3" w:rsidRDefault="008112B3" w:rsidP="008112B3">
            <w:pPr>
              <w:rPr>
                <w:rStyle w:val="Strong"/>
              </w:rPr>
            </w:pPr>
            <w:r w:rsidRPr="008112B3">
              <w:rPr>
                <w:rStyle w:val="Strong"/>
              </w:rPr>
              <w:t>Ref.</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D2E87E9" w14:textId="77777777" w:rsidR="008112B3" w:rsidRPr="008112B3" w:rsidRDefault="008112B3" w:rsidP="00BF42EB">
            <w:pPr>
              <w:rPr>
                <w:rStyle w:val="Strong"/>
              </w:rPr>
            </w:pPr>
            <w:r w:rsidRPr="008112B3">
              <w:rPr>
                <w:rStyle w:val="Strong"/>
              </w:rPr>
              <w:t>Specific Requirement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D20CC43" w14:textId="77777777" w:rsidR="008112B3" w:rsidRPr="008112B3" w:rsidRDefault="008112B3" w:rsidP="008112B3">
            <w:pPr>
              <w:rPr>
                <w:rStyle w:val="Strong"/>
              </w:rPr>
            </w:pPr>
            <w:r w:rsidRPr="008112B3">
              <w:rPr>
                <w:rStyle w:val="Strong"/>
              </w:rPr>
              <w:t>Timing and cadence</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4E48FF47" w14:textId="77777777" w:rsidR="008112B3" w:rsidRPr="008112B3" w:rsidRDefault="008112B3" w:rsidP="008112B3">
            <w:pPr>
              <w:rPr>
                <w:rStyle w:val="Strong"/>
              </w:rPr>
            </w:pPr>
            <w:r w:rsidRPr="008112B3">
              <w:rPr>
                <w:rStyle w:val="Strong"/>
              </w:rPr>
              <w:t>Capability</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617637EF" w14:textId="77777777" w:rsidR="008112B3" w:rsidRPr="008112B3" w:rsidRDefault="008112B3" w:rsidP="008112B3">
            <w:pPr>
              <w:rPr>
                <w:rStyle w:val="Strong"/>
              </w:rPr>
            </w:pPr>
            <w:r w:rsidRPr="008112B3">
              <w:rPr>
                <w:rStyle w:val="Strong"/>
              </w:rPr>
              <w:t>Governance</w:t>
            </w: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0F4CB04E" w14:textId="77777777" w:rsidR="008112B3" w:rsidRPr="008112B3" w:rsidRDefault="008112B3" w:rsidP="008112B3">
            <w:pPr>
              <w:rPr>
                <w:rStyle w:val="Strong"/>
              </w:rPr>
            </w:pPr>
            <w:r w:rsidRPr="008112B3">
              <w:rPr>
                <w:rStyle w:val="Strong"/>
              </w:rPr>
              <w:t>Reporting</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0C146A12" w14:textId="77777777" w:rsidR="008112B3" w:rsidRPr="008112B3" w:rsidRDefault="008112B3" w:rsidP="008112B3">
            <w:pPr>
              <w:rPr>
                <w:rStyle w:val="Strong"/>
              </w:rPr>
            </w:pPr>
            <w:r w:rsidRPr="008112B3">
              <w:rPr>
                <w:rStyle w:val="Strong"/>
              </w:rPr>
              <w:t>Data</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0635DDD4" w14:textId="77777777" w:rsidR="008112B3" w:rsidRPr="008112B3" w:rsidRDefault="008112B3" w:rsidP="008112B3">
            <w:pPr>
              <w:rPr>
                <w:rStyle w:val="Strong"/>
              </w:rPr>
            </w:pPr>
            <w:r w:rsidRPr="008112B3">
              <w:rPr>
                <w:rStyle w:val="Strong"/>
              </w:rPr>
              <w:t>Processes and systems</w:t>
            </w:r>
          </w:p>
        </w:tc>
      </w:tr>
      <w:tr w:rsidR="008112B3" w:rsidRPr="008112B3" w14:paraId="3D3F481A" w14:textId="77777777" w:rsidTr="007E4125">
        <w:trPr>
          <w:gridAfter w:val="8"/>
          <w:wAfter w:w="5672" w:type="dxa"/>
        </w:trPr>
        <w:tc>
          <w:tcPr>
            <w:tcW w:w="15180" w:type="dxa"/>
            <w:gridSpan w:val="8"/>
            <w:tcBorders>
              <w:top w:val="single" w:sz="4" w:space="0" w:color="auto"/>
              <w:left w:val="single" w:sz="4" w:space="0" w:color="auto"/>
              <w:bottom w:val="single" w:sz="4" w:space="0" w:color="auto"/>
              <w:right w:val="single" w:sz="4" w:space="0" w:color="auto"/>
            </w:tcBorders>
            <w:shd w:val="clear" w:color="auto" w:fill="48255F"/>
            <w:tcMar>
              <w:top w:w="0" w:type="dxa"/>
              <w:left w:w="108" w:type="dxa"/>
              <w:bottom w:w="0" w:type="dxa"/>
              <w:right w:w="108" w:type="dxa"/>
            </w:tcMar>
            <w:hideMark/>
          </w:tcPr>
          <w:p w14:paraId="1C066AE3" w14:textId="77777777" w:rsidR="008112B3" w:rsidRPr="008112B3" w:rsidRDefault="008112B3" w:rsidP="008112B3">
            <w:pPr>
              <w:rPr>
                <w:b/>
                <w:bCs/>
              </w:rPr>
            </w:pPr>
            <w:r w:rsidRPr="008112B3">
              <w:rPr>
                <w:b/>
                <w:bCs/>
              </w:rPr>
              <w:t xml:space="preserve">STANDARD 4: SAFETY AND SUPPORT – RESPONSES AND SUPPORT SERVICES ARE SAFE AND PERSON-CENTRED </w:t>
            </w:r>
          </w:p>
        </w:tc>
      </w:tr>
      <w:tr w:rsidR="008112B3" w:rsidRPr="008112B3" w14:paraId="7D31AFD9" w14:textId="77777777" w:rsidTr="007E4125">
        <w:trPr>
          <w:gridAfter w:val="8"/>
          <w:wAfter w:w="5672" w:type="dxa"/>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BDEBC8" w14:textId="77777777" w:rsidR="008112B3" w:rsidRPr="008112B3" w:rsidRDefault="008112B3" w:rsidP="00524090">
            <w:r w:rsidRPr="008112B3">
              <w:t>4.1</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0B256E" w14:textId="77777777" w:rsidR="008112B3" w:rsidRPr="008112B3" w:rsidRDefault="008112B3" w:rsidP="00DE22E7">
            <w:pPr>
              <w:spacing w:after="120"/>
            </w:pPr>
            <w:r w:rsidRPr="008112B3">
              <w:t xml:space="preserve">A </w:t>
            </w:r>
            <w:r w:rsidRPr="008112B3">
              <w:rPr>
                <w:b/>
                <w:bCs/>
              </w:rPr>
              <w:t xml:space="preserve">Provider </w:t>
            </w:r>
            <w:r w:rsidRPr="008112B3">
              <w:t xml:space="preserve">must ensure that its responses, practices and support services are safe, </w:t>
            </w:r>
            <w:r w:rsidRPr="008112B3">
              <w:rPr>
                <w:b/>
                <w:bCs/>
              </w:rPr>
              <w:t>Person-centred</w:t>
            </w:r>
            <w:r w:rsidRPr="008112B3">
              <w:t xml:space="preserve"> and consistent with a </w:t>
            </w:r>
            <w:r w:rsidRPr="008112B3">
              <w:rPr>
                <w:b/>
                <w:bCs/>
              </w:rPr>
              <w:t xml:space="preserve">Trauma-informed approach </w:t>
            </w:r>
            <w:r w:rsidRPr="008112B3">
              <w:t xml:space="preserve">and best practice.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A7DBA1" w14:textId="6012929A" w:rsidR="008112B3" w:rsidRPr="008112B3" w:rsidRDefault="00AA7D99" w:rsidP="00524090">
            <w:r>
              <w:t>From</w:t>
            </w:r>
            <w:r w:rsidR="008112B3" w:rsidRPr="008112B3">
              <w:t xml:space="preserve"> </w:t>
            </w:r>
            <w:r w:rsidR="00B12786">
              <w:t xml:space="preserve">the Initial Date </w:t>
            </w:r>
            <w:r w:rsidR="008112B3" w:rsidRPr="008112B3">
              <w:t>and ongoing</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44A19444" w14:textId="77777777" w:rsidR="008112B3" w:rsidRPr="00372282" w:rsidRDefault="008112B3" w:rsidP="00372282">
            <w:pPr>
              <w:jc w:val="center"/>
              <w:rPr>
                <w:b/>
                <w:sz w:val="32"/>
                <w:szCs w:val="32"/>
              </w:rPr>
            </w:pPr>
            <w:r w:rsidRPr="00372282">
              <w:rPr>
                <w:b/>
                <w:sz w:val="32"/>
                <w:szCs w:val="32"/>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5C1DA4F" w14:textId="77777777" w:rsidR="008112B3" w:rsidRPr="00372282" w:rsidRDefault="008112B3" w:rsidP="00372282">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8E0C7DC" w14:textId="77777777" w:rsidR="008112B3" w:rsidRPr="00372282" w:rsidRDefault="008112B3" w:rsidP="00372282">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26047D8" w14:textId="77777777" w:rsidR="008112B3" w:rsidRPr="00372282" w:rsidRDefault="008112B3" w:rsidP="00372282">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2B10C4D" w14:textId="77777777" w:rsidR="008112B3" w:rsidRPr="00372282" w:rsidRDefault="008112B3" w:rsidP="00372282">
            <w:pPr>
              <w:jc w:val="center"/>
              <w:rPr>
                <w:b/>
                <w:sz w:val="32"/>
                <w:szCs w:val="32"/>
              </w:rPr>
            </w:pPr>
          </w:p>
        </w:tc>
      </w:tr>
      <w:tr w:rsidR="008112B3" w:rsidRPr="008112B3" w14:paraId="337FC90E" w14:textId="77777777" w:rsidTr="007E4125">
        <w:trPr>
          <w:gridAfter w:val="8"/>
          <w:wAfter w:w="5672" w:type="dxa"/>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341BC7" w14:textId="77777777" w:rsidR="008112B3" w:rsidRPr="008112B3" w:rsidRDefault="008112B3" w:rsidP="00524090">
            <w:r w:rsidRPr="008112B3">
              <w:t xml:space="preserve">4.2 </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1A9C8D" w14:textId="77777777" w:rsidR="008112B3" w:rsidRPr="008112B3" w:rsidRDefault="008112B3" w:rsidP="00DE22E7">
            <w:pPr>
              <w:spacing w:after="120"/>
            </w:pPr>
            <w:r w:rsidRPr="008112B3">
              <w:t xml:space="preserve">A </w:t>
            </w:r>
            <w:r w:rsidRPr="008112B3">
              <w:rPr>
                <w:b/>
                <w:bCs/>
              </w:rPr>
              <w:t>Provider</w:t>
            </w:r>
            <w:r w:rsidRPr="008112B3">
              <w:t xml:space="preserve"> must provide or facilitate access to support services to persons making </w:t>
            </w:r>
            <w:r w:rsidRPr="008112B3">
              <w:rPr>
                <w:b/>
                <w:bCs/>
              </w:rPr>
              <w:t xml:space="preserve">Disclosures </w:t>
            </w:r>
            <w:r w:rsidRPr="008112B3">
              <w:t>and</w:t>
            </w:r>
            <w:r w:rsidRPr="000118E1">
              <w:t>/</w:t>
            </w:r>
            <w:r w:rsidRPr="008112B3">
              <w:t xml:space="preserve">or </w:t>
            </w:r>
            <w:r w:rsidRPr="008112B3">
              <w:rPr>
                <w:b/>
                <w:bCs/>
              </w:rPr>
              <w:t>Formal Reports</w:t>
            </w:r>
            <w:r w:rsidRPr="008112B3">
              <w:t xml:space="preserve"> and to </w:t>
            </w:r>
            <w:r w:rsidRPr="008112B3">
              <w:rPr>
                <w:b/>
                <w:bCs/>
              </w:rPr>
              <w:t>Respondents</w:t>
            </w:r>
            <w:r w:rsidRPr="008112B3">
              <w:t>, including explaining the available support services</w:t>
            </w:r>
            <w:proofErr w:type="gramStart"/>
            <w:r w:rsidRPr="008112B3">
              <w:t xml:space="preserve"> and in particular</w:t>
            </w:r>
            <w:proofErr w:type="gramEnd"/>
            <w:r w:rsidRPr="008112B3">
              <w:t xml:space="preserve"> any supports relevant to educational outcomes such as reasonable academic adjustments.</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F49F6B" w14:textId="608237A5" w:rsidR="008112B3" w:rsidRPr="008112B3" w:rsidRDefault="00AA7D99" w:rsidP="00524090">
            <w:r>
              <w:t>From</w:t>
            </w:r>
            <w:r w:rsidR="008112B3" w:rsidRPr="008112B3">
              <w:t xml:space="preserve"> </w:t>
            </w:r>
            <w:r w:rsidR="008A700A">
              <w:t>the Initial Date</w:t>
            </w:r>
            <w:r w:rsidR="008112B3" w:rsidRPr="008112B3">
              <w:t xml:space="preserve"> and ongoing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2694AFAD" w14:textId="77777777" w:rsidR="008112B3" w:rsidRPr="00372282" w:rsidRDefault="008112B3" w:rsidP="00372282">
            <w:pPr>
              <w:jc w:val="center"/>
              <w:rPr>
                <w:b/>
                <w:sz w:val="32"/>
                <w:szCs w:val="32"/>
              </w:rPr>
            </w:pPr>
            <w:r w:rsidRPr="00372282">
              <w:rPr>
                <w:b/>
                <w:sz w:val="32"/>
                <w:szCs w:val="32"/>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1245797" w14:textId="77777777" w:rsidR="008112B3" w:rsidRPr="00372282" w:rsidRDefault="008112B3" w:rsidP="00372282">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A410A3B" w14:textId="77777777" w:rsidR="008112B3" w:rsidRPr="00372282" w:rsidRDefault="008112B3" w:rsidP="00372282">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C325320" w14:textId="77777777" w:rsidR="008112B3" w:rsidRPr="00372282" w:rsidRDefault="008112B3" w:rsidP="00372282">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01ABB65D" w14:textId="77777777" w:rsidR="008112B3" w:rsidRPr="00372282" w:rsidRDefault="008112B3" w:rsidP="00372282">
            <w:pPr>
              <w:jc w:val="center"/>
              <w:rPr>
                <w:b/>
                <w:sz w:val="32"/>
                <w:szCs w:val="32"/>
              </w:rPr>
            </w:pPr>
            <w:r w:rsidRPr="00372282">
              <w:rPr>
                <w:b/>
                <w:sz w:val="32"/>
                <w:szCs w:val="32"/>
              </w:rPr>
              <w:t>X</w:t>
            </w:r>
          </w:p>
        </w:tc>
      </w:tr>
      <w:tr w:rsidR="008112B3" w:rsidRPr="008112B3" w14:paraId="7BB999F6" w14:textId="77777777" w:rsidTr="007E4125">
        <w:trPr>
          <w:gridAfter w:val="8"/>
          <w:wAfter w:w="5672" w:type="dxa"/>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50EB90" w14:textId="77777777" w:rsidR="008112B3" w:rsidRPr="008112B3" w:rsidRDefault="008112B3" w:rsidP="00524090">
            <w:r w:rsidRPr="008112B3">
              <w:lastRenderedPageBreak/>
              <w:t>4.3</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69DD1C" w14:textId="7FF89EAB" w:rsidR="008112B3" w:rsidRPr="008112B3" w:rsidRDefault="008112B3" w:rsidP="00DE22E7">
            <w:pPr>
              <w:spacing w:after="120"/>
            </w:pPr>
            <w:r w:rsidRPr="008112B3">
              <w:t xml:space="preserve">A </w:t>
            </w:r>
            <w:r w:rsidRPr="008112B3">
              <w:rPr>
                <w:b/>
                <w:bCs/>
              </w:rPr>
              <w:t xml:space="preserve">Provider </w:t>
            </w:r>
            <w:r w:rsidRPr="008112B3">
              <w:t xml:space="preserve">must actively promote and make widely available information about how </w:t>
            </w:r>
            <w:r w:rsidRPr="008112B3">
              <w:rPr>
                <w:b/>
                <w:bCs/>
              </w:rPr>
              <w:t xml:space="preserve">Students </w:t>
            </w:r>
            <w:r w:rsidRPr="008112B3">
              <w:t xml:space="preserve">and </w:t>
            </w:r>
            <w:r w:rsidRPr="008112B3">
              <w:rPr>
                <w:b/>
                <w:bCs/>
              </w:rPr>
              <w:t>Staff</w:t>
            </w:r>
            <w:r w:rsidRPr="008112B3">
              <w:t xml:space="preserve"> can access </w:t>
            </w:r>
            <w:r w:rsidRPr="008112B3">
              <w:rPr>
                <w:b/>
                <w:bCs/>
              </w:rPr>
              <w:t>Policies</w:t>
            </w:r>
            <w:r w:rsidRPr="008112B3">
              <w:t xml:space="preserve"> and </w:t>
            </w:r>
            <w:r w:rsidRPr="008112B3">
              <w:rPr>
                <w:b/>
                <w:bCs/>
              </w:rPr>
              <w:t>Procedures</w:t>
            </w:r>
            <w:r w:rsidRPr="008112B3">
              <w:t xml:space="preserve">, internal and/or external support services including supports for academic adjustments and educational outcomes in relation to </w:t>
            </w:r>
            <w:r w:rsidRPr="008112B3">
              <w:rPr>
                <w:b/>
                <w:bCs/>
              </w:rPr>
              <w:t>Gender</w:t>
            </w:r>
            <w:r w:rsidRPr="008112B3">
              <w:rPr>
                <w:b/>
              </w:rPr>
              <w:noBreakHyphen/>
            </w:r>
            <w:r w:rsidRPr="008112B3">
              <w:rPr>
                <w:b/>
                <w:bCs/>
              </w:rPr>
              <w:t xml:space="preserve">based Violence. </w:t>
            </w:r>
            <w:r w:rsidRPr="008112B3">
              <w:t xml:space="preserve">This information must be accessible and publicly available, drafted in plain English and able to be translated into different languages </w:t>
            </w:r>
            <w:proofErr w:type="gramStart"/>
            <w:r w:rsidRPr="008112B3">
              <w:t>taking into account</w:t>
            </w:r>
            <w:proofErr w:type="gramEnd"/>
            <w:r w:rsidRPr="008112B3">
              <w:t xml:space="preserve"> the </w:t>
            </w:r>
            <w:r w:rsidRPr="008112B3">
              <w:rPr>
                <w:b/>
                <w:bCs/>
              </w:rPr>
              <w:t>Students</w:t>
            </w:r>
            <w:r w:rsidRPr="008112B3">
              <w:t xml:space="preserve"> and </w:t>
            </w:r>
            <w:r w:rsidRPr="008112B3">
              <w:rPr>
                <w:b/>
                <w:bCs/>
              </w:rPr>
              <w:t>Staff</w:t>
            </w:r>
            <w:r w:rsidRPr="008112B3">
              <w:t xml:space="preserve"> demographics of the </w:t>
            </w:r>
            <w:r w:rsidRPr="008112B3">
              <w:rPr>
                <w:b/>
                <w:bCs/>
              </w:rPr>
              <w:t>Provider</w:t>
            </w:r>
            <w:r w:rsidRPr="008112B3">
              <w: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54674A" w14:textId="7F6CA9F4" w:rsidR="008112B3" w:rsidRPr="008112B3" w:rsidRDefault="008112B3" w:rsidP="00524090">
            <w:r w:rsidRPr="008112B3">
              <w:t>From</w:t>
            </w:r>
            <w:r w:rsidR="008A700A">
              <w:t xml:space="preserve"> the Initial Date</w:t>
            </w:r>
            <w:r w:rsidRPr="008112B3">
              <w:t xml:space="preserve"> and ongoing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40B8636" w14:textId="77777777" w:rsidR="008112B3" w:rsidRPr="00372282" w:rsidRDefault="008112B3" w:rsidP="00372282">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92870B4" w14:textId="77777777" w:rsidR="008112B3" w:rsidRPr="00372282" w:rsidRDefault="008112B3" w:rsidP="00372282">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F786DE0" w14:textId="77777777" w:rsidR="008112B3" w:rsidRPr="00372282" w:rsidRDefault="008112B3" w:rsidP="00372282">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A1C04F8" w14:textId="77777777" w:rsidR="008112B3" w:rsidRPr="00372282" w:rsidRDefault="008112B3" w:rsidP="00372282">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6FF7425B" w14:textId="77777777" w:rsidR="008112B3" w:rsidRPr="00372282" w:rsidRDefault="008112B3" w:rsidP="00372282">
            <w:pPr>
              <w:jc w:val="center"/>
              <w:rPr>
                <w:b/>
                <w:sz w:val="32"/>
                <w:szCs w:val="32"/>
              </w:rPr>
            </w:pPr>
            <w:r w:rsidRPr="00372282">
              <w:rPr>
                <w:b/>
                <w:sz w:val="32"/>
                <w:szCs w:val="32"/>
              </w:rPr>
              <w:t>X</w:t>
            </w:r>
          </w:p>
        </w:tc>
      </w:tr>
      <w:tr w:rsidR="008112B3" w:rsidRPr="008112B3" w14:paraId="25E65432" w14:textId="77777777" w:rsidTr="007E4125">
        <w:trPr>
          <w:gridAfter w:val="8"/>
          <w:wAfter w:w="5672" w:type="dxa"/>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546AC8" w14:textId="77777777" w:rsidR="008112B3" w:rsidRPr="008112B3" w:rsidRDefault="008112B3" w:rsidP="00524090">
            <w:r w:rsidRPr="008112B3">
              <w:t>4.4</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912A3D" w14:textId="77777777" w:rsidR="008112B3" w:rsidRPr="008112B3" w:rsidRDefault="008112B3" w:rsidP="00DE22E7">
            <w:pPr>
              <w:spacing w:after="120"/>
            </w:pPr>
            <w:r w:rsidRPr="008112B3">
              <w:t xml:space="preserve">A </w:t>
            </w:r>
            <w:r w:rsidRPr="008112B3">
              <w:rPr>
                <w:b/>
                <w:bCs/>
              </w:rPr>
              <w:t xml:space="preserve">Provider </w:t>
            </w:r>
            <w:r w:rsidRPr="008112B3">
              <w:t xml:space="preserve">must undertake a risk assessment in response to all </w:t>
            </w:r>
            <w:r w:rsidRPr="008112B3">
              <w:rPr>
                <w:b/>
                <w:bCs/>
              </w:rPr>
              <w:t>Disclosures</w:t>
            </w:r>
            <w:r w:rsidRPr="008112B3">
              <w:t xml:space="preserve"> and </w:t>
            </w:r>
            <w:r w:rsidRPr="008112B3">
              <w:rPr>
                <w:b/>
                <w:bCs/>
              </w:rPr>
              <w:t>Formal Reports</w:t>
            </w:r>
            <w:r w:rsidRPr="008112B3">
              <w:t xml:space="preserve"> of </w:t>
            </w:r>
            <w:r w:rsidRPr="008112B3">
              <w:rPr>
                <w:b/>
                <w:bCs/>
              </w:rPr>
              <w:t>Gender-based Violence</w:t>
            </w:r>
            <w:r w:rsidRPr="008112B3">
              <w:t xml:space="preserve"> and manage and monitor any identified risks on an ongoing basis.</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0E26BF" w14:textId="7CB1F511" w:rsidR="008112B3" w:rsidRPr="008112B3" w:rsidRDefault="008112B3" w:rsidP="00524090">
            <w:r w:rsidRPr="008112B3">
              <w:t xml:space="preserve">From </w:t>
            </w:r>
            <w:r w:rsidR="008A700A">
              <w:t xml:space="preserve">the Initial Date </w:t>
            </w:r>
            <w:r w:rsidRPr="008112B3">
              <w:t>and ongoing</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30F15D42" w14:textId="77777777" w:rsidR="008112B3" w:rsidRPr="00372282" w:rsidRDefault="008112B3" w:rsidP="00372282">
            <w:pPr>
              <w:jc w:val="center"/>
              <w:rPr>
                <w:b/>
                <w:sz w:val="32"/>
                <w:szCs w:val="32"/>
              </w:rPr>
            </w:pPr>
            <w:r w:rsidRPr="00372282">
              <w:rPr>
                <w:b/>
                <w:sz w:val="32"/>
                <w:szCs w:val="32"/>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69367B9" w14:textId="77777777" w:rsidR="008112B3" w:rsidRPr="00372282" w:rsidRDefault="008112B3" w:rsidP="00372282">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FFEE744" w14:textId="77777777" w:rsidR="008112B3" w:rsidRPr="00372282" w:rsidRDefault="008112B3" w:rsidP="00372282">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0FB0B5A" w14:textId="77777777" w:rsidR="008112B3" w:rsidRPr="00372282" w:rsidRDefault="008112B3" w:rsidP="00372282">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39EF2189" w14:textId="77777777" w:rsidR="008112B3" w:rsidRPr="00372282" w:rsidRDefault="008112B3" w:rsidP="00372282">
            <w:pPr>
              <w:jc w:val="center"/>
              <w:rPr>
                <w:b/>
                <w:sz w:val="32"/>
                <w:szCs w:val="32"/>
              </w:rPr>
            </w:pPr>
            <w:r w:rsidRPr="00372282">
              <w:rPr>
                <w:b/>
                <w:sz w:val="32"/>
                <w:szCs w:val="32"/>
              </w:rPr>
              <w:t>X</w:t>
            </w:r>
          </w:p>
        </w:tc>
      </w:tr>
      <w:tr w:rsidR="008112B3" w:rsidRPr="008112B3" w14:paraId="6815D503" w14:textId="77777777" w:rsidTr="007E4125">
        <w:trPr>
          <w:gridAfter w:val="8"/>
          <w:wAfter w:w="5672" w:type="dxa"/>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38D5CA" w14:textId="77777777" w:rsidR="008112B3" w:rsidRPr="008112B3" w:rsidRDefault="008112B3" w:rsidP="00524090">
            <w:r w:rsidRPr="008112B3">
              <w:t>4.5</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6E4EC4" w14:textId="77777777" w:rsidR="008112B3" w:rsidRPr="008112B3" w:rsidRDefault="008112B3" w:rsidP="00DE22E7">
            <w:pPr>
              <w:spacing w:after="120"/>
            </w:pPr>
            <w:r w:rsidRPr="008112B3">
              <w:t xml:space="preserve">When implementing safety measures in response to a </w:t>
            </w:r>
            <w:r w:rsidRPr="008112B3">
              <w:rPr>
                <w:b/>
              </w:rPr>
              <w:t xml:space="preserve">Disclosure </w:t>
            </w:r>
            <w:r w:rsidRPr="008112B3">
              <w:t xml:space="preserve">or </w:t>
            </w:r>
            <w:r w:rsidRPr="008112B3">
              <w:rPr>
                <w:b/>
              </w:rPr>
              <w:t>Formal Report</w:t>
            </w:r>
            <w:r w:rsidRPr="008112B3">
              <w:t xml:space="preserve">, a </w:t>
            </w:r>
            <w:r w:rsidRPr="008112B3">
              <w:rPr>
                <w:b/>
              </w:rPr>
              <w:t xml:space="preserve">Provider </w:t>
            </w:r>
            <w:r w:rsidRPr="008112B3">
              <w:t xml:space="preserve">must engage with and seriously consider the views of a </w:t>
            </w:r>
            <w:r w:rsidRPr="008112B3">
              <w:rPr>
                <w:b/>
              </w:rPr>
              <w:t>Discloser</w:t>
            </w:r>
            <w:r w:rsidRPr="008112B3">
              <w: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D0B1BB" w14:textId="501967A8" w:rsidR="008112B3" w:rsidRPr="008112B3" w:rsidRDefault="008112B3" w:rsidP="00524090">
            <w:r w:rsidRPr="008112B3">
              <w:t xml:space="preserve">From </w:t>
            </w:r>
            <w:r w:rsidR="008A700A">
              <w:t xml:space="preserve">the Initial Date </w:t>
            </w:r>
            <w:r w:rsidRPr="008112B3">
              <w:t xml:space="preserve">and ongoing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23F4EF0" w14:textId="77777777" w:rsidR="008112B3" w:rsidRPr="00372282" w:rsidRDefault="008112B3" w:rsidP="00372282">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1C43EB4" w14:textId="77777777" w:rsidR="008112B3" w:rsidRPr="00372282" w:rsidRDefault="008112B3" w:rsidP="00372282">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0A66059" w14:textId="77777777" w:rsidR="008112B3" w:rsidRPr="00372282" w:rsidRDefault="008112B3" w:rsidP="00372282">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9CB11D2" w14:textId="77777777" w:rsidR="008112B3" w:rsidRPr="00372282" w:rsidRDefault="008112B3" w:rsidP="00372282">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1E7776D0" w14:textId="77777777" w:rsidR="008112B3" w:rsidRPr="00372282" w:rsidRDefault="008112B3" w:rsidP="00372282">
            <w:pPr>
              <w:jc w:val="center"/>
              <w:rPr>
                <w:b/>
                <w:sz w:val="32"/>
                <w:szCs w:val="32"/>
              </w:rPr>
            </w:pPr>
            <w:r w:rsidRPr="00372282">
              <w:rPr>
                <w:b/>
                <w:sz w:val="32"/>
                <w:szCs w:val="32"/>
              </w:rPr>
              <w:t>X</w:t>
            </w:r>
          </w:p>
        </w:tc>
      </w:tr>
      <w:tr w:rsidR="008112B3" w:rsidRPr="008112B3" w14:paraId="141D93E8" w14:textId="77777777" w:rsidTr="007E4125">
        <w:trPr>
          <w:gridAfter w:val="8"/>
          <w:wAfter w:w="5672" w:type="dxa"/>
          <w:trHeight w:val="70"/>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99D0EC" w14:textId="77777777" w:rsidR="008112B3" w:rsidRPr="008112B3" w:rsidRDefault="008112B3" w:rsidP="00524090">
            <w:r w:rsidRPr="008112B3">
              <w:t>4.6</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F0B8BD" w14:textId="77777777" w:rsidR="008112B3" w:rsidRPr="008112B3" w:rsidRDefault="008112B3" w:rsidP="00DE22E7">
            <w:pPr>
              <w:spacing w:after="120"/>
            </w:pPr>
            <w:r w:rsidRPr="008112B3">
              <w:t xml:space="preserve">A </w:t>
            </w:r>
            <w:r w:rsidRPr="008112B3">
              <w:rPr>
                <w:b/>
                <w:bCs/>
              </w:rPr>
              <w:t>Provider</w:t>
            </w:r>
            <w:r w:rsidRPr="008112B3">
              <w:t xml:space="preserve"> must assign </w:t>
            </w:r>
            <w:r w:rsidRPr="008112B3">
              <w:rPr>
                <w:b/>
                <w:bCs/>
              </w:rPr>
              <w:t>Staff</w:t>
            </w:r>
            <w:r w:rsidRPr="008112B3">
              <w:t xml:space="preserve"> with relevant expertise and experience to develop collaboratively with the </w:t>
            </w:r>
            <w:r w:rsidRPr="008112B3">
              <w:rPr>
                <w:b/>
                <w:bCs/>
              </w:rPr>
              <w:t>Discloser</w:t>
            </w:r>
            <w:r w:rsidRPr="008112B3">
              <w:t xml:space="preserve"> a tailored support plan. </w:t>
            </w:r>
          </w:p>
          <w:p w14:paraId="40EBFDAE" w14:textId="77777777" w:rsidR="008112B3" w:rsidRPr="008112B3" w:rsidRDefault="008112B3" w:rsidP="00DE22E7">
            <w:pPr>
              <w:spacing w:after="120"/>
              <w:rPr>
                <w:i/>
                <w:iCs/>
              </w:rPr>
            </w:pPr>
            <w:r w:rsidRPr="008112B3">
              <w:rPr>
                <w:i/>
              </w:rPr>
              <w:t>NB: The National Code includes detail on key considerations and content of the support plan including discussions about appropriate support options and investigation and disciplinary processes.</w:t>
            </w:r>
            <w:r w:rsidRPr="008112B3">
              <w:rPr>
                <w:i/>
                <w:iCs/>
              </w:rPr>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6FDFF1" w14:textId="19F0B46C" w:rsidR="008112B3" w:rsidRPr="008112B3" w:rsidRDefault="008112B3" w:rsidP="00524090">
            <w:r w:rsidRPr="008112B3">
              <w:t xml:space="preserve">From </w:t>
            </w:r>
            <w:r w:rsidR="0080700F">
              <w:t>the Initial Date</w:t>
            </w:r>
            <w:r w:rsidRPr="008112B3">
              <w:t xml:space="preserve"> and ongoing</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36EEF153" w14:textId="77777777" w:rsidR="008112B3" w:rsidRPr="00372282" w:rsidRDefault="008112B3" w:rsidP="00372282">
            <w:pPr>
              <w:jc w:val="center"/>
              <w:rPr>
                <w:b/>
                <w:sz w:val="32"/>
                <w:szCs w:val="32"/>
              </w:rPr>
            </w:pPr>
            <w:r w:rsidRPr="00372282">
              <w:rPr>
                <w:b/>
                <w:sz w:val="32"/>
                <w:szCs w:val="32"/>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7ACCFA7" w14:textId="77777777" w:rsidR="008112B3" w:rsidRPr="00372282" w:rsidRDefault="008112B3" w:rsidP="00372282">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BA6EC9F" w14:textId="77777777" w:rsidR="008112B3" w:rsidRPr="00372282" w:rsidRDefault="008112B3" w:rsidP="00372282">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DD05705" w14:textId="77777777" w:rsidR="008112B3" w:rsidRPr="00372282" w:rsidRDefault="008112B3" w:rsidP="00372282">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5CA72AB0" w14:textId="77777777" w:rsidR="008112B3" w:rsidRPr="00372282" w:rsidRDefault="008112B3" w:rsidP="00372282">
            <w:pPr>
              <w:jc w:val="center"/>
              <w:rPr>
                <w:b/>
                <w:sz w:val="32"/>
                <w:szCs w:val="32"/>
              </w:rPr>
            </w:pPr>
            <w:r w:rsidRPr="00372282">
              <w:rPr>
                <w:b/>
                <w:sz w:val="32"/>
                <w:szCs w:val="32"/>
              </w:rPr>
              <w:t>X</w:t>
            </w:r>
          </w:p>
        </w:tc>
      </w:tr>
      <w:tr w:rsidR="008112B3" w:rsidRPr="008112B3" w14:paraId="26F6E870" w14:textId="77777777" w:rsidTr="007E4125">
        <w:trPr>
          <w:gridAfter w:val="8"/>
          <w:wAfter w:w="5672" w:type="dxa"/>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BFE952" w14:textId="77777777" w:rsidR="008112B3" w:rsidRPr="008112B3" w:rsidRDefault="008112B3" w:rsidP="00524090">
            <w:r w:rsidRPr="008112B3">
              <w:t>4.7</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66D7EA" w14:textId="77777777" w:rsidR="008112B3" w:rsidRPr="008112B3" w:rsidRDefault="008112B3" w:rsidP="00DE22E7">
            <w:pPr>
              <w:spacing w:after="120"/>
            </w:pPr>
            <w:r w:rsidRPr="008112B3">
              <w:t xml:space="preserve">A </w:t>
            </w:r>
            <w:r w:rsidRPr="008112B3">
              <w:rPr>
                <w:b/>
                <w:bCs/>
              </w:rPr>
              <w:t>Provider</w:t>
            </w:r>
            <w:r w:rsidRPr="008112B3">
              <w:t xml:space="preserve"> must assign </w:t>
            </w:r>
            <w:r w:rsidRPr="008112B3">
              <w:rPr>
                <w:b/>
                <w:bCs/>
              </w:rPr>
              <w:t>Staff</w:t>
            </w:r>
            <w:r w:rsidRPr="008112B3">
              <w:t xml:space="preserve"> with relevant expertise and experience to develop in consultation with the </w:t>
            </w:r>
            <w:r w:rsidRPr="008112B3">
              <w:rPr>
                <w:b/>
                <w:bCs/>
              </w:rPr>
              <w:t>Respondent</w:t>
            </w:r>
            <w:r w:rsidRPr="008112B3">
              <w:t xml:space="preserve"> a tailored support plan. </w:t>
            </w:r>
          </w:p>
          <w:p w14:paraId="4275FFC7" w14:textId="2E92EBA7" w:rsidR="008112B3" w:rsidRPr="008112B3" w:rsidRDefault="008112B3" w:rsidP="00DE22E7">
            <w:pPr>
              <w:spacing w:after="120"/>
            </w:pPr>
            <w:r w:rsidRPr="2CB1A554">
              <w:rPr>
                <w:i/>
                <w:iCs/>
              </w:rPr>
              <w:t>NB: The National Code includes detail on key considerations and content of the support plan including implementation of measures necessary to ensure the safety of the Discloser and where necessary discussing investigation and disciplinary processes.</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E251FB" w14:textId="1C898C00" w:rsidR="008112B3" w:rsidRPr="008112B3" w:rsidRDefault="008112B3" w:rsidP="00524090">
            <w:r w:rsidRPr="008112B3">
              <w:t xml:space="preserve">From </w:t>
            </w:r>
            <w:r w:rsidR="001B2A40">
              <w:t>the Initial Date</w:t>
            </w:r>
            <w:r w:rsidR="00CC1074">
              <w:t xml:space="preserve"> and ongoing</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5C6FD81C" w14:textId="77777777" w:rsidR="008112B3" w:rsidRPr="00372282" w:rsidRDefault="008112B3" w:rsidP="00372282">
            <w:pPr>
              <w:jc w:val="center"/>
              <w:rPr>
                <w:b/>
                <w:sz w:val="32"/>
                <w:szCs w:val="32"/>
              </w:rPr>
            </w:pPr>
            <w:r w:rsidRPr="00372282">
              <w:rPr>
                <w:b/>
                <w:sz w:val="32"/>
                <w:szCs w:val="32"/>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9C2806A" w14:textId="77777777" w:rsidR="008112B3" w:rsidRPr="00372282" w:rsidRDefault="008112B3" w:rsidP="00372282">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5C53EF8" w14:textId="77777777" w:rsidR="008112B3" w:rsidRPr="00372282" w:rsidRDefault="008112B3" w:rsidP="00372282">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B0D8F7A" w14:textId="77777777" w:rsidR="008112B3" w:rsidRPr="00372282" w:rsidRDefault="008112B3" w:rsidP="00372282">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12461DEE" w14:textId="77777777" w:rsidR="008112B3" w:rsidRPr="00372282" w:rsidRDefault="008112B3" w:rsidP="00372282">
            <w:pPr>
              <w:jc w:val="center"/>
              <w:rPr>
                <w:b/>
                <w:sz w:val="32"/>
                <w:szCs w:val="32"/>
              </w:rPr>
            </w:pPr>
            <w:r w:rsidRPr="00372282">
              <w:rPr>
                <w:b/>
                <w:sz w:val="32"/>
                <w:szCs w:val="32"/>
              </w:rPr>
              <w:t>X</w:t>
            </w:r>
          </w:p>
        </w:tc>
      </w:tr>
      <w:tr w:rsidR="008112B3" w:rsidRPr="008112B3" w14:paraId="2B479160" w14:textId="77777777" w:rsidTr="007E4125">
        <w:trPr>
          <w:gridAfter w:val="8"/>
          <w:wAfter w:w="5672" w:type="dxa"/>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3FD445" w14:textId="77777777" w:rsidR="008112B3" w:rsidRPr="008112B3" w:rsidRDefault="008112B3" w:rsidP="00524090">
            <w:r w:rsidRPr="008112B3">
              <w:t>4.8</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BF5520" w14:textId="77777777" w:rsidR="008112B3" w:rsidRPr="008112B3" w:rsidRDefault="008112B3" w:rsidP="00DE22E7">
            <w:pPr>
              <w:spacing w:after="120"/>
            </w:pPr>
            <w:r w:rsidRPr="008112B3">
              <w:t xml:space="preserve">A </w:t>
            </w:r>
            <w:r w:rsidRPr="008112B3">
              <w:rPr>
                <w:b/>
              </w:rPr>
              <w:t xml:space="preserve">Provider </w:t>
            </w:r>
            <w:r w:rsidRPr="008112B3">
              <w:t xml:space="preserve">must prohibit the same </w:t>
            </w:r>
            <w:r w:rsidRPr="008112B3">
              <w:rPr>
                <w:b/>
              </w:rPr>
              <w:t>Staff</w:t>
            </w:r>
            <w:r w:rsidRPr="008112B3">
              <w:t xml:space="preserve"> from being assigned to support both the </w:t>
            </w:r>
            <w:r w:rsidRPr="008112B3">
              <w:rPr>
                <w:b/>
              </w:rPr>
              <w:t>Discloser</w:t>
            </w:r>
            <w:r w:rsidRPr="008112B3">
              <w:t xml:space="preserve"> and the </w:t>
            </w:r>
            <w:r w:rsidRPr="008112B3">
              <w:rPr>
                <w:b/>
              </w:rPr>
              <w:t>Respondent</w:t>
            </w:r>
            <w:r w:rsidRPr="008112B3">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318258" w14:textId="3A7DC36C" w:rsidR="008112B3" w:rsidRPr="008112B3" w:rsidRDefault="008112B3" w:rsidP="00524090">
            <w:r w:rsidRPr="008112B3">
              <w:t xml:space="preserve">From </w:t>
            </w:r>
            <w:r w:rsidR="001B2A40">
              <w:t>the Initial Date</w:t>
            </w:r>
            <w:r w:rsidR="00D154D8">
              <w:t xml:space="preserve"> and ongoing</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1623C04" w14:textId="77777777" w:rsidR="008112B3" w:rsidRPr="00372282" w:rsidRDefault="008112B3" w:rsidP="00372282">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0A53B52" w14:textId="77777777" w:rsidR="008112B3" w:rsidRPr="00372282" w:rsidRDefault="008112B3" w:rsidP="00372282">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DE198C5" w14:textId="77777777" w:rsidR="008112B3" w:rsidRPr="00372282" w:rsidRDefault="008112B3" w:rsidP="00372282">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2AEB18F" w14:textId="77777777" w:rsidR="008112B3" w:rsidRPr="00372282" w:rsidRDefault="008112B3" w:rsidP="00372282">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02DE7553" w14:textId="77777777" w:rsidR="008112B3" w:rsidRPr="00372282" w:rsidRDefault="008112B3" w:rsidP="00372282">
            <w:pPr>
              <w:jc w:val="center"/>
              <w:rPr>
                <w:b/>
                <w:sz w:val="32"/>
                <w:szCs w:val="32"/>
              </w:rPr>
            </w:pPr>
            <w:r w:rsidRPr="00372282">
              <w:rPr>
                <w:b/>
                <w:sz w:val="32"/>
                <w:szCs w:val="32"/>
              </w:rPr>
              <w:t>X</w:t>
            </w:r>
          </w:p>
        </w:tc>
      </w:tr>
      <w:tr w:rsidR="008112B3" w:rsidRPr="008112B3" w14:paraId="7241C474" w14:textId="77777777" w:rsidTr="00133EB1">
        <w:trPr>
          <w:gridAfter w:val="8"/>
          <w:wAfter w:w="5672" w:type="dxa"/>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A0DE64" w14:textId="77777777" w:rsidR="008112B3" w:rsidRPr="008112B3" w:rsidRDefault="008112B3" w:rsidP="00524090">
            <w:r w:rsidRPr="008112B3">
              <w:t xml:space="preserve">4.9 </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80A8AC" w14:textId="77777777" w:rsidR="008112B3" w:rsidRPr="008112B3" w:rsidRDefault="008112B3" w:rsidP="00DE22E7">
            <w:pPr>
              <w:spacing w:after="120"/>
            </w:pPr>
            <w:r w:rsidRPr="008112B3">
              <w:t xml:space="preserve">A </w:t>
            </w:r>
            <w:r w:rsidRPr="008112B3">
              <w:rPr>
                <w:b/>
                <w:bCs/>
              </w:rPr>
              <w:t>Provider</w:t>
            </w:r>
            <w:r w:rsidRPr="008112B3">
              <w:t xml:space="preserve"> must monitor its support services and evaluate the effectiveness of those services at least once every three years. Monitoring and evaluation findings must inform future service delivery. The </w:t>
            </w:r>
            <w:r w:rsidRPr="008112B3">
              <w:rPr>
                <w:b/>
                <w:bCs/>
              </w:rPr>
              <w:t>Secretary</w:t>
            </w:r>
            <w:r w:rsidRPr="008112B3">
              <w:t xml:space="preserve"> may require a </w:t>
            </w:r>
            <w:r w:rsidRPr="008112B3">
              <w:rPr>
                <w:b/>
                <w:bCs/>
              </w:rPr>
              <w:t>Provider</w:t>
            </w:r>
            <w:r w:rsidRPr="008112B3">
              <w:t xml:space="preserve"> to report on how the monitoring and evaluation of its support services has informed future service delivery.</w:t>
            </w:r>
          </w:p>
          <w:p w14:paraId="4BD3C28C" w14:textId="77777777" w:rsidR="008112B3" w:rsidRPr="008112B3" w:rsidRDefault="008112B3" w:rsidP="00DE22E7">
            <w:pPr>
              <w:spacing w:after="120"/>
            </w:pPr>
            <w:r w:rsidRPr="008112B3">
              <w:rPr>
                <w:i/>
              </w:rPr>
              <w:t>NB: The National Code includes detail on the Provider’s responsibility to determine changes to support services in accordance with their duty of care to Students and Staff.</w:t>
            </w:r>
            <w:r w:rsidRPr="008112B3">
              <w:rPr>
                <w:i/>
                <w:iCs/>
              </w:rPr>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DB5CA3" w14:textId="75C1B696" w:rsidR="008112B3" w:rsidRPr="008112B3" w:rsidRDefault="008112B3" w:rsidP="00524090">
            <w:r w:rsidRPr="008112B3">
              <w:t xml:space="preserve">From </w:t>
            </w:r>
            <w:r w:rsidR="00D86F6D">
              <w:t>the Initial Date</w:t>
            </w:r>
            <w:r w:rsidRPr="008112B3">
              <w:t xml:space="preserve"> and </w:t>
            </w:r>
            <w:r w:rsidR="00392E36">
              <w:t xml:space="preserve">at least </w:t>
            </w:r>
            <w:r w:rsidRPr="008112B3">
              <w:t xml:space="preserve">every </w:t>
            </w:r>
            <w:r w:rsidR="00B62F8C">
              <w:t xml:space="preserve">three </w:t>
            </w:r>
            <w:r w:rsidRPr="008112B3">
              <w:t xml:space="preserve">years </w:t>
            </w:r>
            <w:r w:rsidR="00D86F6D">
              <w:t xml:space="preserve">thereafter </w:t>
            </w:r>
            <w:r w:rsidRPr="008112B3">
              <w:t xml:space="preserve">(reporting as </w:t>
            </w:r>
            <w:r w:rsidR="00D86F6D">
              <w:t>required</w:t>
            </w:r>
            <w:r w:rsidRPr="008112B3">
              <w:t>)</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B7DA2A6" w14:textId="77777777" w:rsidR="008112B3" w:rsidRPr="00372282" w:rsidRDefault="008112B3" w:rsidP="00372282">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DD56E15" w14:textId="77777777" w:rsidR="008112B3" w:rsidRPr="00372282" w:rsidRDefault="008112B3" w:rsidP="00372282">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FECE2D0" w14:textId="0D6B7F5E" w:rsidR="008112B3" w:rsidRPr="00372282" w:rsidRDefault="00826EAF" w:rsidP="00372282">
            <w:pPr>
              <w:jc w:val="center"/>
              <w:rPr>
                <w:b/>
                <w:sz w:val="32"/>
                <w:szCs w:val="32"/>
              </w:rPr>
            </w:pPr>
            <w:r w:rsidRPr="00372282">
              <w:rPr>
                <w:b/>
                <w:sz w:val="32"/>
                <w:szCs w:val="32"/>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7DC60E77" w14:textId="13D153F5" w:rsidR="008112B3" w:rsidRPr="00372282" w:rsidRDefault="008112B3" w:rsidP="00372282">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225E152" w14:textId="7001E594" w:rsidR="008112B3" w:rsidRPr="00372282" w:rsidRDefault="00826EAF" w:rsidP="00372282">
            <w:pPr>
              <w:jc w:val="center"/>
              <w:rPr>
                <w:b/>
                <w:sz w:val="32"/>
                <w:szCs w:val="32"/>
              </w:rPr>
            </w:pPr>
            <w:r w:rsidRPr="00372282">
              <w:rPr>
                <w:b/>
                <w:sz w:val="32"/>
                <w:szCs w:val="32"/>
              </w:rPr>
              <w:t>X</w:t>
            </w:r>
          </w:p>
        </w:tc>
      </w:tr>
      <w:tr w:rsidR="008112B3" w:rsidRPr="008112B3" w14:paraId="0A6B2846" w14:textId="77777777" w:rsidTr="00133EB1">
        <w:trPr>
          <w:gridAfter w:val="8"/>
          <w:wAfter w:w="5672" w:type="dxa"/>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1A82C9" w14:textId="77777777" w:rsidR="008112B3" w:rsidRPr="008112B3" w:rsidRDefault="008112B3" w:rsidP="00524090">
            <w:r w:rsidRPr="008112B3">
              <w:lastRenderedPageBreak/>
              <w:t>4.11</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18418B" w14:textId="77777777" w:rsidR="008112B3" w:rsidRPr="008112B3" w:rsidRDefault="008112B3" w:rsidP="00DE22E7">
            <w:pPr>
              <w:spacing w:after="120"/>
            </w:pPr>
            <w:r w:rsidRPr="008112B3">
              <w:t xml:space="preserve">The Secretary may require a </w:t>
            </w:r>
            <w:r w:rsidRPr="008112B3">
              <w:rPr>
                <w:b/>
                <w:bCs/>
              </w:rPr>
              <w:t>Provider</w:t>
            </w:r>
            <w:r w:rsidRPr="008112B3">
              <w:t xml:space="preserve"> to report on how it has complied with its obligations under this Standard in a manner and form to be prescribed by the </w:t>
            </w:r>
            <w:r w:rsidRPr="008112B3">
              <w:rPr>
                <w:b/>
                <w:bCs/>
              </w:rPr>
              <w:t>Secretary</w:t>
            </w:r>
            <w:r w:rsidRPr="008112B3">
              <w: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975A3E" w14:textId="238694BA" w:rsidR="008112B3" w:rsidRPr="008112B3" w:rsidRDefault="008112B3" w:rsidP="00524090">
            <w:r w:rsidRPr="008112B3">
              <w:t xml:space="preserve">As </w:t>
            </w:r>
            <w:r w:rsidR="00944318">
              <w:t>required</w:t>
            </w:r>
            <w:r w:rsidR="00944318" w:rsidRPr="008112B3">
              <w:t xml:space="preserve">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66DFA55" w14:textId="77777777" w:rsidR="008112B3" w:rsidRPr="008112B3" w:rsidRDefault="008112B3" w:rsidP="00524090">
            <w:pPr>
              <w:rPr>
                <w:b/>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4294161" w14:textId="77777777" w:rsidR="008112B3" w:rsidRPr="008112B3" w:rsidRDefault="008112B3" w:rsidP="00524090">
            <w:pPr>
              <w:rPr>
                <w:b/>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7DBE1069" w14:textId="77777777" w:rsidR="008112B3" w:rsidRPr="007E4125" w:rsidRDefault="008112B3" w:rsidP="007E4125">
            <w:pPr>
              <w:jc w:val="center"/>
              <w:rPr>
                <w:b/>
                <w:sz w:val="32"/>
                <w:szCs w:val="32"/>
              </w:rPr>
            </w:pPr>
            <w:r w:rsidRPr="007E4125">
              <w:rPr>
                <w:b/>
                <w:sz w:val="32"/>
                <w:szCs w:val="32"/>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F8874BE" w14:textId="77777777" w:rsidR="008112B3" w:rsidRPr="008112B3" w:rsidRDefault="008112B3" w:rsidP="00524090">
            <w:pPr>
              <w:rPr>
                <w:b/>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0F38CBE" w14:textId="77777777" w:rsidR="008112B3" w:rsidRPr="008112B3" w:rsidRDefault="008112B3" w:rsidP="00524090">
            <w:pPr>
              <w:rPr>
                <w:b/>
              </w:rPr>
            </w:pPr>
          </w:p>
        </w:tc>
      </w:tr>
      <w:tr w:rsidR="00280948" w:rsidRPr="008112B3" w14:paraId="72242C02" w14:textId="77777777" w:rsidTr="00133EB1">
        <w:trPr>
          <w:gridAfter w:val="8"/>
          <w:wAfter w:w="5672" w:type="dxa"/>
        </w:trPr>
        <w:tc>
          <w:tcPr>
            <w:tcW w:w="754" w:type="dxa"/>
            <w:tcBorders>
              <w:top w:val="single" w:sz="4" w:space="0" w:color="auto"/>
            </w:tcBorders>
            <w:tcMar>
              <w:top w:w="0" w:type="dxa"/>
              <w:left w:w="108" w:type="dxa"/>
              <w:bottom w:w="0" w:type="dxa"/>
              <w:right w:w="108" w:type="dxa"/>
            </w:tcMar>
          </w:tcPr>
          <w:p w14:paraId="5498FC8A" w14:textId="77777777" w:rsidR="00280948" w:rsidRPr="008112B3" w:rsidRDefault="00280948" w:rsidP="00524090"/>
        </w:tc>
        <w:tc>
          <w:tcPr>
            <w:tcW w:w="9039" w:type="dxa"/>
            <w:tcBorders>
              <w:top w:val="single" w:sz="4" w:space="0" w:color="auto"/>
            </w:tcBorders>
            <w:tcMar>
              <w:top w:w="0" w:type="dxa"/>
              <w:left w:w="108" w:type="dxa"/>
              <w:bottom w:w="0" w:type="dxa"/>
              <w:right w:w="108" w:type="dxa"/>
            </w:tcMar>
          </w:tcPr>
          <w:p w14:paraId="0C1D1699" w14:textId="77777777" w:rsidR="00280948" w:rsidRPr="008112B3" w:rsidRDefault="00280948" w:rsidP="00DE22E7">
            <w:pPr>
              <w:spacing w:after="120"/>
            </w:pPr>
          </w:p>
        </w:tc>
        <w:tc>
          <w:tcPr>
            <w:tcW w:w="2552" w:type="dxa"/>
            <w:tcBorders>
              <w:top w:val="single" w:sz="4" w:space="0" w:color="auto"/>
            </w:tcBorders>
            <w:tcMar>
              <w:top w:w="0" w:type="dxa"/>
              <w:left w:w="108" w:type="dxa"/>
              <w:bottom w:w="0" w:type="dxa"/>
              <w:right w:w="108" w:type="dxa"/>
            </w:tcMar>
          </w:tcPr>
          <w:p w14:paraId="52F8A49A" w14:textId="77777777" w:rsidR="00280948" w:rsidRPr="008112B3" w:rsidRDefault="00280948" w:rsidP="00524090"/>
        </w:tc>
        <w:tc>
          <w:tcPr>
            <w:tcW w:w="565" w:type="dxa"/>
            <w:tcBorders>
              <w:top w:val="single" w:sz="4" w:space="0" w:color="auto"/>
            </w:tcBorders>
            <w:tcMar>
              <w:top w:w="0" w:type="dxa"/>
              <w:left w:w="108" w:type="dxa"/>
              <w:bottom w:w="0" w:type="dxa"/>
              <w:right w:w="108" w:type="dxa"/>
            </w:tcMar>
            <w:vAlign w:val="center"/>
          </w:tcPr>
          <w:p w14:paraId="27CF8A8E" w14:textId="77777777" w:rsidR="00280948" w:rsidRPr="008112B3" w:rsidRDefault="00280948" w:rsidP="00524090">
            <w:pPr>
              <w:rPr>
                <w:b/>
              </w:rPr>
            </w:pPr>
          </w:p>
        </w:tc>
        <w:tc>
          <w:tcPr>
            <w:tcW w:w="567" w:type="dxa"/>
            <w:tcBorders>
              <w:top w:val="single" w:sz="4" w:space="0" w:color="auto"/>
            </w:tcBorders>
            <w:tcMar>
              <w:top w:w="0" w:type="dxa"/>
              <w:left w:w="108" w:type="dxa"/>
              <w:bottom w:w="0" w:type="dxa"/>
              <w:right w:w="108" w:type="dxa"/>
            </w:tcMar>
            <w:vAlign w:val="center"/>
          </w:tcPr>
          <w:p w14:paraId="60031E8F" w14:textId="77777777" w:rsidR="00280948" w:rsidRPr="008112B3" w:rsidRDefault="00280948" w:rsidP="00524090">
            <w:pPr>
              <w:rPr>
                <w:b/>
              </w:rPr>
            </w:pPr>
          </w:p>
        </w:tc>
        <w:tc>
          <w:tcPr>
            <w:tcW w:w="569" w:type="dxa"/>
            <w:tcBorders>
              <w:top w:val="single" w:sz="4" w:space="0" w:color="auto"/>
            </w:tcBorders>
            <w:tcMar>
              <w:top w:w="0" w:type="dxa"/>
              <w:left w:w="108" w:type="dxa"/>
              <w:bottom w:w="0" w:type="dxa"/>
              <w:right w:w="108" w:type="dxa"/>
            </w:tcMar>
            <w:vAlign w:val="center"/>
          </w:tcPr>
          <w:p w14:paraId="72B83DE5" w14:textId="77777777" w:rsidR="00280948" w:rsidRPr="007E4125" w:rsidRDefault="00280948" w:rsidP="007E4125">
            <w:pPr>
              <w:jc w:val="center"/>
              <w:rPr>
                <w:b/>
                <w:sz w:val="32"/>
                <w:szCs w:val="32"/>
              </w:rPr>
            </w:pPr>
          </w:p>
        </w:tc>
        <w:tc>
          <w:tcPr>
            <w:tcW w:w="425" w:type="dxa"/>
            <w:tcBorders>
              <w:top w:val="single" w:sz="4" w:space="0" w:color="auto"/>
            </w:tcBorders>
            <w:tcMar>
              <w:top w:w="0" w:type="dxa"/>
              <w:left w:w="108" w:type="dxa"/>
              <w:bottom w:w="0" w:type="dxa"/>
              <w:right w:w="108" w:type="dxa"/>
            </w:tcMar>
            <w:vAlign w:val="center"/>
          </w:tcPr>
          <w:p w14:paraId="212B7440" w14:textId="77777777" w:rsidR="00280948" w:rsidRPr="008112B3" w:rsidRDefault="00280948" w:rsidP="00524090">
            <w:pPr>
              <w:rPr>
                <w:b/>
              </w:rPr>
            </w:pPr>
          </w:p>
        </w:tc>
        <w:tc>
          <w:tcPr>
            <w:tcW w:w="709" w:type="dxa"/>
            <w:tcBorders>
              <w:top w:val="single" w:sz="4" w:space="0" w:color="auto"/>
            </w:tcBorders>
            <w:tcMar>
              <w:top w:w="0" w:type="dxa"/>
              <w:left w:w="108" w:type="dxa"/>
              <w:bottom w:w="0" w:type="dxa"/>
              <w:right w:w="108" w:type="dxa"/>
            </w:tcMar>
            <w:vAlign w:val="center"/>
          </w:tcPr>
          <w:p w14:paraId="1B17910C" w14:textId="77777777" w:rsidR="00280948" w:rsidRPr="008112B3" w:rsidRDefault="00280948" w:rsidP="00524090">
            <w:pPr>
              <w:rPr>
                <w:b/>
              </w:rPr>
            </w:pPr>
          </w:p>
        </w:tc>
      </w:tr>
      <w:tr w:rsidR="008112B3" w:rsidRPr="008112B3" w14:paraId="3AAD76B4" w14:textId="77777777" w:rsidTr="00133EB1">
        <w:trPr>
          <w:gridAfter w:val="8"/>
          <w:wAfter w:w="5672" w:type="dxa"/>
        </w:trPr>
        <w:tc>
          <w:tcPr>
            <w:tcW w:w="754" w:type="dxa"/>
            <w:tcBorders>
              <w:left w:val="nil"/>
              <w:bottom w:val="single" w:sz="4" w:space="0" w:color="auto"/>
              <w:right w:val="nil"/>
            </w:tcBorders>
            <w:tcMar>
              <w:top w:w="0" w:type="dxa"/>
              <w:left w:w="108" w:type="dxa"/>
              <w:bottom w:w="0" w:type="dxa"/>
              <w:right w:w="108" w:type="dxa"/>
            </w:tcMar>
          </w:tcPr>
          <w:p w14:paraId="1E75349D" w14:textId="77777777" w:rsidR="008112B3" w:rsidRPr="008112B3" w:rsidRDefault="008112B3" w:rsidP="00524090"/>
        </w:tc>
        <w:tc>
          <w:tcPr>
            <w:tcW w:w="9039" w:type="dxa"/>
            <w:tcBorders>
              <w:left w:val="nil"/>
              <w:bottom w:val="single" w:sz="4" w:space="0" w:color="auto"/>
              <w:right w:val="nil"/>
            </w:tcBorders>
            <w:tcMar>
              <w:top w:w="0" w:type="dxa"/>
              <w:left w:w="108" w:type="dxa"/>
              <w:bottom w:w="0" w:type="dxa"/>
              <w:right w:w="108" w:type="dxa"/>
            </w:tcMar>
          </w:tcPr>
          <w:p w14:paraId="11702269" w14:textId="77777777" w:rsidR="008112B3" w:rsidRPr="008112B3" w:rsidRDefault="008112B3" w:rsidP="00524090"/>
        </w:tc>
        <w:tc>
          <w:tcPr>
            <w:tcW w:w="2552" w:type="dxa"/>
            <w:tcBorders>
              <w:left w:val="nil"/>
              <w:bottom w:val="single" w:sz="4" w:space="0" w:color="auto"/>
              <w:right w:val="single" w:sz="4" w:space="0" w:color="auto"/>
            </w:tcBorders>
            <w:tcMar>
              <w:top w:w="0" w:type="dxa"/>
              <w:left w:w="108" w:type="dxa"/>
              <w:bottom w:w="0" w:type="dxa"/>
              <w:right w:w="108" w:type="dxa"/>
            </w:tcMar>
          </w:tcPr>
          <w:p w14:paraId="15E4D28A" w14:textId="77777777" w:rsidR="008112B3" w:rsidRPr="008112B3" w:rsidRDefault="008112B3" w:rsidP="00524090"/>
        </w:tc>
        <w:tc>
          <w:tcPr>
            <w:tcW w:w="2835" w:type="dxa"/>
            <w:gridSpan w:val="5"/>
            <w:tcBorders>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066DBB0C" w14:textId="77777777" w:rsidR="008112B3" w:rsidRPr="008112B3" w:rsidRDefault="008112B3" w:rsidP="00524090">
            <w:pPr>
              <w:rPr>
                <w:b/>
                <w:bCs/>
              </w:rPr>
            </w:pPr>
            <w:r w:rsidRPr="008112B3">
              <w:rPr>
                <w:b/>
                <w:bCs/>
              </w:rPr>
              <w:t xml:space="preserve">Area of focus </w:t>
            </w:r>
          </w:p>
        </w:tc>
      </w:tr>
      <w:tr w:rsidR="008112B3" w:rsidRPr="008112B3" w14:paraId="0D756117" w14:textId="77777777" w:rsidTr="007D0713">
        <w:trPr>
          <w:gridAfter w:val="8"/>
          <w:wAfter w:w="5672" w:type="dxa"/>
          <w:trHeight w:val="1201"/>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BAFABD6" w14:textId="77777777" w:rsidR="008112B3" w:rsidRPr="007D0713" w:rsidRDefault="008112B3" w:rsidP="00524090">
            <w:pPr>
              <w:rPr>
                <w:b/>
              </w:rPr>
            </w:pPr>
            <w:r w:rsidRPr="007D0713">
              <w:rPr>
                <w:b/>
              </w:rPr>
              <w:t>Ref.</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D5FFF6C" w14:textId="77777777" w:rsidR="008112B3" w:rsidRPr="007D0713" w:rsidRDefault="008112B3" w:rsidP="00524090">
            <w:pPr>
              <w:rPr>
                <w:b/>
              </w:rPr>
            </w:pPr>
            <w:r w:rsidRPr="007D0713">
              <w:rPr>
                <w:b/>
              </w:rPr>
              <w:t>Specific Requirement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6D67B12" w14:textId="77777777" w:rsidR="008112B3" w:rsidRPr="007D0713" w:rsidRDefault="008112B3" w:rsidP="00524090">
            <w:pPr>
              <w:rPr>
                <w:b/>
              </w:rPr>
            </w:pPr>
            <w:r w:rsidRPr="007D0713">
              <w:rPr>
                <w:b/>
              </w:rPr>
              <w:t>Timing and cadence</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5D3C3B27" w14:textId="77777777" w:rsidR="008112B3" w:rsidRPr="008112B3" w:rsidRDefault="008112B3" w:rsidP="00524090">
            <w:pPr>
              <w:rPr>
                <w:b/>
                <w:bCs/>
              </w:rPr>
            </w:pPr>
            <w:r w:rsidRPr="008112B3">
              <w:rPr>
                <w:b/>
                <w:bCs/>
              </w:rPr>
              <w:t>Capability</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6AB62A4C" w14:textId="77777777" w:rsidR="008112B3" w:rsidRPr="008112B3" w:rsidRDefault="008112B3" w:rsidP="00524090">
            <w:pPr>
              <w:rPr>
                <w:b/>
                <w:bCs/>
              </w:rPr>
            </w:pPr>
            <w:r w:rsidRPr="008112B3">
              <w:rPr>
                <w:b/>
                <w:bCs/>
              </w:rPr>
              <w:t>Governance</w:t>
            </w: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69818B5C" w14:textId="77777777" w:rsidR="008112B3" w:rsidRPr="008112B3" w:rsidRDefault="008112B3" w:rsidP="00524090">
            <w:pPr>
              <w:rPr>
                <w:b/>
                <w:bCs/>
              </w:rPr>
            </w:pPr>
            <w:r w:rsidRPr="008112B3">
              <w:rPr>
                <w:b/>
                <w:bCs/>
              </w:rPr>
              <w:t>Reporting</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29CC3BE3" w14:textId="77777777" w:rsidR="008112B3" w:rsidRPr="008112B3" w:rsidRDefault="008112B3" w:rsidP="00524090">
            <w:pPr>
              <w:rPr>
                <w:b/>
                <w:bCs/>
              </w:rPr>
            </w:pPr>
            <w:r w:rsidRPr="008112B3">
              <w:rPr>
                <w:b/>
                <w:bCs/>
              </w:rPr>
              <w:t>Data</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1B2249C9" w14:textId="77777777" w:rsidR="008112B3" w:rsidRPr="008112B3" w:rsidRDefault="008112B3" w:rsidP="00524090">
            <w:pPr>
              <w:rPr>
                <w:b/>
                <w:bCs/>
              </w:rPr>
            </w:pPr>
            <w:r w:rsidRPr="008112B3">
              <w:rPr>
                <w:b/>
                <w:bCs/>
              </w:rPr>
              <w:t>Processes and systems</w:t>
            </w:r>
          </w:p>
        </w:tc>
      </w:tr>
      <w:tr w:rsidR="008112B3" w:rsidRPr="008112B3" w14:paraId="6E84F497" w14:textId="77777777" w:rsidTr="007E4125">
        <w:trPr>
          <w:gridAfter w:val="8"/>
          <w:wAfter w:w="5672" w:type="dxa"/>
        </w:trPr>
        <w:tc>
          <w:tcPr>
            <w:tcW w:w="15180" w:type="dxa"/>
            <w:gridSpan w:val="8"/>
            <w:tcBorders>
              <w:top w:val="single" w:sz="4" w:space="0" w:color="auto"/>
              <w:left w:val="single" w:sz="4" w:space="0" w:color="auto"/>
              <w:bottom w:val="single" w:sz="4" w:space="0" w:color="auto"/>
              <w:right w:val="single" w:sz="4" w:space="0" w:color="auto"/>
            </w:tcBorders>
            <w:shd w:val="clear" w:color="auto" w:fill="48255F"/>
            <w:tcMar>
              <w:top w:w="0" w:type="dxa"/>
              <w:left w:w="108" w:type="dxa"/>
              <w:bottom w:w="0" w:type="dxa"/>
              <w:right w:w="108" w:type="dxa"/>
            </w:tcMar>
            <w:hideMark/>
          </w:tcPr>
          <w:p w14:paraId="6B1A6441" w14:textId="77777777" w:rsidR="008112B3" w:rsidRPr="00655D0D" w:rsidRDefault="008112B3" w:rsidP="00524090">
            <w:pPr>
              <w:rPr>
                <w:rStyle w:val="Strong"/>
              </w:rPr>
            </w:pPr>
            <w:r w:rsidRPr="00655D0D">
              <w:rPr>
                <w:rStyle w:val="Strong"/>
              </w:rPr>
              <w:t xml:space="preserve">STANDARD 5: SAFE PROCESSES – ALL PROCESSES ARE SAFE AND TIMELY   </w:t>
            </w:r>
          </w:p>
        </w:tc>
      </w:tr>
      <w:tr w:rsidR="008112B3" w:rsidRPr="008112B3" w14:paraId="77AD1EE7" w14:textId="77777777" w:rsidTr="007E4125">
        <w:trPr>
          <w:gridAfter w:val="8"/>
          <w:wAfter w:w="5672" w:type="dxa"/>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A8431B" w14:textId="77777777" w:rsidR="008112B3" w:rsidRPr="008112B3" w:rsidRDefault="008112B3" w:rsidP="00524090">
            <w:r w:rsidRPr="008112B3">
              <w:t xml:space="preserve">5.1 </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B23658F" w14:textId="77777777" w:rsidR="008112B3" w:rsidRPr="008112B3" w:rsidRDefault="008112B3" w:rsidP="00DE22E7">
            <w:pPr>
              <w:spacing w:after="120"/>
            </w:pPr>
            <w:r w:rsidRPr="008112B3">
              <w:t xml:space="preserve">A </w:t>
            </w:r>
            <w:r w:rsidRPr="008112B3">
              <w:rPr>
                <w:b/>
              </w:rPr>
              <w:t>Provider</w:t>
            </w:r>
            <w:r w:rsidRPr="008112B3">
              <w:t xml:space="preserve"> must make clear where and how: </w:t>
            </w:r>
          </w:p>
          <w:p w14:paraId="57FBF770" w14:textId="61CA71F2" w:rsidR="008112B3" w:rsidRPr="008112B3" w:rsidRDefault="008112B3" w:rsidP="00DE22E7">
            <w:pPr>
              <w:spacing w:after="120"/>
            </w:pPr>
            <w:r>
              <w:t>a)</w:t>
            </w:r>
            <w:r w:rsidRPr="2CB1A554">
              <w:rPr>
                <w:b/>
                <w:bCs/>
              </w:rPr>
              <w:t xml:space="preserve"> Students</w:t>
            </w:r>
            <w:r>
              <w:t xml:space="preserve"> and </w:t>
            </w:r>
            <w:r w:rsidRPr="2CB1A554">
              <w:rPr>
                <w:b/>
                <w:bCs/>
              </w:rPr>
              <w:t>Staff</w:t>
            </w:r>
            <w:r>
              <w:t xml:space="preserve"> can make a </w:t>
            </w:r>
            <w:r w:rsidRPr="2CB1A554">
              <w:rPr>
                <w:b/>
                <w:bCs/>
              </w:rPr>
              <w:t xml:space="preserve">Disclosure </w:t>
            </w:r>
            <w:r>
              <w:t xml:space="preserve">or a </w:t>
            </w:r>
            <w:r w:rsidRPr="2CB1A554">
              <w:rPr>
                <w:b/>
                <w:bCs/>
              </w:rPr>
              <w:t>Formal Report</w:t>
            </w:r>
            <w:r>
              <w:t xml:space="preserve"> of </w:t>
            </w:r>
            <w:r w:rsidRPr="2CB1A554">
              <w:rPr>
                <w:b/>
                <w:bCs/>
              </w:rPr>
              <w:t>Gender</w:t>
            </w:r>
            <w:r w:rsidR="634CE596" w:rsidRPr="2CB1A554">
              <w:rPr>
                <w:b/>
                <w:bCs/>
              </w:rPr>
              <w:t>-</w:t>
            </w:r>
            <w:r w:rsidRPr="2CB1A554">
              <w:rPr>
                <w:b/>
                <w:bCs/>
              </w:rPr>
              <w:t>based Violence</w:t>
            </w:r>
            <w:r>
              <w:t>; and</w:t>
            </w:r>
          </w:p>
          <w:p w14:paraId="78507161" w14:textId="3ADE9305" w:rsidR="008112B3" w:rsidRPr="008112B3" w:rsidRDefault="008112B3" w:rsidP="00DE22E7">
            <w:pPr>
              <w:spacing w:after="120"/>
            </w:pPr>
            <w:r>
              <w:t xml:space="preserve">b) third parties can make a </w:t>
            </w:r>
            <w:r w:rsidRPr="2CB1A554">
              <w:rPr>
                <w:b/>
                <w:bCs/>
              </w:rPr>
              <w:t>Disclosure</w:t>
            </w:r>
            <w:r>
              <w:t xml:space="preserve"> or a </w:t>
            </w:r>
            <w:r w:rsidRPr="2CB1A554">
              <w:rPr>
                <w:b/>
                <w:bCs/>
              </w:rPr>
              <w:t>Formal Report</w:t>
            </w:r>
            <w:r>
              <w:t xml:space="preserve"> of </w:t>
            </w:r>
            <w:r w:rsidRPr="2CB1A554">
              <w:rPr>
                <w:b/>
                <w:bCs/>
              </w:rPr>
              <w:t>Gender</w:t>
            </w:r>
            <w:r w:rsidR="3AE08B5B" w:rsidRPr="2CB1A554">
              <w:rPr>
                <w:b/>
                <w:bCs/>
              </w:rPr>
              <w:t>-</w:t>
            </w:r>
            <w:r w:rsidRPr="2CB1A554">
              <w:rPr>
                <w:b/>
                <w:bCs/>
              </w:rPr>
              <w:t>based Violence</w:t>
            </w:r>
            <w:r>
              <w:t xml:space="preserve"> where the </w:t>
            </w:r>
            <w:r w:rsidRPr="2CB1A554">
              <w:rPr>
                <w:b/>
                <w:bCs/>
              </w:rPr>
              <w:t>Respondent</w:t>
            </w:r>
            <w:r>
              <w:t xml:space="preserve"> is a </w:t>
            </w:r>
            <w:proofErr w:type="gramStart"/>
            <w:r w:rsidRPr="2CB1A554">
              <w:rPr>
                <w:b/>
                <w:bCs/>
              </w:rPr>
              <w:t>Student</w:t>
            </w:r>
            <w:proofErr w:type="gramEnd"/>
            <w:r>
              <w:t xml:space="preserve"> or </w:t>
            </w:r>
            <w:r w:rsidRPr="2CB1A554">
              <w:rPr>
                <w:b/>
                <w:bCs/>
              </w:rPr>
              <w:t>Staff</w:t>
            </w:r>
            <w:r>
              <w:t xml:space="preserve"> of the </w:t>
            </w:r>
            <w:r w:rsidRPr="2CB1A554">
              <w:rPr>
                <w:b/>
                <w:bCs/>
              </w:rPr>
              <w:t>Provider</w:t>
            </w:r>
            <w:r>
              <w:t xml:space="preserve">. </w:t>
            </w:r>
          </w:p>
          <w:p w14:paraId="411A9372" w14:textId="77777777" w:rsidR="008112B3" w:rsidRPr="008112B3" w:rsidRDefault="008112B3" w:rsidP="00DE22E7">
            <w:pPr>
              <w:spacing w:after="120"/>
            </w:pPr>
            <w:r w:rsidRPr="008112B3">
              <w:rPr>
                <w:i/>
              </w:rPr>
              <w:t xml:space="preserve">NB: The National Code includes detail on the Provider’s responsibility to ensure multiple channels to facilitate disclosures and formal reports including anonymous channels and actions to identify trends and risks to inform future action to prevent Gender-based Violence.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9743F9" w14:textId="2B7DAE2B" w:rsidR="008112B3" w:rsidRPr="008112B3" w:rsidRDefault="008112B3" w:rsidP="00524090">
            <w:r w:rsidRPr="008112B3">
              <w:t xml:space="preserve">By </w:t>
            </w:r>
            <w:r w:rsidR="00B452B9">
              <w:t>the Initial Date</w:t>
            </w:r>
            <w:r w:rsidRPr="008112B3">
              <w:t xml:space="preserve"> and ongoing</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4D176CD7" w14:textId="0F8F8044" w:rsidR="008112B3" w:rsidRPr="007E4125" w:rsidRDefault="008112B3" w:rsidP="007E4125">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6B75597" w14:textId="77777777" w:rsidR="008112B3" w:rsidRPr="007E4125" w:rsidRDefault="008112B3" w:rsidP="007E4125">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25B4166" w14:textId="77777777" w:rsidR="008112B3" w:rsidRPr="007E4125" w:rsidRDefault="008112B3" w:rsidP="007E4125">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1E89ABA" w14:textId="77777777" w:rsidR="008112B3" w:rsidRPr="007E4125" w:rsidRDefault="008112B3" w:rsidP="007E4125">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384C602" w14:textId="051A160F" w:rsidR="008112B3" w:rsidRPr="007E4125" w:rsidRDefault="00FA3067" w:rsidP="007E4125">
            <w:pPr>
              <w:jc w:val="center"/>
              <w:rPr>
                <w:b/>
                <w:sz w:val="32"/>
                <w:szCs w:val="32"/>
              </w:rPr>
            </w:pPr>
            <w:r w:rsidRPr="007E4125">
              <w:rPr>
                <w:b/>
                <w:sz w:val="32"/>
                <w:szCs w:val="32"/>
              </w:rPr>
              <w:t>X</w:t>
            </w:r>
          </w:p>
        </w:tc>
      </w:tr>
      <w:tr w:rsidR="008112B3" w:rsidRPr="008112B3" w14:paraId="0AF6524E" w14:textId="77777777" w:rsidTr="007E4125">
        <w:trPr>
          <w:gridAfter w:val="8"/>
          <w:wAfter w:w="5672" w:type="dxa"/>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877E80" w14:textId="77777777" w:rsidR="008112B3" w:rsidRPr="008112B3" w:rsidRDefault="008112B3" w:rsidP="00524090">
            <w:r w:rsidRPr="008112B3">
              <w:t>5.5</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0CD4A2" w14:textId="77777777" w:rsidR="008112B3" w:rsidRPr="008112B3" w:rsidRDefault="008112B3" w:rsidP="00DE22E7">
            <w:pPr>
              <w:spacing w:after="120"/>
            </w:pPr>
            <w:r w:rsidRPr="008112B3">
              <w:t xml:space="preserve">A </w:t>
            </w:r>
            <w:r w:rsidRPr="008112B3">
              <w:rPr>
                <w:b/>
              </w:rPr>
              <w:t>Provider</w:t>
            </w:r>
            <w:r w:rsidRPr="008112B3">
              <w:t xml:space="preserve"> must have multiple pathways for </w:t>
            </w:r>
            <w:r w:rsidRPr="008112B3">
              <w:rPr>
                <w:b/>
              </w:rPr>
              <w:t>Disclosures</w:t>
            </w:r>
            <w:r w:rsidRPr="008112B3">
              <w:t xml:space="preserve"> to be managed, to ensure a proportionate and safe response to the </w:t>
            </w:r>
            <w:r w:rsidRPr="008112B3">
              <w:rPr>
                <w:b/>
              </w:rPr>
              <w:t>Disclosure</w:t>
            </w:r>
            <w:r w:rsidRPr="008112B3">
              <w:t xml:space="preserve">. </w:t>
            </w:r>
          </w:p>
          <w:p w14:paraId="6B462669" w14:textId="5DF7A050" w:rsidR="008112B3" w:rsidRPr="008112B3" w:rsidRDefault="008112B3" w:rsidP="00DE22E7">
            <w:pPr>
              <w:spacing w:after="120"/>
              <w:rPr>
                <w:i/>
              </w:rPr>
            </w:pPr>
            <w:r w:rsidRPr="008112B3">
              <w:rPr>
                <w:i/>
              </w:rPr>
              <w:t xml:space="preserve">NB: The National Code includes detail on the Provider’s responsibility to ensure multiple pathways to manage disclosures including by agreement with both discloser and respondent; implementation of safety measures without an investigation; decision not to proceed; investigation. It is further stipulated that the provider must have regard </w:t>
            </w:r>
            <w:r w:rsidR="00E26FA8">
              <w:rPr>
                <w:i/>
              </w:rPr>
              <w:t>to</w:t>
            </w:r>
            <w:r w:rsidRPr="008112B3">
              <w:rPr>
                <w:i/>
              </w:rPr>
              <w:t xml:space="preserve"> the wishes of the discloser in determining which pathway to employ to manage the disclosure.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3C88FF" w14:textId="489BEFA9" w:rsidR="008112B3" w:rsidRPr="008112B3" w:rsidRDefault="008112B3" w:rsidP="00524090">
            <w:r w:rsidRPr="008112B3">
              <w:t xml:space="preserve">By </w:t>
            </w:r>
            <w:r w:rsidR="00EA5524">
              <w:t xml:space="preserve">the Initial Date </w:t>
            </w:r>
            <w:r w:rsidR="00E26FA8">
              <w:t xml:space="preserve">and ongoing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6608C69" w14:textId="77777777" w:rsidR="008112B3" w:rsidRPr="007E4125" w:rsidRDefault="008112B3" w:rsidP="007E4125">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0F74FAB" w14:textId="77777777" w:rsidR="008112B3" w:rsidRPr="007E4125" w:rsidRDefault="008112B3" w:rsidP="007E4125">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AB81D72" w14:textId="77777777" w:rsidR="008112B3" w:rsidRPr="007E4125" w:rsidRDefault="008112B3" w:rsidP="007E4125">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44EA5D0" w14:textId="77777777" w:rsidR="008112B3" w:rsidRPr="007E4125" w:rsidRDefault="008112B3" w:rsidP="007E4125">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583BD8BB" w14:textId="77777777" w:rsidR="008112B3" w:rsidRPr="007E4125" w:rsidRDefault="008112B3" w:rsidP="007E4125">
            <w:pPr>
              <w:jc w:val="center"/>
              <w:rPr>
                <w:b/>
                <w:sz w:val="32"/>
                <w:szCs w:val="32"/>
              </w:rPr>
            </w:pPr>
            <w:r w:rsidRPr="007E4125">
              <w:rPr>
                <w:b/>
                <w:sz w:val="32"/>
                <w:szCs w:val="32"/>
              </w:rPr>
              <w:t>X</w:t>
            </w:r>
          </w:p>
        </w:tc>
      </w:tr>
      <w:tr w:rsidR="008112B3" w:rsidRPr="008112B3" w14:paraId="42D971CD" w14:textId="77777777" w:rsidTr="007E4125">
        <w:trPr>
          <w:gridAfter w:val="8"/>
          <w:wAfter w:w="5672" w:type="dxa"/>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C0420B" w14:textId="77777777" w:rsidR="008112B3" w:rsidRPr="008112B3" w:rsidRDefault="008112B3" w:rsidP="00524090">
            <w:r w:rsidRPr="008112B3">
              <w:t>5.7</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B27351" w14:textId="77777777" w:rsidR="008112B3" w:rsidRPr="008112B3" w:rsidRDefault="008112B3" w:rsidP="00DE22E7">
            <w:pPr>
              <w:spacing w:after="120"/>
            </w:pPr>
            <w:r w:rsidRPr="008112B3">
              <w:t xml:space="preserve">A </w:t>
            </w:r>
            <w:r w:rsidRPr="008112B3">
              <w:rPr>
                <w:b/>
              </w:rPr>
              <w:t xml:space="preserve">Provider </w:t>
            </w:r>
            <w:r w:rsidRPr="008112B3">
              <w:t xml:space="preserve">must seek and consider the views of a </w:t>
            </w:r>
            <w:r w:rsidRPr="008112B3">
              <w:rPr>
                <w:b/>
              </w:rPr>
              <w:t>Discloser</w:t>
            </w:r>
            <w:r w:rsidRPr="008112B3">
              <w:t xml:space="preserve"> before progressing a </w:t>
            </w:r>
            <w:r w:rsidRPr="008112B3">
              <w:rPr>
                <w:b/>
              </w:rPr>
              <w:t>Disclosure</w:t>
            </w:r>
            <w:r w:rsidRPr="008112B3">
              <w:t xml:space="preserve"> (as opposed to a </w:t>
            </w:r>
            <w:r w:rsidRPr="008112B3">
              <w:rPr>
                <w:b/>
              </w:rPr>
              <w:t>Formal Report</w:t>
            </w:r>
            <w:r w:rsidRPr="008112B3">
              <w:t xml:space="preserve">) to investigation. A </w:t>
            </w:r>
            <w:r w:rsidRPr="008112B3">
              <w:rPr>
                <w:b/>
              </w:rPr>
              <w:t>Provider</w:t>
            </w:r>
            <w:r w:rsidRPr="008112B3">
              <w:t xml:space="preserve"> must inform a </w:t>
            </w:r>
            <w:r w:rsidRPr="008112B3">
              <w:rPr>
                <w:b/>
              </w:rPr>
              <w:t xml:space="preserve">Discloser </w:t>
            </w:r>
            <w:r w:rsidRPr="008112B3">
              <w:t xml:space="preserve">that the </w:t>
            </w:r>
            <w:r w:rsidRPr="008112B3">
              <w:rPr>
                <w:b/>
              </w:rPr>
              <w:t>Provider</w:t>
            </w:r>
            <w:r w:rsidRPr="008112B3">
              <w:t xml:space="preserve"> may investigate a </w:t>
            </w:r>
            <w:r w:rsidRPr="008112B3">
              <w:rPr>
                <w:b/>
              </w:rPr>
              <w:t>Disclosure</w:t>
            </w:r>
            <w:r w:rsidRPr="008112B3">
              <w:t xml:space="preserve"> where it is necessary for the safety and wellbeing of </w:t>
            </w:r>
            <w:r w:rsidRPr="008112B3">
              <w:rPr>
                <w:b/>
              </w:rPr>
              <w:t xml:space="preserve">Students </w:t>
            </w:r>
            <w:r w:rsidRPr="008112B3">
              <w:t xml:space="preserve">and/or </w:t>
            </w:r>
            <w:r w:rsidRPr="008112B3">
              <w:rPr>
                <w:b/>
              </w:rPr>
              <w:t>Staff</w:t>
            </w:r>
            <w:r w:rsidRPr="008112B3">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FEC3AB" w14:textId="16195436" w:rsidR="008112B3" w:rsidRPr="008112B3" w:rsidRDefault="008112B3" w:rsidP="00524090">
            <w:r w:rsidRPr="008112B3">
              <w:t xml:space="preserve">From </w:t>
            </w:r>
            <w:r w:rsidR="00325A2D">
              <w:t>the Initial Date</w:t>
            </w:r>
            <w:r w:rsidR="00E26FA8">
              <w:t xml:space="preserve"> and ongoing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8A53769" w14:textId="77777777" w:rsidR="008112B3" w:rsidRPr="007E4125" w:rsidRDefault="008112B3" w:rsidP="007E4125">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54B8B24" w14:textId="77777777" w:rsidR="008112B3" w:rsidRPr="007E4125" w:rsidRDefault="008112B3" w:rsidP="007E4125">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E25AF4F" w14:textId="77777777" w:rsidR="008112B3" w:rsidRPr="007E4125" w:rsidRDefault="008112B3" w:rsidP="007E4125">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6C32B42" w14:textId="77777777" w:rsidR="008112B3" w:rsidRPr="007E4125" w:rsidRDefault="008112B3" w:rsidP="007E4125">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385F80B5" w14:textId="77777777" w:rsidR="008112B3" w:rsidRPr="007E4125" w:rsidRDefault="008112B3" w:rsidP="007E4125">
            <w:pPr>
              <w:jc w:val="center"/>
              <w:rPr>
                <w:b/>
                <w:sz w:val="32"/>
                <w:szCs w:val="32"/>
              </w:rPr>
            </w:pPr>
            <w:r w:rsidRPr="007E4125">
              <w:rPr>
                <w:b/>
                <w:sz w:val="32"/>
                <w:szCs w:val="32"/>
              </w:rPr>
              <w:t>X</w:t>
            </w:r>
          </w:p>
        </w:tc>
      </w:tr>
      <w:tr w:rsidR="008112B3" w:rsidRPr="008112B3" w14:paraId="24BDE274" w14:textId="77777777" w:rsidTr="007E4125">
        <w:trPr>
          <w:gridAfter w:val="8"/>
          <w:wAfter w:w="5672" w:type="dxa"/>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F9B58" w14:textId="77777777" w:rsidR="008112B3" w:rsidRPr="008112B3" w:rsidRDefault="008112B3" w:rsidP="00524090">
            <w:r w:rsidRPr="008112B3">
              <w:lastRenderedPageBreak/>
              <w:t>5.8</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273897" w14:textId="3EE97D07" w:rsidR="008112B3" w:rsidRPr="008112B3" w:rsidRDefault="008112B3" w:rsidP="00DE22E7">
            <w:pPr>
              <w:spacing w:after="120"/>
            </w:pPr>
            <w:r>
              <w:t xml:space="preserve">A </w:t>
            </w:r>
            <w:r w:rsidRPr="2CB1A554">
              <w:rPr>
                <w:b/>
                <w:bCs/>
              </w:rPr>
              <w:t xml:space="preserve">Provider </w:t>
            </w:r>
            <w:r>
              <w:t xml:space="preserve">must investigate all </w:t>
            </w:r>
            <w:r w:rsidRPr="2CB1A554">
              <w:rPr>
                <w:b/>
                <w:bCs/>
              </w:rPr>
              <w:t>Formal Reports</w:t>
            </w:r>
            <w:r>
              <w:t xml:space="preserve"> where the </w:t>
            </w:r>
            <w:r w:rsidRPr="2CB1A554">
              <w:rPr>
                <w:b/>
                <w:bCs/>
              </w:rPr>
              <w:t>Respondent</w:t>
            </w:r>
            <w:r>
              <w:t xml:space="preserve"> is a </w:t>
            </w:r>
            <w:proofErr w:type="gramStart"/>
            <w:r w:rsidRPr="2CB1A554">
              <w:rPr>
                <w:b/>
                <w:bCs/>
              </w:rPr>
              <w:t>Student</w:t>
            </w:r>
            <w:proofErr w:type="gramEnd"/>
            <w:r>
              <w:t xml:space="preserve"> or </w:t>
            </w:r>
            <w:r w:rsidRPr="2CB1A554">
              <w:rPr>
                <w:b/>
                <w:bCs/>
              </w:rPr>
              <w:t>Staff</w:t>
            </w:r>
            <w:r>
              <w:t xml:space="preserve"> of the </w:t>
            </w:r>
            <w:r w:rsidRPr="2CB1A554">
              <w:rPr>
                <w:b/>
                <w:bCs/>
              </w:rPr>
              <w:t>Provider</w:t>
            </w:r>
            <w:r>
              <w:t xml:space="preserve">, regardless of the context in which the </w:t>
            </w:r>
            <w:r w:rsidRPr="2CB1A554">
              <w:rPr>
                <w:b/>
                <w:bCs/>
              </w:rPr>
              <w:t>Gender</w:t>
            </w:r>
            <w:r w:rsidR="56E39FDE" w:rsidRPr="2CB1A554">
              <w:rPr>
                <w:b/>
                <w:bCs/>
              </w:rPr>
              <w:t>-</w:t>
            </w:r>
            <w:r w:rsidRPr="2CB1A554">
              <w:rPr>
                <w:b/>
                <w:bCs/>
              </w:rPr>
              <w:t>based Violence</w:t>
            </w:r>
            <w:r>
              <w:t xml:space="preserve"> occurs.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B2C67C" w14:textId="41C3B096" w:rsidR="008112B3" w:rsidRPr="008112B3" w:rsidRDefault="008112B3" w:rsidP="00524090">
            <w:r w:rsidRPr="008112B3">
              <w:t xml:space="preserve">From </w:t>
            </w:r>
            <w:r w:rsidR="00812CB8">
              <w:t>the Initial Date</w:t>
            </w:r>
            <w:r w:rsidR="00E26FA8">
              <w:t xml:space="preserve"> and ongoing</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1753D6B" w14:textId="77777777" w:rsidR="008112B3" w:rsidRPr="007E4125" w:rsidRDefault="008112B3" w:rsidP="007E4125">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9C1F874" w14:textId="77777777" w:rsidR="008112B3" w:rsidRPr="007E4125" w:rsidRDefault="008112B3" w:rsidP="007E4125">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1655807" w14:textId="77777777" w:rsidR="008112B3" w:rsidRPr="007E4125" w:rsidRDefault="008112B3" w:rsidP="007E4125">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7EECEE0" w14:textId="77777777" w:rsidR="008112B3" w:rsidRPr="007E4125" w:rsidRDefault="008112B3" w:rsidP="007E4125">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3F83220B" w14:textId="77777777" w:rsidR="008112B3" w:rsidRPr="007E4125" w:rsidRDefault="008112B3" w:rsidP="007E4125">
            <w:pPr>
              <w:jc w:val="center"/>
              <w:rPr>
                <w:b/>
                <w:sz w:val="32"/>
                <w:szCs w:val="32"/>
              </w:rPr>
            </w:pPr>
            <w:r w:rsidRPr="007E4125">
              <w:rPr>
                <w:b/>
                <w:sz w:val="32"/>
                <w:szCs w:val="32"/>
              </w:rPr>
              <w:t>X</w:t>
            </w:r>
          </w:p>
        </w:tc>
      </w:tr>
      <w:tr w:rsidR="008112B3" w:rsidRPr="008112B3" w14:paraId="63D96294" w14:textId="77777777" w:rsidTr="007E4125">
        <w:trPr>
          <w:gridAfter w:val="8"/>
          <w:wAfter w:w="5672" w:type="dxa"/>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A5498B" w14:textId="77777777" w:rsidR="008112B3" w:rsidRPr="008112B3" w:rsidRDefault="008112B3" w:rsidP="00524090">
            <w:r w:rsidRPr="008112B3">
              <w:t>5.9</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032554" w14:textId="77777777" w:rsidR="008112B3" w:rsidRPr="008112B3" w:rsidRDefault="008112B3" w:rsidP="00DE22E7">
            <w:pPr>
              <w:spacing w:after="120"/>
            </w:pPr>
            <w:r w:rsidRPr="008112B3">
              <w:t xml:space="preserve">In relation to a </w:t>
            </w:r>
            <w:r w:rsidRPr="008112B3">
              <w:rPr>
                <w:b/>
              </w:rPr>
              <w:t>Formal Report</w:t>
            </w:r>
            <w:r w:rsidRPr="008112B3">
              <w:t xml:space="preserve"> which has no connection to the </w:t>
            </w:r>
            <w:r w:rsidRPr="008112B3">
              <w:rPr>
                <w:b/>
              </w:rPr>
              <w:t xml:space="preserve">Provider </w:t>
            </w:r>
            <w:r w:rsidRPr="008112B3">
              <w:t xml:space="preserve">other than the status of the </w:t>
            </w:r>
            <w:r w:rsidRPr="008112B3">
              <w:rPr>
                <w:b/>
              </w:rPr>
              <w:t xml:space="preserve">Respondent </w:t>
            </w:r>
            <w:r w:rsidRPr="008112B3">
              <w:t>as a</w:t>
            </w:r>
            <w:r w:rsidRPr="008112B3">
              <w:rPr>
                <w:b/>
              </w:rPr>
              <w:t xml:space="preserve"> Student </w:t>
            </w:r>
            <w:r w:rsidRPr="008112B3">
              <w:t>or</w:t>
            </w:r>
            <w:r w:rsidRPr="008112B3">
              <w:rPr>
                <w:b/>
              </w:rPr>
              <w:t xml:space="preserve"> Staff</w:t>
            </w:r>
            <w:r w:rsidRPr="008112B3">
              <w:t xml:space="preserve">, a </w:t>
            </w:r>
            <w:r w:rsidRPr="008112B3">
              <w:rPr>
                <w:b/>
              </w:rPr>
              <w:t xml:space="preserve">Provider </w:t>
            </w:r>
            <w:r w:rsidRPr="008112B3">
              <w:t xml:space="preserve">must consider the safety and wellbeing of </w:t>
            </w:r>
            <w:r w:rsidRPr="008112B3">
              <w:rPr>
                <w:b/>
              </w:rPr>
              <w:t>Students</w:t>
            </w:r>
            <w:r w:rsidRPr="008112B3">
              <w:t xml:space="preserve"> and </w:t>
            </w:r>
            <w:r w:rsidRPr="008112B3">
              <w:rPr>
                <w:b/>
              </w:rPr>
              <w:t>Staff</w:t>
            </w:r>
            <w:r w:rsidRPr="008112B3">
              <w:t xml:space="preserve"> in determining the scope of investigation of a </w:t>
            </w:r>
            <w:r w:rsidRPr="008112B3">
              <w:rPr>
                <w:b/>
              </w:rPr>
              <w:t>Formal Report</w:t>
            </w:r>
            <w:r w:rsidRPr="008112B3">
              <w: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BBB418" w14:textId="23048B25" w:rsidR="008112B3" w:rsidRPr="008112B3" w:rsidRDefault="008112B3" w:rsidP="00524090">
            <w:r w:rsidRPr="008112B3">
              <w:t xml:space="preserve">From </w:t>
            </w:r>
            <w:r w:rsidR="00812CB8">
              <w:t>the Initial Date</w:t>
            </w:r>
            <w:r w:rsidR="00FE5DC8">
              <w:t xml:space="preserve"> and ongoing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1F8FFD8" w14:textId="77777777" w:rsidR="008112B3" w:rsidRPr="007E4125" w:rsidRDefault="008112B3" w:rsidP="007E4125">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87BD683" w14:textId="77777777" w:rsidR="008112B3" w:rsidRPr="007E4125" w:rsidRDefault="008112B3" w:rsidP="007E4125">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1E13FA7" w14:textId="77777777" w:rsidR="008112B3" w:rsidRPr="007E4125" w:rsidRDefault="008112B3" w:rsidP="007E4125">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95397E6" w14:textId="77777777" w:rsidR="008112B3" w:rsidRPr="007E4125" w:rsidRDefault="008112B3" w:rsidP="007E4125">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56F72F2B" w14:textId="77777777" w:rsidR="008112B3" w:rsidRPr="007E4125" w:rsidRDefault="008112B3" w:rsidP="007E4125">
            <w:pPr>
              <w:jc w:val="center"/>
              <w:rPr>
                <w:b/>
                <w:sz w:val="32"/>
                <w:szCs w:val="32"/>
              </w:rPr>
            </w:pPr>
            <w:r w:rsidRPr="007E4125">
              <w:rPr>
                <w:b/>
                <w:sz w:val="32"/>
                <w:szCs w:val="32"/>
              </w:rPr>
              <w:t>X</w:t>
            </w:r>
          </w:p>
        </w:tc>
      </w:tr>
      <w:tr w:rsidR="008112B3" w:rsidRPr="008112B3" w14:paraId="61227270" w14:textId="77777777" w:rsidTr="007E4125">
        <w:trPr>
          <w:gridAfter w:val="8"/>
          <w:wAfter w:w="5672" w:type="dxa"/>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A7BF6E" w14:textId="77777777" w:rsidR="008112B3" w:rsidRPr="008112B3" w:rsidRDefault="008112B3" w:rsidP="00524090">
            <w:r w:rsidRPr="008112B3">
              <w:t>5.10</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679583" w14:textId="77777777" w:rsidR="008112B3" w:rsidRPr="008112B3" w:rsidRDefault="008112B3" w:rsidP="00DE22E7">
            <w:pPr>
              <w:spacing w:after="120"/>
            </w:pPr>
            <w:r w:rsidRPr="008112B3">
              <w:t xml:space="preserve">A </w:t>
            </w:r>
            <w:r w:rsidRPr="008112B3">
              <w:rPr>
                <w:b/>
              </w:rPr>
              <w:t xml:space="preserve">Provider </w:t>
            </w:r>
            <w:r w:rsidRPr="008112B3">
              <w:t xml:space="preserve">must notify the </w:t>
            </w:r>
            <w:r w:rsidRPr="008112B3">
              <w:rPr>
                <w:b/>
              </w:rPr>
              <w:t>Discloser</w:t>
            </w:r>
            <w:r w:rsidRPr="008112B3">
              <w:t xml:space="preserve"> and </w:t>
            </w:r>
            <w:r w:rsidRPr="008112B3">
              <w:rPr>
                <w:b/>
              </w:rPr>
              <w:t>Respondent</w:t>
            </w:r>
            <w:r w:rsidRPr="008112B3">
              <w:t xml:space="preserve"> in writing if an investigation will be commenced. The notification must be made to the </w:t>
            </w:r>
            <w:r w:rsidRPr="008112B3">
              <w:rPr>
                <w:b/>
              </w:rPr>
              <w:t>Discloser</w:t>
            </w:r>
            <w:r w:rsidRPr="008112B3">
              <w:t xml:space="preserve"> and </w:t>
            </w:r>
            <w:r w:rsidRPr="008112B3">
              <w:rPr>
                <w:b/>
              </w:rPr>
              <w:t>Respondent</w:t>
            </w:r>
            <w:r w:rsidRPr="008112B3">
              <w:t xml:space="preserve"> on the same day, and the </w:t>
            </w:r>
            <w:r w:rsidRPr="008112B3">
              <w:rPr>
                <w:b/>
              </w:rPr>
              <w:t>Discloser</w:t>
            </w:r>
            <w:r w:rsidRPr="008112B3">
              <w:t xml:space="preserve"> must be notified first.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DF7F0F" w14:textId="3756ADF6" w:rsidR="008112B3" w:rsidRPr="008112B3" w:rsidRDefault="008112B3" w:rsidP="00524090">
            <w:r w:rsidRPr="008112B3">
              <w:t xml:space="preserve">From </w:t>
            </w:r>
            <w:r w:rsidR="00812CB8">
              <w:t>the Initial Date</w:t>
            </w:r>
            <w:r w:rsidR="00FE5DC8">
              <w:t xml:space="preserve"> and ongoing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01A2C55" w14:textId="77777777" w:rsidR="008112B3" w:rsidRPr="007E4125" w:rsidRDefault="008112B3" w:rsidP="007E4125">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723701A" w14:textId="77777777" w:rsidR="008112B3" w:rsidRPr="007E4125" w:rsidRDefault="008112B3" w:rsidP="007E4125">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5906A44" w14:textId="77777777" w:rsidR="008112B3" w:rsidRPr="007E4125" w:rsidRDefault="008112B3" w:rsidP="007E4125">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0497DDB" w14:textId="77777777" w:rsidR="008112B3" w:rsidRPr="007E4125" w:rsidRDefault="008112B3" w:rsidP="007E4125">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7E6E1B83" w14:textId="77777777" w:rsidR="008112B3" w:rsidRPr="007E4125" w:rsidRDefault="008112B3" w:rsidP="007E4125">
            <w:pPr>
              <w:jc w:val="center"/>
              <w:rPr>
                <w:b/>
                <w:sz w:val="32"/>
                <w:szCs w:val="32"/>
              </w:rPr>
            </w:pPr>
            <w:r w:rsidRPr="007E4125">
              <w:rPr>
                <w:b/>
                <w:sz w:val="32"/>
                <w:szCs w:val="32"/>
              </w:rPr>
              <w:t>X</w:t>
            </w:r>
          </w:p>
        </w:tc>
      </w:tr>
      <w:tr w:rsidR="008112B3" w:rsidRPr="008112B3" w14:paraId="4627DA40" w14:textId="77777777" w:rsidTr="007E4125">
        <w:trPr>
          <w:gridAfter w:val="8"/>
          <w:wAfter w:w="5672" w:type="dxa"/>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8D2AA7" w14:textId="77777777" w:rsidR="008112B3" w:rsidRPr="008112B3" w:rsidRDefault="008112B3" w:rsidP="00524090">
            <w:r w:rsidRPr="008112B3">
              <w:t>5.11</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9F4BA" w14:textId="412B07FC" w:rsidR="008112B3" w:rsidRPr="00FE5DC8" w:rsidRDefault="008112B3" w:rsidP="00DE22E7">
            <w:pPr>
              <w:spacing w:after="120"/>
              <w:rPr>
                <w:bCs/>
              </w:rPr>
            </w:pPr>
            <w:r w:rsidRPr="008112B3">
              <w:t xml:space="preserve">A </w:t>
            </w:r>
            <w:r w:rsidRPr="008112B3">
              <w:rPr>
                <w:b/>
              </w:rPr>
              <w:t xml:space="preserve">Provider </w:t>
            </w:r>
            <w:r w:rsidRPr="008112B3">
              <w:t xml:space="preserve">must ensure all parties, (including the </w:t>
            </w:r>
            <w:r w:rsidRPr="008112B3">
              <w:rPr>
                <w:b/>
              </w:rPr>
              <w:t xml:space="preserve">Discloser </w:t>
            </w:r>
            <w:r w:rsidRPr="008112B3">
              <w:t xml:space="preserve">and </w:t>
            </w:r>
            <w:r w:rsidRPr="008112B3">
              <w:rPr>
                <w:b/>
              </w:rPr>
              <w:t>Respondent</w:t>
            </w:r>
            <w:r w:rsidRPr="008112B3">
              <w:t>),</w:t>
            </w:r>
            <w:r w:rsidRPr="008112B3">
              <w:rPr>
                <w:b/>
              </w:rPr>
              <w:t xml:space="preserve"> </w:t>
            </w:r>
            <w:proofErr w:type="gramStart"/>
            <w:r w:rsidRPr="008112B3">
              <w:t>have the opportunity to</w:t>
            </w:r>
            <w:proofErr w:type="gramEnd"/>
            <w:r w:rsidRPr="008112B3">
              <w:t xml:space="preserve"> be accompanied by a support person when they are asked about the matters which are the subject of the </w:t>
            </w:r>
            <w:r w:rsidRPr="008112B3">
              <w:rPr>
                <w:b/>
              </w:rPr>
              <w:t>Disclosure</w:t>
            </w:r>
            <w:r w:rsidRPr="008112B3">
              <w:t xml:space="preserve"> or </w:t>
            </w:r>
            <w:r w:rsidRPr="008112B3">
              <w:rPr>
                <w:b/>
              </w:rPr>
              <w:t>Formal Report</w:t>
            </w:r>
            <w:r w:rsidR="00FE5DC8">
              <w:rPr>
                <w:bCs/>
              </w:rPr>
              <w: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1E55EB" w14:textId="612F0025" w:rsidR="008112B3" w:rsidRPr="008112B3" w:rsidRDefault="008112B3" w:rsidP="00524090">
            <w:r w:rsidRPr="008112B3">
              <w:t xml:space="preserve">From </w:t>
            </w:r>
            <w:r w:rsidR="00CA63D2">
              <w:t>the Initial Date</w:t>
            </w:r>
            <w:r w:rsidR="00FE5DC8">
              <w:t xml:space="preserve"> and ongoing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4D2EF40" w14:textId="77777777" w:rsidR="008112B3" w:rsidRPr="007E4125" w:rsidRDefault="008112B3" w:rsidP="007E4125">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B31485D" w14:textId="77777777" w:rsidR="008112B3" w:rsidRPr="007E4125" w:rsidRDefault="008112B3" w:rsidP="007E4125">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CB1D0A7" w14:textId="77777777" w:rsidR="008112B3" w:rsidRPr="007E4125" w:rsidRDefault="008112B3" w:rsidP="007E4125">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C9E91B3" w14:textId="77777777" w:rsidR="008112B3" w:rsidRPr="007E4125" w:rsidRDefault="008112B3" w:rsidP="007E4125">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7A4863C1" w14:textId="77777777" w:rsidR="008112B3" w:rsidRPr="007E4125" w:rsidRDefault="008112B3" w:rsidP="007E4125">
            <w:pPr>
              <w:jc w:val="center"/>
              <w:rPr>
                <w:b/>
                <w:sz w:val="32"/>
                <w:szCs w:val="32"/>
              </w:rPr>
            </w:pPr>
            <w:r w:rsidRPr="007E4125">
              <w:rPr>
                <w:b/>
                <w:sz w:val="32"/>
                <w:szCs w:val="32"/>
              </w:rPr>
              <w:t>X</w:t>
            </w:r>
          </w:p>
        </w:tc>
      </w:tr>
      <w:tr w:rsidR="008112B3" w:rsidRPr="008112B3" w14:paraId="29EAE8F9" w14:textId="77777777" w:rsidTr="007E4125">
        <w:trPr>
          <w:gridAfter w:val="8"/>
          <w:wAfter w:w="5672" w:type="dxa"/>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EC9BE6" w14:textId="77777777" w:rsidR="008112B3" w:rsidRPr="008112B3" w:rsidRDefault="008112B3" w:rsidP="00524090">
            <w:r w:rsidRPr="008112B3">
              <w:t>5.12</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258771" w14:textId="28166BC2" w:rsidR="008112B3" w:rsidRPr="008112B3" w:rsidRDefault="008112B3" w:rsidP="00DE22E7">
            <w:pPr>
              <w:spacing w:after="120"/>
            </w:pPr>
            <w:r>
              <w:t xml:space="preserve">A </w:t>
            </w:r>
            <w:r w:rsidRPr="2CB1A554">
              <w:rPr>
                <w:b/>
                <w:bCs/>
              </w:rPr>
              <w:t>Provider</w:t>
            </w:r>
            <w:r>
              <w:t xml:space="preserve"> must not require a </w:t>
            </w:r>
            <w:r w:rsidRPr="2CB1A554">
              <w:rPr>
                <w:b/>
                <w:bCs/>
              </w:rPr>
              <w:t>Discloser</w:t>
            </w:r>
            <w:r>
              <w:t xml:space="preserve"> or </w:t>
            </w:r>
            <w:r w:rsidRPr="2CB1A554">
              <w:rPr>
                <w:b/>
                <w:bCs/>
              </w:rPr>
              <w:t>Respondent</w:t>
            </w:r>
            <w:r>
              <w:t xml:space="preserve"> to provide physical evidence relating to an alleged incident of </w:t>
            </w:r>
            <w:r w:rsidRPr="2CB1A554">
              <w:rPr>
                <w:b/>
                <w:bCs/>
              </w:rPr>
              <w:t>Gender</w:t>
            </w:r>
            <w:r w:rsidR="1460995B" w:rsidRPr="2CB1A554">
              <w:rPr>
                <w:b/>
                <w:bCs/>
              </w:rPr>
              <w:t>-</w:t>
            </w:r>
            <w:r w:rsidRPr="2CB1A554">
              <w:rPr>
                <w:b/>
                <w:bCs/>
              </w:rPr>
              <w:t>based Violence</w:t>
            </w:r>
            <w:r>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C9DF6E" w14:textId="31D2B178" w:rsidR="008112B3" w:rsidRPr="008112B3" w:rsidRDefault="008112B3" w:rsidP="00524090">
            <w:r w:rsidRPr="008112B3">
              <w:t xml:space="preserve">From </w:t>
            </w:r>
            <w:r w:rsidR="00CA63D2">
              <w:t>the Initial Date</w:t>
            </w:r>
            <w:r w:rsidR="00FE5DC8">
              <w:t xml:space="preserve"> and ongoing</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28D6697" w14:textId="77777777" w:rsidR="008112B3" w:rsidRPr="007E4125" w:rsidRDefault="008112B3" w:rsidP="007E4125">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5A56A5A" w14:textId="77777777" w:rsidR="008112B3" w:rsidRPr="007E4125" w:rsidRDefault="008112B3" w:rsidP="007E4125">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5EDBAB7" w14:textId="77777777" w:rsidR="008112B3" w:rsidRPr="007E4125" w:rsidRDefault="008112B3" w:rsidP="007E4125">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C20DBE7" w14:textId="77777777" w:rsidR="008112B3" w:rsidRPr="007E4125" w:rsidRDefault="008112B3" w:rsidP="007E4125">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13A1313F" w14:textId="77777777" w:rsidR="008112B3" w:rsidRPr="007E4125" w:rsidRDefault="008112B3" w:rsidP="007E4125">
            <w:pPr>
              <w:jc w:val="center"/>
              <w:rPr>
                <w:b/>
                <w:sz w:val="32"/>
                <w:szCs w:val="32"/>
              </w:rPr>
            </w:pPr>
            <w:r w:rsidRPr="007E4125">
              <w:rPr>
                <w:b/>
                <w:sz w:val="32"/>
                <w:szCs w:val="32"/>
              </w:rPr>
              <w:t>X</w:t>
            </w:r>
          </w:p>
        </w:tc>
      </w:tr>
      <w:tr w:rsidR="008112B3" w:rsidRPr="008112B3" w14:paraId="34DCA04B" w14:textId="77777777" w:rsidTr="007E4125">
        <w:trPr>
          <w:gridAfter w:val="8"/>
          <w:wAfter w:w="5672" w:type="dxa"/>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F85CF1" w14:textId="77777777" w:rsidR="008112B3" w:rsidRPr="008112B3" w:rsidRDefault="008112B3" w:rsidP="00524090">
            <w:r w:rsidRPr="008112B3">
              <w:t>5.13</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126423" w14:textId="77777777" w:rsidR="008112B3" w:rsidRPr="008112B3" w:rsidRDefault="008112B3" w:rsidP="00DE22E7">
            <w:pPr>
              <w:spacing w:after="120"/>
            </w:pPr>
            <w:r w:rsidRPr="008112B3">
              <w:t xml:space="preserve">A </w:t>
            </w:r>
            <w:r w:rsidRPr="008112B3">
              <w:rPr>
                <w:b/>
              </w:rPr>
              <w:t>Provider</w:t>
            </w:r>
            <w:r w:rsidRPr="008112B3">
              <w:t xml:space="preserve"> must have multiple pathways for </w:t>
            </w:r>
            <w:r w:rsidRPr="008112B3">
              <w:rPr>
                <w:b/>
              </w:rPr>
              <w:t>Disclosures</w:t>
            </w:r>
            <w:r w:rsidRPr="008112B3">
              <w:t xml:space="preserve"> or </w:t>
            </w:r>
            <w:r w:rsidRPr="008112B3">
              <w:rPr>
                <w:b/>
              </w:rPr>
              <w:t xml:space="preserve">Formal Reports </w:t>
            </w:r>
            <w:r w:rsidRPr="008112B3">
              <w:t xml:space="preserve">to be managed following investigation, to ensure a proportionate and safe response.  </w:t>
            </w:r>
          </w:p>
          <w:p w14:paraId="0E9883B6" w14:textId="4FA9053C" w:rsidR="008112B3" w:rsidRPr="008112B3" w:rsidRDefault="008112B3" w:rsidP="00DE22E7">
            <w:pPr>
              <w:spacing w:after="120"/>
              <w:rPr>
                <w:i/>
              </w:rPr>
            </w:pPr>
            <w:r w:rsidRPr="008112B3">
              <w:rPr>
                <w:i/>
              </w:rPr>
              <w:t>NB: The National Code includes detail on the Provider’s responsibility to ensure multiple pathways to manage disclosures including, by agreement with both discloser and respondent; through implementation of safety measures without an investigation; a decision not to proceed</w:t>
            </w:r>
            <w:r w:rsidR="00B30D39">
              <w:rPr>
                <w:i/>
              </w:rPr>
              <w:t>;</w:t>
            </w:r>
            <w:r w:rsidRPr="008112B3">
              <w:rPr>
                <w:i/>
              </w:rPr>
              <w:t xml:space="preserve"> or through investigation. The National Code further stipulates that unless a discloser requests otherwise, a provider must notify the discloser in writing once the investigation is concluded of the outcome of the investigation, including if a disciplinary process will be commenced, on the same day but prior to the respondent being notified.</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018D4D" w14:textId="41344314" w:rsidR="008112B3" w:rsidRPr="008112B3" w:rsidRDefault="008112B3" w:rsidP="00524090">
            <w:r w:rsidRPr="008112B3">
              <w:t xml:space="preserve">From </w:t>
            </w:r>
            <w:r w:rsidR="00CA63D2">
              <w:t xml:space="preserve">the Initial Date </w:t>
            </w:r>
            <w:r w:rsidR="00FE5DC8">
              <w:t>and ongoing</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2966E95" w14:textId="77777777" w:rsidR="008112B3" w:rsidRPr="007E4125" w:rsidRDefault="008112B3" w:rsidP="007E4125">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01D1907" w14:textId="77777777" w:rsidR="008112B3" w:rsidRPr="007E4125" w:rsidRDefault="008112B3" w:rsidP="007E4125">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75605A7" w14:textId="77777777" w:rsidR="008112B3" w:rsidRPr="007E4125" w:rsidRDefault="008112B3" w:rsidP="007E4125">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A237E8F" w14:textId="77777777" w:rsidR="008112B3" w:rsidRPr="007E4125" w:rsidRDefault="008112B3" w:rsidP="007E4125">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0EBAF1D8" w14:textId="77777777" w:rsidR="008112B3" w:rsidRPr="007E4125" w:rsidRDefault="008112B3" w:rsidP="007E4125">
            <w:pPr>
              <w:jc w:val="center"/>
              <w:rPr>
                <w:b/>
                <w:sz w:val="32"/>
                <w:szCs w:val="32"/>
              </w:rPr>
            </w:pPr>
            <w:r w:rsidRPr="007E4125">
              <w:rPr>
                <w:b/>
                <w:sz w:val="32"/>
                <w:szCs w:val="32"/>
              </w:rPr>
              <w:t>X</w:t>
            </w:r>
          </w:p>
        </w:tc>
      </w:tr>
      <w:tr w:rsidR="008112B3" w:rsidRPr="008112B3" w14:paraId="154C7435" w14:textId="77777777" w:rsidTr="007E4125">
        <w:trPr>
          <w:gridAfter w:val="8"/>
          <w:wAfter w:w="5672" w:type="dxa"/>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FE3943" w14:textId="77777777" w:rsidR="008112B3" w:rsidRPr="008112B3" w:rsidRDefault="008112B3" w:rsidP="00524090">
            <w:r w:rsidRPr="008112B3">
              <w:t>5.15</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E774EA" w14:textId="77777777" w:rsidR="008112B3" w:rsidRPr="008112B3" w:rsidRDefault="008112B3" w:rsidP="00DE22E7">
            <w:pPr>
              <w:spacing w:after="120"/>
            </w:pPr>
            <w:r w:rsidRPr="008112B3">
              <w:t>A</w:t>
            </w:r>
            <w:r w:rsidRPr="008112B3">
              <w:rPr>
                <w:b/>
              </w:rPr>
              <w:t xml:space="preserve"> Provider </w:t>
            </w:r>
            <w:r w:rsidRPr="008112B3">
              <w:t>must ensure their</w:t>
            </w:r>
            <w:r w:rsidRPr="008112B3">
              <w:rPr>
                <w:b/>
              </w:rPr>
              <w:t xml:space="preserve"> Procedures </w:t>
            </w:r>
            <w:r w:rsidRPr="008112B3">
              <w:t xml:space="preserve">are designed to allow </w:t>
            </w:r>
            <w:r w:rsidRPr="008112B3">
              <w:rPr>
                <w:b/>
              </w:rPr>
              <w:t>Formal Reports</w:t>
            </w:r>
            <w:r w:rsidRPr="008112B3">
              <w:t xml:space="preserve"> to be finalised within 45 business days, including finalisation of a disciplinary process.</w:t>
            </w:r>
          </w:p>
          <w:p w14:paraId="4F7D09FA" w14:textId="77777777" w:rsidR="008112B3" w:rsidRPr="008112B3" w:rsidRDefault="008112B3" w:rsidP="00DE22E7">
            <w:pPr>
              <w:spacing w:after="120"/>
            </w:pPr>
            <w:r w:rsidRPr="008112B3">
              <w:rPr>
                <w:i/>
              </w:rPr>
              <w:t xml:space="preserve">NB: The National Code includes detail on the Provider’s obligation to comply with timeframes and requirements in relation to any extensions.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F494EA" w14:textId="0BA86E97" w:rsidR="008112B3" w:rsidRPr="008112B3" w:rsidRDefault="008112B3" w:rsidP="00524090">
            <w:r w:rsidRPr="008112B3">
              <w:t xml:space="preserve">By </w:t>
            </w:r>
            <w:r w:rsidR="00CA63D2">
              <w:t>the Initial Date</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401875C" w14:textId="77777777" w:rsidR="008112B3" w:rsidRPr="007E4125" w:rsidRDefault="008112B3" w:rsidP="007E4125">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9B2B0A9" w14:textId="77777777" w:rsidR="008112B3" w:rsidRPr="007E4125" w:rsidRDefault="008112B3" w:rsidP="007E4125">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7300DE0" w14:textId="77777777" w:rsidR="008112B3" w:rsidRPr="007E4125" w:rsidRDefault="008112B3" w:rsidP="007E4125">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99112FC" w14:textId="77777777" w:rsidR="008112B3" w:rsidRPr="007E4125" w:rsidRDefault="008112B3" w:rsidP="007E4125">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6D920165" w14:textId="77777777" w:rsidR="008112B3" w:rsidRPr="007E4125" w:rsidRDefault="008112B3" w:rsidP="007E4125">
            <w:pPr>
              <w:jc w:val="center"/>
              <w:rPr>
                <w:b/>
                <w:sz w:val="32"/>
                <w:szCs w:val="32"/>
              </w:rPr>
            </w:pPr>
            <w:r w:rsidRPr="007E4125">
              <w:rPr>
                <w:b/>
                <w:sz w:val="32"/>
                <w:szCs w:val="32"/>
              </w:rPr>
              <w:t>X</w:t>
            </w:r>
          </w:p>
        </w:tc>
      </w:tr>
      <w:tr w:rsidR="008112B3" w:rsidRPr="008112B3" w14:paraId="266C0B21" w14:textId="77777777" w:rsidTr="007E4125">
        <w:trPr>
          <w:gridAfter w:val="8"/>
          <w:wAfter w:w="5672" w:type="dxa"/>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12DA1D" w14:textId="77777777" w:rsidR="008112B3" w:rsidRPr="008112B3" w:rsidRDefault="008112B3" w:rsidP="00524090">
            <w:r w:rsidRPr="008112B3">
              <w:t>5.18</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46619A" w14:textId="77777777" w:rsidR="008112B3" w:rsidRPr="008112B3" w:rsidRDefault="008112B3" w:rsidP="00DE22E7">
            <w:pPr>
              <w:spacing w:after="120"/>
            </w:pPr>
            <w:r w:rsidRPr="008112B3">
              <w:t xml:space="preserve">A </w:t>
            </w:r>
            <w:r w:rsidRPr="008112B3">
              <w:rPr>
                <w:b/>
              </w:rPr>
              <w:t xml:space="preserve">Provider </w:t>
            </w:r>
            <w:r w:rsidRPr="008112B3">
              <w:t xml:space="preserve">must provide </w:t>
            </w:r>
            <w:r w:rsidRPr="008112B3">
              <w:rPr>
                <w:b/>
              </w:rPr>
              <w:t>Respondents</w:t>
            </w:r>
            <w:r w:rsidRPr="008112B3">
              <w:t xml:space="preserve"> </w:t>
            </w:r>
            <w:r w:rsidRPr="008112B3">
              <w:rPr>
                <w:b/>
              </w:rPr>
              <w:t xml:space="preserve">Procedural Fairness </w:t>
            </w:r>
            <w:r w:rsidRPr="008112B3">
              <w:t xml:space="preserve">in the disciplinary process.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B2D56" w14:textId="57A75D10" w:rsidR="008112B3" w:rsidRPr="008112B3" w:rsidRDefault="00C44306" w:rsidP="00524090">
            <w:r>
              <w:t xml:space="preserve">From </w:t>
            </w:r>
            <w:r w:rsidR="006C3CC7">
              <w:t>the Initial Date</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BA6EE4C" w14:textId="77777777" w:rsidR="008112B3" w:rsidRPr="007E4125" w:rsidRDefault="008112B3" w:rsidP="007E4125">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E1099F9" w14:textId="77777777" w:rsidR="008112B3" w:rsidRPr="007E4125" w:rsidRDefault="008112B3" w:rsidP="007E4125">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DEFC06C" w14:textId="77777777" w:rsidR="008112B3" w:rsidRPr="007E4125" w:rsidRDefault="008112B3" w:rsidP="007E4125">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1B5B658" w14:textId="77777777" w:rsidR="008112B3" w:rsidRPr="007E4125" w:rsidRDefault="008112B3" w:rsidP="007E4125">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03210FE9" w14:textId="77777777" w:rsidR="008112B3" w:rsidRPr="007E4125" w:rsidRDefault="008112B3" w:rsidP="007E4125">
            <w:pPr>
              <w:jc w:val="center"/>
              <w:rPr>
                <w:b/>
                <w:sz w:val="32"/>
                <w:szCs w:val="32"/>
              </w:rPr>
            </w:pPr>
            <w:r w:rsidRPr="007E4125">
              <w:rPr>
                <w:b/>
                <w:sz w:val="32"/>
                <w:szCs w:val="32"/>
              </w:rPr>
              <w:t>X</w:t>
            </w:r>
          </w:p>
        </w:tc>
      </w:tr>
      <w:tr w:rsidR="008112B3" w:rsidRPr="008112B3" w14:paraId="64BE922C" w14:textId="77777777" w:rsidTr="007E4125">
        <w:trPr>
          <w:gridAfter w:val="8"/>
          <w:wAfter w:w="5672" w:type="dxa"/>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F3AE49" w14:textId="77777777" w:rsidR="008112B3" w:rsidRPr="008112B3" w:rsidRDefault="008112B3" w:rsidP="00524090">
            <w:r w:rsidRPr="008112B3">
              <w:lastRenderedPageBreak/>
              <w:t>5.19</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71E0F7" w14:textId="77777777" w:rsidR="008112B3" w:rsidRPr="008112B3" w:rsidRDefault="008112B3" w:rsidP="00DE22E7">
            <w:pPr>
              <w:spacing w:after="120"/>
            </w:pPr>
            <w:r w:rsidRPr="008112B3">
              <w:t xml:space="preserve">A </w:t>
            </w:r>
            <w:r w:rsidRPr="008112B3">
              <w:rPr>
                <w:b/>
              </w:rPr>
              <w:t>Provider</w:t>
            </w:r>
            <w:r w:rsidRPr="008112B3">
              <w:t xml:space="preserve"> must update </w:t>
            </w:r>
            <w:r w:rsidRPr="008112B3">
              <w:rPr>
                <w:b/>
              </w:rPr>
              <w:t xml:space="preserve">Disclosers </w:t>
            </w:r>
            <w:r w:rsidRPr="008112B3">
              <w:t xml:space="preserve">and </w:t>
            </w:r>
            <w:r w:rsidRPr="008112B3">
              <w:rPr>
                <w:b/>
              </w:rPr>
              <w:t>Respondents</w:t>
            </w:r>
            <w:r w:rsidRPr="008112B3">
              <w:t xml:space="preserve"> throughout the process of resolving </w:t>
            </w:r>
            <w:r w:rsidRPr="008112B3">
              <w:rPr>
                <w:b/>
              </w:rPr>
              <w:t>Formal Reports</w:t>
            </w:r>
            <w:r w:rsidRPr="008112B3">
              <w:t xml:space="preserve"> having regard to the views of </w:t>
            </w:r>
            <w:r w:rsidRPr="008112B3">
              <w:rPr>
                <w:b/>
              </w:rPr>
              <w:t xml:space="preserve">Disclosers </w:t>
            </w:r>
            <w:r w:rsidRPr="008112B3">
              <w:t xml:space="preserve">and </w:t>
            </w:r>
            <w:r w:rsidRPr="008112B3">
              <w:rPr>
                <w:b/>
              </w:rPr>
              <w:t>Respondents</w:t>
            </w:r>
            <w:r w:rsidRPr="00C44306">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D03149" w14:textId="793D1346" w:rsidR="008112B3" w:rsidRPr="008112B3" w:rsidRDefault="008112B3" w:rsidP="00524090">
            <w:r w:rsidRPr="008112B3">
              <w:t xml:space="preserve">From </w:t>
            </w:r>
            <w:r w:rsidR="006C3CC7">
              <w:t>the Initial Date</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0FF70EC" w14:textId="77777777" w:rsidR="008112B3" w:rsidRPr="007E4125" w:rsidRDefault="008112B3" w:rsidP="007E4125">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29BD871" w14:textId="77777777" w:rsidR="008112B3" w:rsidRPr="007E4125" w:rsidRDefault="008112B3" w:rsidP="007E4125">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FCB1E33" w14:textId="77777777" w:rsidR="008112B3" w:rsidRPr="007E4125" w:rsidRDefault="008112B3" w:rsidP="007E4125">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E525861" w14:textId="77777777" w:rsidR="008112B3" w:rsidRPr="007E4125" w:rsidRDefault="008112B3" w:rsidP="007E4125">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78155082" w14:textId="77777777" w:rsidR="008112B3" w:rsidRPr="007E4125" w:rsidRDefault="008112B3" w:rsidP="007E4125">
            <w:pPr>
              <w:jc w:val="center"/>
              <w:rPr>
                <w:b/>
                <w:sz w:val="32"/>
                <w:szCs w:val="32"/>
              </w:rPr>
            </w:pPr>
            <w:r w:rsidRPr="007E4125">
              <w:rPr>
                <w:b/>
                <w:sz w:val="32"/>
                <w:szCs w:val="32"/>
              </w:rPr>
              <w:t>X</w:t>
            </w:r>
          </w:p>
        </w:tc>
      </w:tr>
      <w:tr w:rsidR="008112B3" w:rsidRPr="008112B3" w14:paraId="43D161D8" w14:textId="77777777" w:rsidTr="007E4125">
        <w:trPr>
          <w:gridAfter w:val="8"/>
          <w:wAfter w:w="5672" w:type="dxa"/>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FA8111" w14:textId="77777777" w:rsidR="008112B3" w:rsidRPr="008112B3" w:rsidRDefault="008112B3" w:rsidP="00524090">
            <w:r w:rsidRPr="008112B3">
              <w:t>5.20</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365646" w14:textId="77777777" w:rsidR="008112B3" w:rsidRPr="008112B3" w:rsidRDefault="008112B3" w:rsidP="00DE22E7">
            <w:pPr>
              <w:spacing w:after="120"/>
            </w:pPr>
            <w:r w:rsidRPr="008112B3">
              <w:t xml:space="preserve">A </w:t>
            </w:r>
            <w:r w:rsidRPr="008112B3">
              <w:rPr>
                <w:b/>
              </w:rPr>
              <w:t>Provider</w:t>
            </w:r>
            <w:r w:rsidRPr="008112B3">
              <w:t xml:space="preserve"> must impose sanctions proportionate to the conduct substantiated in the disciplinary process, which may include exclusion and expulsion.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9880E3" w14:textId="2C7B480D" w:rsidR="008112B3" w:rsidRPr="008112B3" w:rsidRDefault="008112B3" w:rsidP="00524090">
            <w:r w:rsidRPr="008112B3">
              <w:t xml:space="preserve">From </w:t>
            </w:r>
            <w:r w:rsidR="00A56B47">
              <w:t>the Initial Date</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6956CEA" w14:textId="77777777" w:rsidR="008112B3" w:rsidRPr="007E4125" w:rsidRDefault="008112B3" w:rsidP="007E4125">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D802ECA" w14:textId="77777777" w:rsidR="008112B3" w:rsidRPr="007E4125" w:rsidRDefault="008112B3" w:rsidP="007E4125">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98FD6CB" w14:textId="77777777" w:rsidR="008112B3" w:rsidRPr="007E4125" w:rsidRDefault="008112B3" w:rsidP="007E4125">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E301AAA" w14:textId="77777777" w:rsidR="008112B3" w:rsidRPr="007E4125" w:rsidRDefault="008112B3" w:rsidP="007E4125">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367BBB68" w14:textId="77777777" w:rsidR="008112B3" w:rsidRPr="007E4125" w:rsidRDefault="008112B3" w:rsidP="007E4125">
            <w:pPr>
              <w:jc w:val="center"/>
              <w:rPr>
                <w:b/>
                <w:sz w:val="32"/>
                <w:szCs w:val="32"/>
              </w:rPr>
            </w:pPr>
            <w:r w:rsidRPr="007E4125">
              <w:rPr>
                <w:b/>
                <w:sz w:val="32"/>
                <w:szCs w:val="32"/>
              </w:rPr>
              <w:t>X</w:t>
            </w:r>
          </w:p>
        </w:tc>
      </w:tr>
      <w:tr w:rsidR="008112B3" w:rsidRPr="008112B3" w14:paraId="5C2A1623" w14:textId="77777777" w:rsidTr="007E4125">
        <w:trPr>
          <w:gridAfter w:val="8"/>
          <w:wAfter w:w="5672" w:type="dxa"/>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A365DF" w14:textId="77777777" w:rsidR="008112B3" w:rsidRPr="008112B3" w:rsidRDefault="008112B3" w:rsidP="00524090">
            <w:r w:rsidRPr="008112B3">
              <w:t>5.21</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880403" w14:textId="77777777" w:rsidR="008112B3" w:rsidRPr="008112B3" w:rsidRDefault="008112B3" w:rsidP="00DE22E7">
            <w:pPr>
              <w:spacing w:after="120"/>
            </w:pPr>
            <w:r w:rsidRPr="008112B3">
              <w:t xml:space="preserve">Unless a </w:t>
            </w:r>
            <w:r w:rsidRPr="008112B3">
              <w:rPr>
                <w:b/>
              </w:rPr>
              <w:t xml:space="preserve">Discloser </w:t>
            </w:r>
            <w:r w:rsidRPr="008112B3">
              <w:t xml:space="preserve">requests otherwise, a </w:t>
            </w:r>
            <w:r w:rsidRPr="008112B3">
              <w:rPr>
                <w:b/>
              </w:rPr>
              <w:t>Provider</w:t>
            </w:r>
            <w:r w:rsidRPr="008112B3">
              <w:t xml:space="preserve"> must give written notice to the </w:t>
            </w:r>
            <w:r w:rsidRPr="008112B3">
              <w:rPr>
                <w:b/>
              </w:rPr>
              <w:t>Discloser</w:t>
            </w:r>
            <w:r w:rsidRPr="008112B3">
              <w:t xml:space="preserve"> of: </w:t>
            </w:r>
          </w:p>
          <w:p w14:paraId="3A0EC56D" w14:textId="77777777" w:rsidR="008112B3" w:rsidRPr="008112B3" w:rsidRDefault="008112B3" w:rsidP="00DE22E7">
            <w:pPr>
              <w:spacing w:after="120"/>
            </w:pPr>
            <w:r w:rsidRPr="008112B3">
              <w:t>a) the outcome of the disciplinary process, including the decision and, if relevant, sanctions;</w:t>
            </w:r>
          </w:p>
          <w:p w14:paraId="63B8B45F" w14:textId="77777777" w:rsidR="008112B3" w:rsidRPr="008112B3" w:rsidRDefault="008112B3" w:rsidP="00DE22E7">
            <w:pPr>
              <w:spacing w:after="120"/>
            </w:pPr>
            <w:r w:rsidRPr="008112B3">
              <w:t xml:space="preserve">b) reasons for the outcome; and </w:t>
            </w:r>
          </w:p>
          <w:p w14:paraId="3FEC8F2E" w14:textId="77777777" w:rsidR="008112B3" w:rsidRPr="008112B3" w:rsidRDefault="008112B3" w:rsidP="00DE22E7">
            <w:pPr>
              <w:spacing w:after="120"/>
            </w:pPr>
            <w:r w:rsidRPr="008112B3">
              <w:t xml:space="preserve">c) rights to make an internal and/or external complaint, including to the </w:t>
            </w:r>
            <w:r w:rsidRPr="008112B3">
              <w:rPr>
                <w:b/>
              </w:rPr>
              <w:t>National Student Ombudsman</w:t>
            </w:r>
            <w:r w:rsidRPr="008112B3">
              <w:t xml:space="preserve">. </w:t>
            </w:r>
          </w:p>
          <w:p w14:paraId="713DBC69" w14:textId="3BF5D6A7" w:rsidR="008112B3" w:rsidRPr="008112B3" w:rsidRDefault="008112B3" w:rsidP="00DE22E7">
            <w:pPr>
              <w:spacing w:after="120"/>
            </w:pPr>
            <w:r w:rsidRPr="008112B3">
              <w:rPr>
                <w:i/>
              </w:rPr>
              <w:t xml:space="preserve">NB: The National Code includes detail on the Provider’s responsibility </w:t>
            </w:r>
            <w:r w:rsidR="0060559F">
              <w:rPr>
                <w:i/>
              </w:rPr>
              <w:t xml:space="preserve">to </w:t>
            </w:r>
            <w:r w:rsidRPr="008112B3">
              <w:rPr>
                <w:i/>
              </w:rPr>
              <w:t xml:space="preserve">notify the discloser on the same day as the respondent of the outcome of the disciplinary process.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20D24" w14:textId="4601008F" w:rsidR="008112B3" w:rsidRPr="008112B3" w:rsidRDefault="008112B3" w:rsidP="00524090">
            <w:r w:rsidRPr="008112B3">
              <w:t xml:space="preserve">From </w:t>
            </w:r>
            <w:r w:rsidR="00A56B47">
              <w:t>the Initial Date</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A6F07CC" w14:textId="77777777" w:rsidR="008112B3" w:rsidRPr="007E4125" w:rsidRDefault="008112B3" w:rsidP="007E4125">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08B28A1" w14:textId="77777777" w:rsidR="008112B3" w:rsidRPr="007E4125" w:rsidRDefault="008112B3" w:rsidP="007E4125">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5A2645B" w14:textId="77777777" w:rsidR="008112B3" w:rsidRPr="007E4125" w:rsidRDefault="008112B3" w:rsidP="007E4125">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1F0D5EC" w14:textId="77777777" w:rsidR="008112B3" w:rsidRPr="007E4125" w:rsidRDefault="008112B3" w:rsidP="007E4125">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0F4B7091" w14:textId="77777777" w:rsidR="008112B3" w:rsidRPr="007E4125" w:rsidRDefault="008112B3" w:rsidP="007E4125">
            <w:pPr>
              <w:jc w:val="center"/>
              <w:rPr>
                <w:b/>
                <w:sz w:val="32"/>
                <w:szCs w:val="32"/>
              </w:rPr>
            </w:pPr>
            <w:r w:rsidRPr="007E4125">
              <w:rPr>
                <w:b/>
                <w:sz w:val="32"/>
                <w:szCs w:val="32"/>
              </w:rPr>
              <w:t>X</w:t>
            </w:r>
          </w:p>
        </w:tc>
      </w:tr>
      <w:tr w:rsidR="008112B3" w:rsidRPr="008112B3" w14:paraId="45171722" w14:textId="77777777" w:rsidTr="007E4125">
        <w:trPr>
          <w:gridAfter w:val="8"/>
          <w:wAfter w:w="5672" w:type="dxa"/>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A014AE" w14:textId="77777777" w:rsidR="008112B3" w:rsidRPr="008112B3" w:rsidRDefault="008112B3" w:rsidP="00524090">
            <w:r w:rsidRPr="008112B3">
              <w:t>5.23</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463A7D" w14:textId="77777777" w:rsidR="008112B3" w:rsidRPr="008112B3" w:rsidRDefault="008112B3" w:rsidP="00DE22E7">
            <w:pPr>
              <w:spacing w:after="120"/>
            </w:pPr>
            <w:r w:rsidRPr="008112B3">
              <w:t xml:space="preserve">If a </w:t>
            </w:r>
            <w:r w:rsidRPr="008112B3">
              <w:rPr>
                <w:b/>
              </w:rPr>
              <w:t>Provider</w:t>
            </w:r>
            <w:r w:rsidRPr="008112B3">
              <w:t xml:space="preserve"> gives notice of the outcome of the disciplinary process to a </w:t>
            </w:r>
            <w:r w:rsidRPr="008112B3">
              <w:rPr>
                <w:b/>
              </w:rPr>
              <w:t>Discloser</w:t>
            </w:r>
            <w:r w:rsidRPr="008112B3">
              <w:t xml:space="preserve">, the </w:t>
            </w:r>
            <w:r w:rsidRPr="008112B3">
              <w:rPr>
                <w:b/>
              </w:rPr>
              <w:t>Provider</w:t>
            </w:r>
            <w:r w:rsidRPr="008112B3">
              <w:t xml:space="preserve"> must also give written notice to the </w:t>
            </w:r>
            <w:r w:rsidRPr="008112B3">
              <w:rPr>
                <w:b/>
              </w:rPr>
              <w:t>Discloser</w:t>
            </w:r>
            <w:r w:rsidRPr="008112B3">
              <w:t xml:space="preserve"> within 2 business days of an appeal being lodged. </w:t>
            </w:r>
          </w:p>
          <w:p w14:paraId="163EC11A" w14:textId="77777777" w:rsidR="008112B3" w:rsidRPr="008112B3" w:rsidRDefault="008112B3" w:rsidP="00DE22E7">
            <w:pPr>
              <w:spacing w:after="120"/>
              <w:rPr>
                <w:i/>
              </w:rPr>
            </w:pPr>
            <w:r w:rsidRPr="008112B3">
              <w:rPr>
                <w:i/>
              </w:rPr>
              <w:t>NB: The National Code includes detail on the Provider’s responsibility to ensure the discloser is informed about when the respondent is appealing a disciplinary decision and potential outcomes of the appeal.</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82C74F" w14:textId="3F95E28B" w:rsidR="008112B3" w:rsidRPr="008112B3" w:rsidRDefault="008112B3" w:rsidP="00524090">
            <w:r w:rsidRPr="008112B3">
              <w:t xml:space="preserve">From </w:t>
            </w:r>
            <w:r w:rsidR="00A56B47">
              <w:t>the Initial Date</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424D267" w14:textId="77777777" w:rsidR="008112B3" w:rsidRPr="007E4125" w:rsidRDefault="008112B3" w:rsidP="007E4125">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3A895CF" w14:textId="77777777" w:rsidR="008112B3" w:rsidRPr="007E4125" w:rsidRDefault="008112B3" w:rsidP="007E4125">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587E3C0" w14:textId="77777777" w:rsidR="008112B3" w:rsidRPr="007E4125" w:rsidRDefault="008112B3" w:rsidP="007E4125">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939321F" w14:textId="77777777" w:rsidR="008112B3" w:rsidRPr="007E4125" w:rsidRDefault="008112B3" w:rsidP="007E4125">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2244D11D" w14:textId="77777777" w:rsidR="008112B3" w:rsidRPr="007E4125" w:rsidRDefault="008112B3" w:rsidP="007E4125">
            <w:pPr>
              <w:jc w:val="center"/>
              <w:rPr>
                <w:b/>
                <w:sz w:val="32"/>
                <w:szCs w:val="32"/>
              </w:rPr>
            </w:pPr>
            <w:r w:rsidRPr="007E4125">
              <w:rPr>
                <w:b/>
                <w:sz w:val="32"/>
                <w:szCs w:val="32"/>
              </w:rPr>
              <w:t>X</w:t>
            </w:r>
          </w:p>
        </w:tc>
      </w:tr>
      <w:tr w:rsidR="008112B3" w:rsidRPr="008112B3" w14:paraId="0ED9EA7C" w14:textId="77777777" w:rsidTr="007E4125">
        <w:trPr>
          <w:gridAfter w:val="8"/>
          <w:wAfter w:w="5672" w:type="dxa"/>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DF45C6" w14:textId="77777777" w:rsidR="008112B3" w:rsidRPr="008112B3" w:rsidRDefault="008112B3" w:rsidP="00524090">
            <w:r w:rsidRPr="008112B3">
              <w:t>5.24</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848F47" w14:textId="77777777" w:rsidR="008112B3" w:rsidRPr="008112B3" w:rsidRDefault="008112B3" w:rsidP="00DE22E7">
            <w:pPr>
              <w:spacing w:after="120"/>
            </w:pPr>
            <w:r w:rsidRPr="008112B3">
              <w:t xml:space="preserve">A </w:t>
            </w:r>
            <w:r w:rsidRPr="008112B3">
              <w:rPr>
                <w:b/>
              </w:rPr>
              <w:t xml:space="preserve">Provider </w:t>
            </w:r>
            <w:r w:rsidRPr="008112B3">
              <w:t xml:space="preserve">must ensure their </w:t>
            </w:r>
            <w:r w:rsidRPr="008112B3">
              <w:rPr>
                <w:b/>
              </w:rPr>
              <w:t>Procedures</w:t>
            </w:r>
            <w:r w:rsidRPr="008112B3">
              <w:t xml:space="preserve"> are designed to allow appeals to be finalised within 20 business days.</w:t>
            </w:r>
          </w:p>
          <w:p w14:paraId="3179622C" w14:textId="77777777" w:rsidR="008112B3" w:rsidRPr="008112B3" w:rsidRDefault="008112B3" w:rsidP="00DE22E7">
            <w:pPr>
              <w:spacing w:after="120"/>
              <w:rPr>
                <w:i/>
              </w:rPr>
            </w:pPr>
            <w:r w:rsidRPr="008112B3">
              <w:rPr>
                <w:i/>
              </w:rPr>
              <w:t xml:space="preserve">NB: The National Code includes detail on the Provider’s obligation to comply with timeframes and requirements in relation to any extensions.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B8017C" w14:textId="45B89FBE" w:rsidR="008112B3" w:rsidRPr="008112B3" w:rsidRDefault="00767206" w:rsidP="00524090">
            <w:r>
              <w:t>By</w:t>
            </w:r>
            <w:r w:rsidRPr="008112B3">
              <w:t xml:space="preserve"> </w:t>
            </w:r>
            <w:r>
              <w:t>the Initial Date</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61DC12B" w14:textId="77777777" w:rsidR="008112B3" w:rsidRPr="007E4125" w:rsidRDefault="008112B3" w:rsidP="007E4125">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E8887A2" w14:textId="77777777" w:rsidR="008112B3" w:rsidRPr="007E4125" w:rsidRDefault="008112B3" w:rsidP="007E4125">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6C812BD" w14:textId="77777777" w:rsidR="008112B3" w:rsidRPr="007E4125" w:rsidRDefault="008112B3" w:rsidP="007E4125">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483C209" w14:textId="77777777" w:rsidR="008112B3" w:rsidRPr="007E4125" w:rsidRDefault="008112B3" w:rsidP="007E4125">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7DB7CA54" w14:textId="77777777" w:rsidR="008112B3" w:rsidRPr="007E4125" w:rsidRDefault="008112B3" w:rsidP="007E4125">
            <w:pPr>
              <w:jc w:val="center"/>
              <w:rPr>
                <w:b/>
                <w:sz w:val="32"/>
                <w:szCs w:val="32"/>
              </w:rPr>
            </w:pPr>
            <w:r w:rsidRPr="007E4125">
              <w:rPr>
                <w:b/>
                <w:sz w:val="32"/>
                <w:szCs w:val="32"/>
              </w:rPr>
              <w:t>X</w:t>
            </w:r>
          </w:p>
        </w:tc>
      </w:tr>
      <w:tr w:rsidR="008112B3" w:rsidRPr="008112B3" w14:paraId="2A270F07" w14:textId="77777777" w:rsidTr="007E4125">
        <w:trPr>
          <w:gridAfter w:val="8"/>
          <w:wAfter w:w="5672" w:type="dxa"/>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055529" w14:textId="77777777" w:rsidR="008112B3" w:rsidRPr="008112B3" w:rsidRDefault="008112B3" w:rsidP="00524090">
            <w:r w:rsidRPr="008112B3">
              <w:t>5.27</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A0F5FD" w14:textId="77777777" w:rsidR="008112B3" w:rsidRPr="008112B3" w:rsidRDefault="008112B3" w:rsidP="00DE22E7">
            <w:pPr>
              <w:spacing w:after="120"/>
            </w:pPr>
            <w:r w:rsidRPr="008112B3">
              <w:t xml:space="preserve">Unless a </w:t>
            </w:r>
            <w:r w:rsidRPr="008112B3">
              <w:rPr>
                <w:b/>
              </w:rPr>
              <w:t xml:space="preserve">Discloser </w:t>
            </w:r>
            <w:r w:rsidRPr="008112B3">
              <w:t xml:space="preserve">requests otherwise, a </w:t>
            </w:r>
            <w:r w:rsidRPr="008112B3">
              <w:rPr>
                <w:b/>
              </w:rPr>
              <w:t xml:space="preserve">Provider </w:t>
            </w:r>
            <w:r w:rsidRPr="008112B3">
              <w:t xml:space="preserve">must give written notice to the </w:t>
            </w:r>
            <w:r w:rsidRPr="008112B3">
              <w:rPr>
                <w:b/>
              </w:rPr>
              <w:t>Discloser</w:t>
            </w:r>
            <w:r w:rsidRPr="008112B3">
              <w:t xml:space="preserve"> of: </w:t>
            </w:r>
          </w:p>
          <w:p w14:paraId="0609BA90" w14:textId="77777777" w:rsidR="008112B3" w:rsidRPr="008112B3" w:rsidRDefault="008112B3" w:rsidP="00DE22E7">
            <w:pPr>
              <w:spacing w:after="120"/>
            </w:pPr>
            <w:r w:rsidRPr="008112B3">
              <w:t>a) the outcome, including the decision and, if relevant, sanctions;</w:t>
            </w:r>
          </w:p>
          <w:p w14:paraId="3E46DD03" w14:textId="77777777" w:rsidR="008112B3" w:rsidRPr="008112B3" w:rsidRDefault="008112B3" w:rsidP="00DE22E7">
            <w:pPr>
              <w:spacing w:after="120"/>
            </w:pPr>
            <w:r w:rsidRPr="008112B3">
              <w:t xml:space="preserve">b) reasons for the outcome; and </w:t>
            </w:r>
          </w:p>
          <w:p w14:paraId="3F99867E" w14:textId="77777777" w:rsidR="008112B3" w:rsidRPr="008112B3" w:rsidRDefault="008112B3" w:rsidP="00DE22E7">
            <w:pPr>
              <w:spacing w:after="120"/>
            </w:pPr>
            <w:r w:rsidRPr="008112B3">
              <w:t xml:space="preserve">c) rights to make an internal and/or external complaint, including to the </w:t>
            </w:r>
            <w:r w:rsidRPr="008112B3">
              <w:rPr>
                <w:b/>
              </w:rPr>
              <w:t>National Student Ombudsman</w:t>
            </w:r>
            <w:r w:rsidRPr="008112B3">
              <w:t>.</w:t>
            </w:r>
          </w:p>
          <w:p w14:paraId="7FC977C5" w14:textId="77777777" w:rsidR="008112B3" w:rsidRPr="008112B3" w:rsidRDefault="008112B3" w:rsidP="00DE22E7">
            <w:pPr>
              <w:spacing w:after="120"/>
            </w:pPr>
            <w:r w:rsidRPr="008112B3">
              <w:rPr>
                <w:i/>
              </w:rPr>
              <w:t xml:space="preserve">NB: The National Code includes detail on the Provider’s responsibility to notify the discloser on the same day as the respondent of the outcome of the appeal.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04C543" w14:textId="49D99841" w:rsidR="008112B3" w:rsidRPr="008112B3" w:rsidRDefault="008112B3" w:rsidP="00524090">
            <w:r w:rsidRPr="008112B3">
              <w:t xml:space="preserve">From </w:t>
            </w:r>
            <w:r w:rsidR="00D14561">
              <w:t>the Initial Date</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5108F8E" w14:textId="77777777" w:rsidR="008112B3" w:rsidRPr="008112B3" w:rsidRDefault="008112B3" w:rsidP="00524090">
            <w:pPr>
              <w:rPr>
                <w:b/>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76009F0" w14:textId="77777777" w:rsidR="008112B3" w:rsidRPr="007E4125" w:rsidRDefault="008112B3" w:rsidP="007E4125">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A69FD61" w14:textId="77777777" w:rsidR="008112B3" w:rsidRPr="007E4125" w:rsidRDefault="008112B3" w:rsidP="007E4125">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F2A26C4" w14:textId="77777777" w:rsidR="008112B3" w:rsidRPr="007E4125" w:rsidRDefault="008112B3" w:rsidP="007E4125">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2F1DED58" w14:textId="77777777" w:rsidR="008112B3" w:rsidRPr="007E4125" w:rsidRDefault="008112B3" w:rsidP="007E4125">
            <w:pPr>
              <w:jc w:val="center"/>
              <w:rPr>
                <w:b/>
                <w:sz w:val="32"/>
                <w:szCs w:val="32"/>
              </w:rPr>
            </w:pPr>
            <w:r w:rsidRPr="007E4125">
              <w:rPr>
                <w:b/>
                <w:sz w:val="32"/>
                <w:szCs w:val="32"/>
              </w:rPr>
              <w:t>X</w:t>
            </w:r>
          </w:p>
        </w:tc>
      </w:tr>
      <w:tr w:rsidR="008112B3" w:rsidRPr="008112B3" w14:paraId="365F5E3E" w14:textId="77777777" w:rsidTr="007E4125">
        <w:trPr>
          <w:gridAfter w:val="8"/>
          <w:wAfter w:w="5672" w:type="dxa"/>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785304" w14:textId="77777777" w:rsidR="008112B3" w:rsidRPr="008112B3" w:rsidRDefault="008112B3" w:rsidP="00524090">
            <w:r w:rsidRPr="008112B3">
              <w:lastRenderedPageBreak/>
              <w:t>5.29</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158145" w14:textId="77777777" w:rsidR="008112B3" w:rsidRPr="008112B3" w:rsidRDefault="008112B3" w:rsidP="00DE22E7">
            <w:pPr>
              <w:spacing w:after="120"/>
            </w:pPr>
            <w:r w:rsidRPr="008112B3">
              <w:t xml:space="preserve">The </w:t>
            </w:r>
            <w:r w:rsidRPr="008112B3">
              <w:rPr>
                <w:b/>
              </w:rPr>
              <w:t xml:space="preserve">Secretary </w:t>
            </w:r>
            <w:r w:rsidRPr="008112B3">
              <w:t xml:space="preserve">may require a </w:t>
            </w:r>
            <w:r w:rsidRPr="008112B3">
              <w:rPr>
                <w:b/>
              </w:rPr>
              <w:t xml:space="preserve">Provider </w:t>
            </w:r>
            <w:r w:rsidRPr="008112B3">
              <w:t xml:space="preserve">to report on how it has complied with its obligations under this Standard in a manner and form to be prescribed by the </w:t>
            </w:r>
            <w:r w:rsidRPr="008112B3">
              <w:rPr>
                <w:b/>
              </w:rPr>
              <w:t>Secretary</w:t>
            </w:r>
            <w:r w:rsidRPr="008112B3">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0CEC1D" w14:textId="3BB2E183" w:rsidR="008112B3" w:rsidRPr="008112B3" w:rsidRDefault="004768F4" w:rsidP="00524090">
            <w:r w:rsidRPr="008112B3">
              <w:t>As requ</w:t>
            </w:r>
            <w:r w:rsidR="004279BA">
              <w:t>ired</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CCAE948" w14:textId="77777777" w:rsidR="008112B3" w:rsidRPr="008112B3" w:rsidRDefault="008112B3" w:rsidP="00524090">
            <w:pPr>
              <w:rPr>
                <w:b/>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F643358" w14:textId="77777777" w:rsidR="008112B3" w:rsidRPr="007E4125" w:rsidRDefault="008112B3" w:rsidP="007E4125">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21275AF" w14:textId="5311D796" w:rsidR="008112B3" w:rsidRPr="007E4125" w:rsidRDefault="0059227E" w:rsidP="007E4125">
            <w:pPr>
              <w:jc w:val="center"/>
              <w:rPr>
                <w:b/>
                <w:sz w:val="32"/>
                <w:szCs w:val="32"/>
              </w:rPr>
            </w:pPr>
            <w:r w:rsidRPr="007E4125">
              <w:rPr>
                <w:b/>
                <w:sz w:val="32"/>
                <w:szCs w:val="32"/>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93995B1" w14:textId="77777777" w:rsidR="008112B3" w:rsidRPr="007E4125" w:rsidRDefault="008112B3" w:rsidP="007E4125">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013055FC" w14:textId="588227A5" w:rsidR="008112B3" w:rsidRPr="007E4125" w:rsidRDefault="008112B3" w:rsidP="007E4125">
            <w:pPr>
              <w:jc w:val="center"/>
              <w:rPr>
                <w:b/>
                <w:sz w:val="32"/>
                <w:szCs w:val="32"/>
              </w:rPr>
            </w:pPr>
          </w:p>
        </w:tc>
      </w:tr>
      <w:tr w:rsidR="007E4125" w:rsidRPr="008112B3" w14:paraId="3A515848" w14:textId="7AEA1A1D" w:rsidTr="00020A8D">
        <w:trPr>
          <w:trHeight w:val="1504"/>
        </w:trPr>
        <w:tc>
          <w:tcPr>
            <w:tcW w:w="754" w:type="dxa"/>
            <w:tcMar>
              <w:top w:w="0" w:type="dxa"/>
              <w:left w:w="108" w:type="dxa"/>
              <w:bottom w:w="0" w:type="dxa"/>
              <w:right w:w="108" w:type="dxa"/>
            </w:tcMar>
          </w:tcPr>
          <w:p w14:paraId="501F6432" w14:textId="77777777" w:rsidR="007E4125" w:rsidRPr="008112B3" w:rsidRDefault="007E4125" w:rsidP="007E4125"/>
        </w:tc>
        <w:tc>
          <w:tcPr>
            <w:tcW w:w="9039" w:type="dxa"/>
            <w:tcMar>
              <w:top w:w="0" w:type="dxa"/>
              <w:left w:w="108" w:type="dxa"/>
              <w:bottom w:w="0" w:type="dxa"/>
              <w:right w:w="108" w:type="dxa"/>
            </w:tcMar>
          </w:tcPr>
          <w:p w14:paraId="7478BC6A" w14:textId="77777777" w:rsidR="007E4125" w:rsidRPr="008112B3" w:rsidRDefault="007E4125" w:rsidP="007E4125"/>
        </w:tc>
        <w:tc>
          <w:tcPr>
            <w:tcW w:w="2552" w:type="dxa"/>
            <w:tcMar>
              <w:top w:w="0" w:type="dxa"/>
              <w:left w:w="108" w:type="dxa"/>
              <w:bottom w:w="0" w:type="dxa"/>
              <w:right w:w="108" w:type="dxa"/>
            </w:tcMar>
          </w:tcPr>
          <w:p w14:paraId="60A2DDB5" w14:textId="77777777" w:rsidR="007E4125" w:rsidRPr="008112B3" w:rsidRDefault="007E4125" w:rsidP="007E4125"/>
        </w:tc>
        <w:tc>
          <w:tcPr>
            <w:tcW w:w="565" w:type="dxa"/>
            <w:tcBorders>
              <w:top w:val="nil"/>
              <w:left w:val="nil"/>
              <w:bottom w:val="single" w:sz="4" w:space="0" w:color="auto"/>
              <w:right w:val="nil"/>
            </w:tcBorders>
            <w:tcMar>
              <w:top w:w="0" w:type="dxa"/>
              <w:left w:w="108" w:type="dxa"/>
              <w:bottom w:w="0" w:type="dxa"/>
              <w:right w:w="108" w:type="dxa"/>
            </w:tcMar>
          </w:tcPr>
          <w:p w14:paraId="632053D3" w14:textId="77777777" w:rsidR="007E4125" w:rsidRPr="008112B3" w:rsidRDefault="007E4125" w:rsidP="007E4125">
            <w:pPr>
              <w:rPr>
                <w:b/>
                <w:bCs/>
              </w:rPr>
            </w:pPr>
          </w:p>
        </w:tc>
        <w:tc>
          <w:tcPr>
            <w:tcW w:w="567" w:type="dxa"/>
            <w:tcBorders>
              <w:top w:val="nil"/>
              <w:left w:val="nil"/>
              <w:bottom w:val="single" w:sz="4" w:space="0" w:color="auto"/>
              <w:right w:val="nil"/>
            </w:tcBorders>
            <w:tcMar>
              <w:top w:w="0" w:type="dxa"/>
              <w:left w:w="108" w:type="dxa"/>
              <w:bottom w:w="0" w:type="dxa"/>
              <w:right w:w="108" w:type="dxa"/>
            </w:tcMar>
          </w:tcPr>
          <w:p w14:paraId="6A3CB525" w14:textId="77777777" w:rsidR="007E4125" w:rsidRPr="008112B3" w:rsidRDefault="007E4125" w:rsidP="007E4125">
            <w:pPr>
              <w:rPr>
                <w:b/>
                <w:bCs/>
              </w:rPr>
            </w:pPr>
          </w:p>
        </w:tc>
        <w:tc>
          <w:tcPr>
            <w:tcW w:w="569" w:type="dxa"/>
            <w:tcBorders>
              <w:top w:val="nil"/>
              <w:left w:val="nil"/>
              <w:bottom w:val="single" w:sz="4" w:space="0" w:color="auto"/>
              <w:right w:val="nil"/>
            </w:tcBorders>
            <w:tcMar>
              <w:top w:w="0" w:type="dxa"/>
              <w:left w:w="108" w:type="dxa"/>
              <w:bottom w:w="0" w:type="dxa"/>
              <w:right w:w="108" w:type="dxa"/>
            </w:tcMar>
          </w:tcPr>
          <w:p w14:paraId="35FE3112" w14:textId="77777777" w:rsidR="007E4125" w:rsidRPr="008112B3" w:rsidRDefault="007E4125" w:rsidP="007E4125">
            <w:pPr>
              <w:rPr>
                <w:b/>
                <w:bCs/>
              </w:rPr>
            </w:pPr>
          </w:p>
        </w:tc>
        <w:tc>
          <w:tcPr>
            <w:tcW w:w="425" w:type="dxa"/>
            <w:tcBorders>
              <w:top w:val="nil"/>
              <w:left w:val="nil"/>
              <w:bottom w:val="single" w:sz="4" w:space="0" w:color="auto"/>
              <w:right w:val="nil"/>
            </w:tcBorders>
            <w:tcMar>
              <w:top w:w="0" w:type="dxa"/>
              <w:left w:w="108" w:type="dxa"/>
              <w:bottom w:w="0" w:type="dxa"/>
              <w:right w:w="108" w:type="dxa"/>
            </w:tcMar>
          </w:tcPr>
          <w:p w14:paraId="73AD5734" w14:textId="77777777" w:rsidR="007E4125" w:rsidRPr="008112B3" w:rsidRDefault="007E4125" w:rsidP="007E4125">
            <w:pPr>
              <w:rPr>
                <w:b/>
                <w:bCs/>
              </w:rPr>
            </w:pPr>
          </w:p>
        </w:tc>
        <w:tc>
          <w:tcPr>
            <w:tcW w:w="709" w:type="dxa"/>
            <w:tcBorders>
              <w:top w:val="nil"/>
              <w:left w:val="nil"/>
              <w:bottom w:val="single" w:sz="4" w:space="0" w:color="auto"/>
              <w:right w:val="nil"/>
            </w:tcBorders>
            <w:tcMar>
              <w:top w:w="0" w:type="dxa"/>
              <w:left w:w="108" w:type="dxa"/>
              <w:bottom w:w="0" w:type="dxa"/>
              <w:right w:w="108" w:type="dxa"/>
            </w:tcMar>
          </w:tcPr>
          <w:p w14:paraId="5BF753A9" w14:textId="77777777" w:rsidR="007E4125" w:rsidRPr="008112B3" w:rsidRDefault="007E4125" w:rsidP="007E4125">
            <w:pPr>
              <w:rPr>
                <w:b/>
                <w:bCs/>
              </w:rPr>
            </w:pPr>
          </w:p>
        </w:tc>
        <w:tc>
          <w:tcPr>
            <w:tcW w:w="709" w:type="dxa"/>
          </w:tcPr>
          <w:p w14:paraId="01F8D2AF" w14:textId="77777777" w:rsidR="007E4125" w:rsidRPr="008112B3" w:rsidRDefault="007E4125" w:rsidP="007E4125">
            <w:pPr>
              <w:spacing w:after="160"/>
            </w:pPr>
          </w:p>
        </w:tc>
        <w:tc>
          <w:tcPr>
            <w:tcW w:w="709" w:type="dxa"/>
          </w:tcPr>
          <w:p w14:paraId="41B738B3" w14:textId="77777777" w:rsidR="007E4125" w:rsidRPr="008112B3" w:rsidRDefault="007E4125" w:rsidP="007E4125">
            <w:pPr>
              <w:spacing w:after="160"/>
            </w:pPr>
          </w:p>
        </w:tc>
        <w:tc>
          <w:tcPr>
            <w:tcW w:w="709" w:type="dxa"/>
          </w:tcPr>
          <w:p w14:paraId="2D06FC8E" w14:textId="77777777" w:rsidR="007E4125" w:rsidRPr="008112B3" w:rsidRDefault="007E4125" w:rsidP="007E4125">
            <w:pPr>
              <w:spacing w:after="160"/>
            </w:pPr>
          </w:p>
        </w:tc>
        <w:tc>
          <w:tcPr>
            <w:tcW w:w="709" w:type="dxa"/>
          </w:tcPr>
          <w:p w14:paraId="00138FAF" w14:textId="77777777" w:rsidR="007E4125" w:rsidRPr="008112B3" w:rsidRDefault="007E4125" w:rsidP="007E4125">
            <w:pPr>
              <w:spacing w:after="160"/>
            </w:pPr>
          </w:p>
        </w:tc>
        <w:tc>
          <w:tcPr>
            <w:tcW w:w="709" w:type="dxa"/>
          </w:tcPr>
          <w:p w14:paraId="097BD39E" w14:textId="77777777" w:rsidR="007E4125" w:rsidRPr="008112B3" w:rsidRDefault="007E4125" w:rsidP="007E4125">
            <w:pPr>
              <w:spacing w:after="160"/>
            </w:pPr>
          </w:p>
        </w:tc>
        <w:tc>
          <w:tcPr>
            <w:tcW w:w="709" w:type="dxa"/>
          </w:tcPr>
          <w:p w14:paraId="6E71F9DD" w14:textId="77777777" w:rsidR="007E4125" w:rsidRPr="008112B3" w:rsidRDefault="007E4125" w:rsidP="007E4125">
            <w:pPr>
              <w:spacing w:after="160"/>
            </w:pPr>
          </w:p>
        </w:tc>
        <w:tc>
          <w:tcPr>
            <w:tcW w:w="709" w:type="dxa"/>
          </w:tcPr>
          <w:p w14:paraId="258B73E3" w14:textId="77777777" w:rsidR="007E4125" w:rsidRPr="008112B3" w:rsidRDefault="007E4125" w:rsidP="007E4125">
            <w:pPr>
              <w:spacing w:after="160"/>
            </w:pPr>
          </w:p>
        </w:tc>
        <w:tc>
          <w:tcPr>
            <w:tcW w:w="709" w:type="dxa"/>
          </w:tcPr>
          <w:p w14:paraId="71E9A2C1" w14:textId="77777777" w:rsidR="007E4125" w:rsidRPr="008112B3" w:rsidRDefault="007E4125" w:rsidP="007E4125">
            <w:pPr>
              <w:spacing w:after="160"/>
            </w:pPr>
          </w:p>
        </w:tc>
      </w:tr>
      <w:tr w:rsidR="007E4125" w:rsidRPr="008112B3" w14:paraId="56E2DD51" w14:textId="77777777" w:rsidTr="007E4125">
        <w:trPr>
          <w:gridAfter w:val="8"/>
          <w:wAfter w:w="5672" w:type="dxa"/>
        </w:trPr>
        <w:tc>
          <w:tcPr>
            <w:tcW w:w="754" w:type="dxa"/>
            <w:tcBorders>
              <w:top w:val="nil"/>
              <w:left w:val="nil"/>
              <w:bottom w:val="single" w:sz="4" w:space="0" w:color="auto"/>
              <w:right w:val="nil"/>
            </w:tcBorders>
            <w:tcMar>
              <w:top w:w="0" w:type="dxa"/>
              <w:left w:w="108" w:type="dxa"/>
              <w:bottom w:w="0" w:type="dxa"/>
              <w:right w:w="108" w:type="dxa"/>
            </w:tcMar>
          </w:tcPr>
          <w:p w14:paraId="5DB48C7C" w14:textId="77777777" w:rsidR="007E4125" w:rsidRPr="008112B3" w:rsidRDefault="007E4125" w:rsidP="007E4125"/>
        </w:tc>
        <w:tc>
          <w:tcPr>
            <w:tcW w:w="9039" w:type="dxa"/>
            <w:tcBorders>
              <w:top w:val="nil"/>
              <w:left w:val="nil"/>
              <w:bottom w:val="single" w:sz="4" w:space="0" w:color="auto"/>
              <w:right w:val="nil"/>
            </w:tcBorders>
            <w:tcMar>
              <w:top w:w="0" w:type="dxa"/>
              <w:left w:w="108" w:type="dxa"/>
              <w:bottom w:w="0" w:type="dxa"/>
              <w:right w:w="108" w:type="dxa"/>
            </w:tcMar>
          </w:tcPr>
          <w:p w14:paraId="727E5214" w14:textId="77777777" w:rsidR="007E4125" w:rsidRPr="008112B3" w:rsidRDefault="007E4125" w:rsidP="007E4125"/>
        </w:tc>
        <w:tc>
          <w:tcPr>
            <w:tcW w:w="2552" w:type="dxa"/>
            <w:tcBorders>
              <w:top w:val="nil"/>
              <w:left w:val="nil"/>
              <w:bottom w:val="single" w:sz="4" w:space="0" w:color="auto"/>
              <w:right w:val="single" w:sz="4" w:space="0" w:color="auto"/>
            </w:tcBorders>
            <w:tcMar>
              <w:top w:w="0" w:type="dxa"/>
              <w:left w:w="108" w:type="dxa"/>
              <w:bottom w:w="0" w:type="dxa"/>
              <w:right w:w="108" w:type="dxa"/>
            </w:tcMar>
          </w:tcPr>
          <w:p w14:paraId="731FABB8" w14:textId="77777777" w:rsidR="007E4125" w:rsidRPr="008112B3" w:rsidRDefault="007E4125" w:rsidP="007E4125"/>
        </w:tc>
        <w:tc>
          <w:tcPr>
            <w:tcW w:w="283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210BA5C3" w14:textId="77777777" w:rsidR="007E4125" w:rsidRPr="008112B3" w:rsidRDefault="007E4125" w:rsidP="007E4125">
            <w:pPr>
              <w:rPr>
                <w:b/>
                <w:bCs/>
              </w:rPr>
            </w:pPr>
            <w:r w:rsidRPr="008112B3">
              <w:rPr>
                <w:b/>
                <w:bCs/>
              </w:rPr>
              <w:t xml:space="preserve">Area of focus </w:t>
            </w:r>
          </w:p>
        </w:tc>
      </w:tr>
      <w:tr w:rsidR="007E4125" w:rsidRPr="008112B3" w14:paraId="5D286B96" w14:textId="77777777" w:rsidTr="007E4125">
        <w:trPr>
          <w:gridAfter w:val="8"/>
          <w:wAfter w:w="5672" w:type="dxa"/>
          <w:trHeight w:val="1338"/>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8513E19" w14:textId="77777777" w:rsidR="007E4125" w:rsidRPr="007D0713" w:rsidRDefault="007E4125" w:rsidP="007E4125">
            <w:pPr>
              <w:rPr>
                <w:b/>
                <w:bCs/>
              </w:rPr>
            </w:pPr>
            <w:r w:rsidRPr="007D0713">
              <w:rPr>
                <w:b/>
                <w:bCs/>
              </w:rPr>
              <w:t>Ref.</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FC81E79" w14:textId="77777777" w:rsidR="007E4125" w:rsidRPr="007D0713" w:rsidRDefault="007E4125" w:rsidP="007E4125">
            <w:pPr>
              <w:rPr>
                <w:b/>
                <w:bCs/>
              </w:rPr>
            </w:pPr>
            <w:r w:rsidRPr="007D0713">
              <w:rPr>
                <w:b/>
                <w:bCs/>
              </w:rPr>
              <w:t>Specific Requirement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B45D62E" w14:textId="77777777" w:rsidR="007E4125" w:rsidRPr="007D0713" w:rsidRDefault="007E4125" w:rsidP="007E4125">
            <w:pPr>
              <w:rPr>
                <w:b/>
                <w:bCs/>
              </w:rPr>
            </w:pPr>
            <w:r w:rsidRPr="007D0713">
              <w:rPr>
                <w:b/>
                <w:bCs/>
              </w:rPr>
              <w:t>Timing and cadence</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413694D4" w14:textId="77777777" w:rsidR="007E4125" w:rsidRPr="008112B3" w:rsidRDefault="007E4125" w:rsidP="007E4125">
            <w:r w:rsidRPr="008112B3">
              <w:t>Capability</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65F85511" w14:textId="77777777" w:rsidR="007E4125" w:rsidRPr="008112B3" w:rsidRDefault="007E4125" w:rsidP="007E4125">
            <w:r w:rsidRPr="008112B3">
              <w:t>Governance</w:t>
            </w: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02E45508" w14:textId="77777777" w:rsidR="007E4125" w:rsidRPr="008112B3" w:rsidRDefault="007E4125" w:rsidP="007E4125">
            <w:r w:rsidRPr="008112B3">
              <w:t>Reporting</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0C9EBDF2" w14:textId="77777777" w:rsidR="007E4125" w:rsidRPr="008112B3" w:rsidRDefault="007E4125" w:rsidP="007E4125">
            <w:r w:rsidRPr="008112B3">
              <w:t>Data</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40E99C92" w14:textId="77777777" w:rsidR="007E4125" w:rsidRPr="008112B3" w:rsidRDefault="007E4125" w:rsidP="007E4125">
            <w:r w:rsidRPr="008112B3">
              <w:t>Processes and systems</w:t>
            </w:r>
          </w:p>
        </w:tc>
      </w:tr>
      <w:tr w:rsidR="007E4125" w:rsidRPr="008112B3" w14:paraId="0AEA9E76" w14:textId="77777777" w:rsidTr="007E4125">
        <w:trPr>
          <w:gridAfter w:val="8"/>
          <w:wAfter w:w="5672" w:type="dxa"/>
        </w:trPr>
        <w:tc>
          <w:tcPr>
            <w:tcW w:w="15180" w:type="dxa"/>
            <w:gridSpan w:val="8"/>
            <w:tcBorders>
              <w:top w:val="single" w:sz="4" w:space="0" w:color="auto"/>
              <w:left w:val="single" w:sz="4" w:space="0" w:color="auto"/>
              <w:bottom w:val="single" w:sz="4" w:space="0" w:color="auto"/>
              <w:right w:val="single" w:sz="4" w:space="0" w:color="auto"/>
            </w:tcBorders>
            <w:shd w:val="clear" w:color="auto" w:fill="48255F"/>
            <w:tcMar>
              <w:top w:w="0" w:type="dxa"/>
              <w:left w:w="108" w:type="dxa"/>
              <w:bottom w:w="0" w:type="dxa"/>
              <w:right w:w="108" w:type="dxa"/>
            </w:tcMar>
            <w:hideMark/>
          </w:tcPr>
          <w:p w14:paraId="72B4533F" w14:textId="77777777" w:rsidR="007E4125" w:rsidRPr="008112B3" w:rsidRDefault="007E4125" w:rsidP="007E4125">
            <w:r w:rsidRPr="23928017">
              <w:rPr>
                <w:rStyle w:val="Strong"/>
              </w:rPr>
              <w:t xml:space="preserve">STANDARD 6: DATA, EVIDENCE AND IMPACT </w:t>
            </w:r>
          </w:p>
        </w:tc>
      </w:tr>
      <w:tr w:rsidR="007E4125" w:rsidRPr="008112B3" w14:paraId="146617FE" w14:textId="77777777" w:rsidTr="007E4125">
        <w:trPr>
          <w:gridAfter w:val="8"/>
          <w:wAfter w:w="5672" w:type="dxa"/>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CDD108" w14:textId="77777777" w:rsidR="007E4125" w:rsidRPr="008112B3" w:rsidRDefault="007E4125" w:rsidP="007E4125">
            <w:r w:rsidRPr="008112B3">
              <w:t>6.2</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D91AA4" w14:textId="77777777" w:rsidR="007E4125" w:rsidRPr="008112B3" w:rsidRDefault="007E4125" w:rsidP="00DE22E7">
            <w:pPr>
              <w:spacing w:after="120"/>
            </w:pPr>
            <w:r>
              <w:t xml:space="preserve">The specific data reporting requirements for a </w:t>
            </w:r>
            <w:r w:rsidRPr="7AB4989F">
              <w:rPr>
                <w:b/>
                <w:bCs/>
              </w:rPr>
              <w:t xml:space="preserve">Provider </w:t>
            </w:r>
            <w:r>
              <w:t>includes collection and reporting of:</w:t>
            </w:r>
          </w:p>
          <w:p w14:paraId="5ADFCD48" w14:textId="14FE0AC7" w:rsidR="007E4125" w:rsidRPr="008112B3" w:rsidRDefault="00264A7F" w:rsidP="00DE22E7">
            <w:pPr>
              <w:spacing w:after="120"/>
            </w:pPr>
            <w:r>
              <w:t xml:space="preserve">a) </w:t>
            </w:r>
            <w:r w:rsidR="007E4125">
              <w:t xml:space="preserve">process data on implementation of </w:t>
            </w:r>
            <w:r w:rsidR="007E4125" w:rsidRPr="7AB4989F">
              <w:rPr>
                <w:b/>
                <w:bCs/>
              </w:rPr>
              <w:t>Policies, Procedures,</w:t>
            </w:r>
            <w:r w:rsidR="007E4125">
              <w:t xml:space="preserve"> plans and related activities;</w:t>
            </w:r>
          </w:p>
          <w:p w14:paraId="56D33CD7" w14:textId="771F0533" w:rsidR="007E4125" w:rsidRPr="008112B3" w:rsidRDefault="00264A7F" w:rsidP="00DE22E7">
            <w:pPr>
              <w:spacing w:after="120"/>
            </w:pPr>
            <w:r>
              <w:t xml:space="preserve">b) </w:t>
            </w:r>
            <w:r w:rsidR="007E4125" w:rsidRPr="7AB4989F">
              <w:rPr>
                <w:b/>
                <w:bCs/>
              </w:rPr>
              <w:t xml:space="preserve">De-identified </w:t>
            </w:r>
            <w:r w:rsidR="007E4125">
              <w:t xml:space="preserve">data on incidents of Gender-based Violence enabling trend analysis and systemic responses; and </w:t>
            </w:r>
          </w:p>
          <w:p w14:paraId="00D1DD59" w14:textId="4B07AC1F" w:rsidR="007E4125" w:rsidRPr="008112B3" w:rsidRDefault="00264A7F" w:rsidP="00DE22E7">
            <w:pPr>
              <w:spacing w:after="120"/>
            </w:pPr>
            <w:r>
              <w:t xml:space="preserve">c) </w:t>
            </w:r>
            <w:r w:rsidR="007E4125">
              <w:t xml:space="preserve">administrative </w:t>
            </w:r>
            <w:r w:rsidR="007E4125" w:rsidRPr="7AB4989F">
              <w:rPr>
                <w:b/>
                <w:bCs/>
              </w:rPr>
              <w:t>De-identified Demographic data</w:t>
            </w:r>
            <w:r w:rsidR="007E4125">
              <w:t xml:space="preserve"> and enrolment/engagement characteristics of </w:t>
            </w:r>
            <w:r w:rsidR="007E4125" w:rsidRPr="7AB4989F">
              <w:rPr>
                <w:b/>
                <w:bCs/>
              </w:rPr>
              <w:t xml:space="preserve">Disclosers </w:t>
            </w:r>
            <w:r w:rsidR="007E4125">
              <w:t xml:space="preserve">and </w:t>
            </w:r>
            <w:r w:rsidR="007E4125" w:rsidRPr="7AB4989F">
              <w:rPr>
                <w:b/>
                <w:bCs/>
              </w:rPr>
              <w:t>Respondents</w:t>
            </w:r>
            <w:r w:rsidR="007E4125">
              <w:t>.</w:t>
            </w:r>
          </w:p>
          <w:p w14:paraId="0E255FA0" w14:textId="77777777" w:rsidR="007E4125" w:rsidRPr="008112B3" w:rsidRDefault="007E4125" w:rsidP="00DE22E7">
            <w:pPr>
              <w:spacing w:after="120"/>
            </w:pPr>
            <w:r w:rsidRPr="008112B3">
              <w:rPr>
                <w:i/>
              </w:rPr>
              <w:t xml:space="preserve">NB: The National Code includes detail on the purpose for data collection including ensuring compliance and accountability of providers; facilitating evaluation of providers and sector tracking; and expanding the national evidence base. The National Code also stipulates that data must be collected in a manner that is safe, trauma-informed, person-centred, in a format requested by the Secretary and that documents are handled securely in accordance with Commonwealth, State and Territory Laws or Australian Privacy Principles.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D22AC2" w14:textId="257AB91D" w:rsidR="007E4125" w:rsidRPr="008112B3" w:rsidRDefault="007E4125" w:rsidP="007E4125">
            <w:r>
              <w:t>Reporting due 30 June</w:t>
            </w:r>
            <w:r w:rsidR="00C85543">
              <w:t xml:space="preserve"> each year for the previous</w:t>
            </w:r>
            <w:r>
              <w:t xml:space="preserve"> calendar year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BBF2B34" w14:textId="77777777" w:rsidR="007E4125" w:rsidRPr="007E4125" w:rsidRDefault="007E4125" w:rsidP="007E4125">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FE9606D" w14:textId="77777777" w:rsidR="007E4125" w:rsidRPr="007E4125" w:rsidRDefault="007E4125" w:rsidP="007E4125">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7251D39" w14:textId="77777777" w:rsidR="007E4125" w:rsidRPr="007E4125" w:rsidRDefault="007E4125" w:rsidP="007E4125">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15DEF5A4" w14:textId="77777777" w:rsidR="007E4125" w:rsidRPr="007E4125" w:rsidRDefault="007E4125" w:rsidP="007E4125">
            <w:pPr>
              <w:jc w:val="center"/>
              <w:rPr>
                <w:b/>
                <w:sz w:val="32"/>
                <w:szCs w:val="32"/>
              </w:rPr>
            </w:pPr>
            <w:r w:rsidRPr="007E4125">
              <w:rPr>
                <w:b/>
                <w:sz w:val="32"/>
                <w:szCs w:val="32"/>
              </w:rPr>
              <w:t>X</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25825791" w14:textId="77777777" w:rsidR="007E4125" w:rsidRPr="007E4125" w:rsidRDefault="007E4125" w:rsidP="007E4125">
            <w:pPr>
              <w:jc w:val="center"/>
              <w:rPr>
                <w:b/>
                <w:sz w:val="32"/>
                <w:szCs w:val="32"/>
              </w:rPr>
            </w:pPr>
            <w:r w:rsidRPr="007E4125">
              <w:rPr>
                <w:b/>
                <w:sz w:val="32"/>
                <w:szCs w:val="32"/>
              </w:rPr>
              <w:t>X</w:t>
            </w:r>
          </w:p>
        </w:tc>
      </w:tr>
      <w:tr w:rsidR="007E4125" w:rsidRPr="008112B3" w14:paraId="664D1AD9" w14:textId="77777777" w:rsidTr="007E4125">
        <w:trPr>
          <w:gridAfter w:val="8"/>
          <w:wAfter w:w="5672" w:type="dxa"/>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B3153C" w14:textId="77777777" w:rsidR="007E4125" w:rsidRPr="008112B3" w:rsidRDefault="007E4125" w:rsidP="007E4125">
            <w:r w:rsidRPr="008112B3">
              <w:t>6.4</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426DD9" w14:textId="77777777" w:rsidR="007E4125" w:rsidRPr="008112B3" w:rsidRDefault="007E4125" w:rsidP="00DE22E7">
            <w:pPr>
              <w:spacing w:after="120"/>
            </w:pPr>
            <w:r>
              <w:t xml:space="preserve">A </w:t>
            </w:r>
            <w:r w:rsidRPr="7AB4989F">
              <w:rPr>
                <w:b/>
                <w:bCs/>
              </w:rPr>
              <w:t xml:space="preserve">Provider </w:t>
            </w:r>
            <w:r>
              <w:t xml:space="preserve">must comply with the obligations under this standard in relation to </w:t>
            </w:r>
            <w:r w:rsidRPr="7AB4989F">
              <w:rPr>
                <w:b/>
                <w:bCs/>
              </w:rPr>
              <w:t>Student Accommodation</w:t>
            </w:r>
            <w:r>
              <w:t xml:space="preserve"> as set out in Standard 7, as applicable.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7CE982" w14:textId="3A3169BC" w:rsidR="007E4125" w:rsidRPr="008112B3" w:rsidRDefault="007E4125" w:rsidP="007E4125">
            <w:r w:rsidRPr="008112B3">
              <w:t xml:space="preserve">From </w:t>
            </w:r>
            <w:r w:rsidR="00C86EE5">
              <w:t>the Initial Date</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6170B99" w14:textId="77777777" w:rsidR="007E4125" w:rsidRPr="007E4125" w:rsidRDefault="007E4125" w:rsidP="007E4125">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D24D196" w14:textId="77777777" w:rsidR="007E4125" w:rsidRPr="007E4125" w:rsidRDefault="007E4125" w:rsidP="007E4125">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8893BA4" w14:textId="77777777" w:rsidR="007E4125" w:rsidRPr="007E4125" w:rsidRDefault="007E4125" w:rsidP="007E4125">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63C1B561" w14:textId="77777777" w:rsidR="007E4125" w:rsidRPr="007E4125" w:rsidRDefault="007E4125" w:rsidP="007E4125">
            <w:pPr>
              <w:jc w:val="center"/>
              <w:rPr>
                <w:b/>
                <w:sz w:val="32"/>
                <w:szCs w:val="32"/>
              </w:rPr>
            </w:pPr>
            <w:r w:rsidRPr="007E4125">
              <w:rPr>
                <w:b/>
                <w:sz w:val="32"/>
                <w:szCs w:val="32"/>
              </w:rPr>
              <w:t>X</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195829ED" w14:textId="77777777" w:rsidR="007E4125" w:rsidRPr="007E4125" w:rsidRDefault="007E4125" w:rsidP="007E4125">
            <w:pPr>
              <w:jc w:val="center"/>
              <w:rPr>
                <w:b/>
                <w:sz w:val="32"/>
                <w:szCs w:val="32"/>
              </w:rPr>
            </w:pPr>
            <w:r w:rsidRPr="007E4125">
              <w:rPr>
                <w:b/>
                <w:sz w:val="32"/>
                <w:szCs w:val="32"/>
              </w:rPr>
              <w:t>X</w:t>
            </w:r>
          </w:p>
        </w:tc>
      </w:tr>
      <w:tr w:rsidR="007E4125" w:rsidRPr="008112B3" w14:paraId="721B054C" w14:textId="77777777" w:rsidTr="007E4125">
        <w:trPr>
          <w:gridAfter w:val="8"/>
          <w:wAfter w:w="5672" w:type="dxa"/>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0BE80D" w14:textId="77777777" w:rsidR="007E4125" w:rsidRPr="008112B3" w:rsidRDefault="007E4125" w:rsidP="007E4125">
            <w:r w:rsidRPr="008112B3">
              <w:lastRenderedPageBreak/>
              <w:t>6.5</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D1FFCE" w14:textId="77777777" w:rsidR="007E4125" w:rsidRPr="008112B3" w:rsidRDefault="007E4125" w:rsidP="00DE22E7">
            <w:pPr>
              <w:spacing w:after="120"/>
            </w:pPr>
            <w:r>
              <w:t xml:space="preserve">A </w:t>
            </w:r>
            <w:r w:rsidRPr="7AB4989F">
              <w:rPr>
                <w:b/>
                <w:bCs/>
              </w:rPr>
              <w:t xml:space="preserve">Provider </w:t>
            </w:r>
            <w:r>
              <w:t xml:space="preserve">must ensure the data collected in accordance with this standard is used to inform and strengthen the </w:t>
            </w:r>
            <w:r w:rsidRPr="7AB4989F">
              <w:rPr>
                <w:b/>
                <w:bCs/>
              </w:rPr>
              <w:t>Provider’s Whole-of-Organisation</w:t>
            </w:r>
            <w:r>
              <w:t xml:space="preserve"> approach to preventing and responding to </w:t>
            </w:r>
            <w:r w:rsidRPr="7AB4989F">
              <w:rPr>
                <w:b/>
                <w:bCs/>
              </w:rPr>
              <w:t>Gender-based Violence</w:t>
            </w:r>
            <w:r>
              <w:t xml:space="preserve">, including the </w:t>
            </w:r>
            <w:r w:rsidRPr="7AB4989F">
              <w:rPr>
                <w:b/>
                <w:bCs/>
              </w:rPr>
              <w:t>Prevention and Response Plan</w:t>
            </w:r>
            <w:r>
              <w:t xml:space="preserve"> and outcomes framework.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4F6DCF" w14:textId="5EA46FCC" w:rsidR="007E4125" w:rsidRPr="008112B3" w:rsidRDefault="007E4125" w:rsidP="007E4125">
            <w:r w:rsidRPr="008112B3">
              <w:t xml:space="preserve">From </w:t>
            </w:r>
            <w:r w:rsidR="00382879">
              <w:t>the Initial Date</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7346E39" w14:textId="77777777" w:rsidR="007E4125" w:rsidRPr="007E4125" w:rsidRDefault="007E4125" w:rsidP="007E4125">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71755A3E" w14:textId="77777777" w:rsidR="007E4125" w:rsidRPr="007E4125" w:rsidRDefault="007E4125" w:rsidP="007E4125">
            <w:pPr>
              <w:jc w:val="center"/>
              <w:rPr>
                <w:b/>
                <w:sz w:val="32"/>
                <w:szCs w:val="32"/>
              </w:rPr>
            </w:pPr>
            <w:r w:rsidRPr="007E4125">
              <w:rPr>
                <w:b/>
                <w:sz w:val="32"/>
                <w:szCs w:val="32"/>
              </w:rPr>
              <w:t>X</w:t>
            </w: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3E13FF0D" w14:textId="77777777" w:rsidR="007E4125" w:rsidRPr="007E4125" w:rsidRDefault="007E4125" w:rsidP="007E4125">
            <w:pPr>
              <w:jc w:val="center"/>
              <w:rPr>
                <w:b/>
                <w:sz w:val="32"/>
                <w:szCs w:val="32"/>
              </w:rPr>
            </w:pPr>
            <w:r w:rsidRPr="007E4125">
              <w:rPr>
                <w:b/>
                <w:sz w:val="32"/>
                <w:szCs w:val="32"/>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202C5963" w14:textId="77777777" w:rsidR="007E4125" w:rsidRPr="007E4125" w:rsidRDefault="007E4125" w:rsidP="007E4125">
            <w:pPr>
              <w:jc w:val="center"/>
              <w:rPr>
                <w:b/>
                <w:sz w:val="32"/>
                <w:szCs w:val="32"/>
              </w:rPr>
            </w:pPr>
            <w:r w:rsidRPr="007E4125">
              <w:rPr>
                <w:b/>
                <w:sz w:val="32"/>
                <w:szCs w:val="32"/>
              </w:rPr>
              <w:t>X</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606DDF43" w14:textId="77777777" w:rsidR="007E4125" w:rsidRPr="007E4125" w:rsidRDefault="007E4125" w:rsidP="007E4125">
            <w:pPr>
              <w:jc w:val="center"/>
              <w:rPr>
                <w:b/>
                <w:sz w:val="32"/>
                <w:szCs w:val="32"/>
              </w:rPr>
            </w:pPr>
            <w:r w:rsidRPr="007E4125">
              <w:rPr>
                <w:b/>
                <w:sz w:val="32"/>
                <w:szCs w:val="32"/>
              </w:rPr>
              <w:t>X</w:t>
            </w:r>
          </w:p>
        </w:tc>
      </w:tr>
      <w:tr w:rsidR="007E4125" w:rsidRPr="008112B3" w14:paraId="2F74CE15" w14:textId="77777777" w:rsidTr="007E4125">
        <w:trPr>
          <w:gridAfter w:val="8"/>
          <w:wAfter w:w="5672" w:type="dxa"/>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A72D66" w14:textId="77777777" w:rsidR="007E4125" w:rsidRPr="008112B3" w:rsidRDefault="007E4125" w:rsidP="007E4125">
            <w:r w:rsidRPr="008112B3">
              <w:t>6.6</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854E09" w14:textId="77777777" w:rsidR="007E4125" w:rsidRPr="008112B3" w:rsidRDefault="007E4125" w:rsidP="00DE22E7">
            <w:pPr>
              <w:spacing w:after="120"/>
            </w:pPr>
            <w:r>
              <w:t xml:space="preserve">A </w:t>
            </w:r>
            <w:r w:rsidRPr="7AB4989F">
              <w:rPr>
                <w:b/>
                <w:bCs/>
              </w:rPr>
              <w:t xml:space="preserve">Provider </w:t>
            </w:r>
            <w:r>
              <w:t xml:space="preserve">must ensure the data collected in accordance with this standard informs evaluation, impact and planning and enables a systemic approach to preventing and responding to </w:t>
            </w:r>
            <w:r w:rsidRPr="7AB4989F">
              <w:rPr>
                <w:b/>
                <w:bCs/>
              </w:rPr>
              <w:t xml:space="preserve">Gender-based Violence.  </w:t>
            </w:r>
          </w:p>
          <w:p w14:paraId="760FA102" w14:textId="63C4FCBE" w:rsidR="007E4125" w:rsidRPr="008112B3" w:rsidRDefault="007E4125" w:rsidP="00DE22E7">
            <w:pPr>
              <w:spacing w:after="120"/>
            </w:pPr>
            <w:r w:rsidRPr="2CB1A554">
              <w:rPr>
                <w:i/>
                <w:iCs/>
              </w:rPr>
              <w:t xml:space="preserve">NB: The National Code includes specificity on the purpose of the data including that it should inform an understanding of the barriers for the prevention and response to Gender-based violence; the operation of systems, policies and procedures, and how to strengthen education and training. The National Code also specifies that evaluations are robust and carried out effectively.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A0BF97" w14:textId="735171A7" w:rsidR="007E4125" w:rsidRPr="008112B3" w:rsidRDefault="007E4125" w:rsidP="007E4125">
            <w:r w:rsidRPr="008112B3">
              <w:t xml:space="preserve">From </w:t>
            </w:r>
            <w:r w:rsidR="00382879">
              <w:t>the Initial Date</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1E2D30E" w14:textId="77777777" w:rsidR="007E4125" w:rsidRPr="008112B3" w:rsidRDefault="007E4125" w:rsidP="007E4125"/>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5C799B3" w14:textId="77777777" w:rsidR="007E4125" w:rsidRPr="008112B3" w:rsidRDefault="007E4125" w:rsidP="007E4125"/>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45604B28" w14:textId="77777777" w:rsidR="007E4125" w:rsidRPr="007D0713" w:rsidRDefault="007E4125" w:rsidP="007D0713">
            <w:pPr>
              <w:jc w:val="center"/>
              <w:rPr>
                <w:b/>
                <w:sz w:val="32"/>
                <w:szCs w:val="32"/>
              </w:rPr>
            </w:pPr>
            <w:r w:rsidRPr="007D0713">
              <w:rPr>
                <w:b/>
                <w:sz w:val="32"/>
                <w:szCs w:val="32"/>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1A302349" w14:textId="77777777" w:rsidR="007E4125" w:rsidRPr="007D0713" w:rsidRDefault="007E4125" w:rsidP="007D0713">
            <w:pPr>
              <w:jc w:val="center"/>
              <w:rPr>
                <w:b/>
                <w:sz w:val="32"/>
                <w:szCs w:val="32"/>
              </w:rPr>
            </w:pPr>
            <w:r w:rsidRPr="007D0713">
              <w:rPr>
                <w:b/>
                <w:sz w:val="32"/>
                <w:szCs w:val="32"/>
              </w:rPr>
              <w:t>X</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3C6749F" w14:textId="77777777" w:rsidR="007E4125" w:rsidRPr="007D0713" w:rsidRDefault="007E4125" w:rsidP="007D0713">
            <w:pPr>
              <w:jc w:val="center"/>
              <w:rPr>
                <w:b/>
                <w:sz w:val="32"/>
                <w:szCs w:val="32"/>
              </w:rPr>
            </w:pPr>
          </w:p>
        </w:tc>
      </w:tr>
      <w:tr w:rsidR="007E4125" w:rsidRPr="008112B3" w14:paraId="7F8E5582" w14:textId="77777777" w:rsidTr="007E4125">
        <w:trPr>
          <w:gridAfter w:val="8"/>
          <w:wAfter w:w="5672" w:type="dxa"/>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12B8B2" w14:textId="77777777" w:rsidR="007E4125" w:rsidRPr="008112B3" w:rsidRDefault="007E4125" w:rsidP="007E4125">
            <w:r w:rsidRPr="008112B3">
              <w:t>6.8</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0EA13" w14:textId="6EB02B90" w:rsidR="007E4125" w:rsidRPr="008112B3" w:rsidRDefault="007E4125" w:rsidP="00DE22E7">
            <w:pPr>
              <w:spacing w:after="120"/>
            </w:pPr>
            <w:r>
              <w:t xml:space="preserve">With respect to a </w:t>
            </w:r>
            <w:r w:rsidRPr="7AB4989F">
              <w:rPr>
                <w:b/>
                <w:bCs/>
              </w:rPr>
              <w:t xml:space="preserve">Provider’s </w:t>
            </w:r>
            <w:r>
              <w:t xml:space="preserve">obligations to engage and collaborate with </w:t>
            </w:r>
            <w:r w:rsidRPr="7AB4989F">
              <w:rPr>
                <w:b/>
                <w:bCs/>
              </w:rPr>
              <w:t xml:space="preserve">Students </w:t>
            </w:r>
            <w:r>
              <w:t xml:space="preserve">and </w:t>
            </w:r>
            <w:r w:rsidRPr="7AB4989F">
              <w:rPr>
                <w:b/>
                <w:bCs/>
              </w:rPr>
              <w:t>Staff</w:t>
            </w:r>
            <w:r>
              <w:t xml:space="preserve">, the </w:t>
            </w:r>
            <w:r w:rsidRPr="7AB4989F">
              <w:rPr>
                <w:b/>
                <w:bCs/>
              </w:rPr>
              <w:t xml:space="preserve">Secretary </w:t>
            </w:r>
            <w:r>
              <w:t xml:space="preserve">may require a </w:t>
            </w:r>
            <w:r w:rsidRPr="7AB4989F">
              <w:rPr>
                <w:b/>
                <w:bCs/>
              </w:rPr>
              <w:t xml:space="preserve">Provider </w:t>
            </w:r>
            <w:r>
              <w:t xml:space="preserve">to provide data on the number of engagements, including the number and breakdown of participants and whether participants felt satisfied with the engagement process.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C0D929" w14:textId="141C47F9" w:rsidR="007E4125" w:rsidRPr="008112B3" w:rsidRDefault="007E4125" w:rsidP="007E4125">
            <w:r w:rsidRPr="008112B3">
              <w:t xml:space="preserve">From </w:t>
            </w:r>
            <w:r w:rsidR="00382879">
              <w:t>the Initial Date</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C57AFD7" w14:textId="77777777" w:rsidR="007E4125" w:rsidRPr="008112B3" w:rsidRDefault="007E4125" w:rsidP="007E4125"/>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B01C2EB" w14:textId="77777777" w:rsidR="007E4125" w:rsidRPr="008112B3" w:rsidRDefault="007E4125" w:rsidP="007E4125"/>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D9F75DA" w14:textId="77777777" w:rsidR="007E4125" w:rsidRPr="007D0713" w:rsidRDefault="007E4125" w:rsidP="007D0713">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69792D25" w14:textId="77777777" w:rsidR="007E4125" w:rsidRPr="007D0713" w:rsidRDefault="007E4125" w:rsidP="007D0713">
            <w:pPr>
              <w:jc w:val="center"/>
              <w:rPr>
                <w:b/>
                <w:sz w:val="32"/>
                <w:szCs w:val="32"/>
              </w:rPr>
            </w:pPr>
            <w:r w:rsidRPr="007D0713">
              <w:rPr>
                <w:b/>
                <w:sz w:val="32"/>
                <w:szCs w:val="32"/>
              </w:rPr>
              <w:t>X</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8C5D582" w14:textId="77777777" w:rsidR="007E4125" w:rsidRPr="007D0713" w:rsidRDefault="007E4125" w:rsidP="007D0713">
            <w:pPr>
              <w:jc w:val="center"/>
              <w:rPr>
                <w:b/>
                <w:sz w:val="32"/>
                <w:szCs w:val="32"/>
              </w:rPr>
            </w:pPr>
            <w:r w:rsidRPr="007D0713">
              <w:rPr>
                <w:b/>
                <w:sz w:val="32"/>
                <w:szCs w:val="32"/>
              </w:rPr>
              <w:t>X</w:t>
            </w:r>
          </w:p>
          <w:p w14:paraId="089CB9BE" w14:textId="77777777" w:rsidR="007E4125" w:rsidRPr="007D0713" w:rsidRDefault="007E4125" w:rsidP="007D0713">
            <w:pPr>
              <w:jc w:val="center"/>
              <w:rPr>
                <w:b/>
                <w:sz w:val="32"/>
                <w:szCs w:val="32"/>
              </w:rPr>
            </w:pPr>
          </w:p>
        </w:tc>
      </w:tr>
      <w:tr w:rsidR="007E4125" w:rsidRPr="008112B3" w14:paraId="525CC0E7" w14:textId="77777777" w:rsidTr="007E4125">
        <w:trPr>
          <w:gridAfter w:val="8"/>
          <w:wAfter w:w="5672" w:type="dxa"/>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7351DE" w14:textId="77777777" w:rsidR="007E4125" w:rsidRPr="008112B3" w:rsidRDefault="007E4125" w:rsidP="007E4125">
            <w:r w:rsidRPr="008112B3">
              <w:t>6.9 - 6.11</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186C04" w14:textId="77777777" w:rsidR="007E4125" w:rsidRPr="008112B3" w:rsidRDefault="007E4125" w:rsidP="00DE22E7">
            <w:pPr>
              <w:spacing w:after="120"/>
            </w:pPr>
            <w:r>
              <w:t xml:space="preserve">The </w:t>
            </w:r>
            <w:r w:rsidRPr="7AB4989F">
              <w:rPr>
                <w:b/>
                <w:bCs/>
              </w:rPr>
              <w:t xml:space="preserve">Secretary </w:t>
            </w:r>
            <w:r>
              <w:t xml:space="preserve">may require a </w:t>
            </w:r>
            <w:r w:rsidRPr="7AB4989F">
              <w:rPr>
                <w:b/>
                <w:bCs/>
              </w:rPr>
              <w:t xml:space="preserve">Provider </w:t>
            </w:r>
            <w:r>
              <w:t>to provide data on:</w:t>
            </w:r>
          </w:p>
          <w:p w14:paraId="5CF4C266" w14:textId="77777777" w:rsidR="007E4125" w:rsidRPr="008112B3" w:rsidRDefault="007E4125" w:rsidP="00DE22E7">
            <w:pPr>
              <w:spacing w:after="120"/>
            </w:pPr>
            <w:r w:rsidRPr="7AB4989F">
              <w:rPr>
                <w:u w:val="single"/>
              </w:rPr>
              <w:t>6.9:</w:t>
            </w:r>
            <w:r>
              <w:t xml:space="preserve"> </w:t>
            </w:r>
            <w:r w:rsidRPr="7AB4989F">
              <w:rPr>
                <w:b/>
                <w:bCs/>
              </w:rPr>
              <w:t xml:space="preserve">Student </w:t>
            </w:r>
            <w:r>
              <w:t xml:space="preserve">and </w:t>
            </w:r>
            <w:r w:rsidRPr="7AB4989F">
              <w:rPr>
                <w:b/>
                <w:bCs/>
              </w:rPr>
              <w:t xml:space="preserve">Staff </w:t>
            </w:r>
            <w:r>
              <w:t xml:space="preserve">awareness of the </w:t>
            </w:r>
            <w:r w:rsidRPr="7AB4989F">
              <w:rPr>
                <w:b/>
                <w:bCs/>
              </w:rPr>
              <w:t>Provider’s Whole-of-Organisation Prevention and Response Plan;</w:t>
            </w:r>
            <w:r>
              <w:t xml:space="preserve"> </w:t>
            </w:r>
            <w:r w:rsidRPr="7AB4989F">
              <w:rPr>
                <w:b/>
                <w:bCs/>
              </w:rPr>
              <w:t xml:space="preserve">Policies </w:t>
            </w:r>
            <w:r>
              <w:t xml:space="preserve">and </w:t>
            </w:r>
            <w:r w:rsidRPr="7AB4989F">
              <w:rPr>
                <w:b/>
                <w:bCs/>
              </w:rPr>
              <w:t xml:space="preserve">Procedures </w:t>
            </w:r>
            <w:r>
              <w:t xml:space="preserve">for making </w:t>
            </w:r>
            <w:r w:rsidRPr="7AB4989F">
              <w:rPr>
                <w:b/>
                <w:bCs/>
              </w:rPr>
              <w:t xml:space="preserve">Disclosures </w:t>
            </w:r>
            <w:r>
              <w:t xml:space="preserve">and </w:t>
            </w:r>
            <w:r w:rsidRPr="7AB4989F">
              <w:rPr>
                <w:b/>
                <w:bCs/>
              </w:rPr>
              <w:t>Formal Reports</w:t>
            </w:r>
            <w:r>
              <w:t xml:space="preserve">; and availability and accessibility of the </w:t>
            </w:r>
            <w:r w:rsidRPr="7AB4989F">
              <w:rPr>
                <w:b/>
                <w:bCs/>
              </w:rPr>
              <w:t xml:space="preserve">Provider’s </w:t>
            </w:r>
            <w:r>
              <w:t xml:space="preserve">support services, including academic adjustments, in relation to </w:t>
            </w:r>
            <w:r w:rsidRPr="7AB4989F">
              <w:rPr>
                <w:b/>
                <w:bCs/>
              </w:rPr>
              <w:t>Gender-based Violence.</w:t>
            </w:r>
          </w:p>
          <w:p w14:paraId="34D2A117" w14:textId="77777777" w:rsidR="007E4125" w:rsidRPr="008112B3" w:rsidRDefault="007E4125" w:rsidP="00DE22E7">
            <w:pPr>
              <w:spacing w:after="120"/>
            </w:pPr>
            <w:r w:rsidRPr="7AB4989F">
              <w:rPr>
                <w:u w:val="single"/>
              </w:rPr>
              <w:t>6.10:</w:t>
            </w:r>
            <w:r>
              <w:t xml:space="preserve"> the number of recruitment processes that involved a declaration of an allegation or determination of </w:t>
            </w:r>
            <w:r w:rsidRPr="7AB4989F">
              <w:rPr>
                <w:b/>
                <w:bCs/>
              </w:rPr>
              <w:t>Gender-based Violence</w:t>
            </w:r>
            <w:r>
              <w:t xml:space="preserve"> and the number of people that made a declaration who were offered a position; and any additional </w:t>
            </w:r>
            <w:r w:rsidRPr="7AB4989F">
              <w:rPr>
                <w:b/>
                <w:bCs/>
              </w:rPr>
              <w:t>Policies</w:t>
            </w:r>
            <w:r>
              <w:t xml:space="preserve">, </w:t>
            </w:r>
            <w:r w:rsidRPr="7AB4989F">
              <w:rPr>
                <w:b/>
                <w:bCs/>
              </w:rPr>
              <w:t xml:space="preserve">Procedures </w:t>
            </w:r>
            <w:r>
              <w:t xml:space="preserve">or actions undertaken by the Provider to prioritise safety. </w:t>
            </w:r>
          </w:p>
          <w:p w14:paraId="0F7AC7A0" w14:textId="77777777" w:rsidR="007E4125" w:rsidRPr="008112B3" w:rsidRDefault="007E4125" w:rsidP="00DE22E7">
            <w:pPr>
              <w:spacing w:after="120"/>
            </w:pPr>
            <w:r w:rsidRPr="7AB4989F">
              <w:rPr>
                <w:u w:val="single"/>
              </w:rPr>
              <w:t>6.11:</w:t>
            </w:r>
            <w:r>
              <w:t xml:space="preserve"> the number and proportion of </w:t>
            </w:r>
            <w:r w:rsidRPr="7AB4989F">
              <w:rPr>
                <w:b/>
                <w:bCs/>
              </w:rPr>
              <w:t>Students</w:t>
            </w:r>
            <w:r>
              <w:t xml:space="preserve">, </w:t>
            </w:r>
            <w:r w:rsidRPr="7AB4989F">
              <w:rPr>
                <w:b/>
                <w:bCs/>
              </w:rPr>
              <w:t xml:space="preserve">Leadership </w:t>
            </w:r>
            <w:r>
              <w:t xml:space="preserve">and </w:t>
            </w:r>
            <w:r w:rsidRPr="7AB4989F">
              <w:rPr>
                <w:b/>
                <w:bCs/>
              </w:rPr>
              <w:t xml:space="preserve">Staff </w:t>
            </w:r>
            <w:r>
              <w:t>who undertook training in relation to</w:t>
            </w:r>
            <w:r w:rsidRPr="7AB4989F">
              <w:rPr>
                <w:b/>
                <w:bCs/>
              </w:rPr>
              <w:t xml:space="preserve"> Gender-based Violence</w:t>
            </w:r>
            <w:r>
              <w:t xml:space="preserve">; the number and proportion of </w:t>
            </w:r>
            <w:r w:rsidRPr="7AB4989F">
              <w:rPr>
                <w:b/>
                <w:bCs/>
              </w:rPr>
              <w:t>Students</w:t>
            </w:r>
            <w:r>
              <w:t xml:space="preserve">, </w:t>
            </w:r>
            <w:r w:rsidRPr="7AB4989F">
              <w:rPr>
                <w:b/>
                <w:bCs/>
              </w:rPr>
              <w:t xml:space="preserve">Leadership </w:t>
            </w:r>
            <w:r>
              <w:t xml:space="preserve">and </w:t>
            </w:r>
            <w:r w:rsidRPr="7AB4989F">
              <w:rPr>
                <w:b/>
                <w:bCs/>
              </w:rPr>
              <w:t xml:space="preserve">Staff </w:t>
            </w:r>
            <w:r>
              <w:t xml:space="preserve">who reported in training feedback and evaluations an increase in awareness and understanding of </w:t>
            </w:r>
            <w:r w:rsidRPr="7AB4989F">
              <w:rPr>
                <w:b/>
                <w:bCs/>
              </w:rPr>
              <w:t>Gender-based Violence</w:t>
            </w:r>
            <w:r>
              <w:t xml:space="preserve">, prevention learning outcomes and </w:t>
            </w:r>
            <w:r w:rsidRPr="7AB4989F">
              <w:rPr>
                <w:b/>
                <w:bCs/>
              </w:rPr>
              <w:t>Ethical Bystander</w:t>
            </w:r>
            <w:r>
              <w:t xml:space="preserve"> behaviours following the training.</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48F78D" w14:textId="1C01D874" w:rsidR="007E4125" w:rsidRPr="008112B3" w:rsidRDefault="007E4125" w:rsidP="007E4125">
            <w:r w:rsidRPr="008112B3">
              <w:t>As</w:t>
            </w:r>
            <w:r w:rsidR="00CF4F82">
              <w:t xml:space="preserve"> required</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E4DBF6E" w14:textId="77777777" w:rsidR="007E4125" w:rsidRPr="008112B3" w:rsidRDefault="007E4125" w:rsidP="007E4125"/>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7B5A551" w14:textId="77777777" w:rsidR="007E4125" w:rsidRPr="008112B3" w:rsidRDefault="007E4125" w:rsidP="007E4125"/>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0E9403C6" w14:textId="77777777" w:rsidR="007E4125" w:rsidRPr="007D0713" w:rsidRDefault="007E4125" w:rsidP="007D0713">
            <w:pPr>
              <w:jc w:val="center"/>
              <w:rPr>
                <w:b/>
                <w:sz w:val="32"/>
                <w:szCs w:val="32"/>
              </w:rPr>
            </w:pPr>
            <w:r w:rsidRPr="007D0713">
              <w:rPr>
                <w:b/>
                <w:sz w:val="32"/>
                <w:szCs w:val="32"/>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F617368" w14:textId="6DABBB0B" w:rsidR="007E4125" w:rsidRPr="007D0713" w:rsidRDefault="006839D7" w:rsidP="007D0713">
            <w:pPr>
              <w:jc w:val="center"/>
              <w:rPr>
                <w:b/>
                <w:sz w:val="32"/>
                <w:szCs w:val="32"/>
              </w:rPr>
            </w:pPr>
            <w:r w:rsidRPr="007D0713">
              <w:rPr>
                <w:b/>
                <w:sz w:val="32"/>
                <w:szCs w:val="32"/>
              </w:rPr>
              <w:t>X</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8954AA0" w14:textId="77777777" w:rsidR="007E4125" w:rsidRPr="007D0713" w:rsidRDefault="007E4125" w:rsidP="007D0713">
            <w:pPr>
              <w:jc w:val="center"/>
              <w:rPr>
                <w:b/>
                <w:sz w:val="32"/>
                <w:szCs w:val="32"/>
              </w:rPr>
            </w:pPr>
          </w:p>
        </w:tc>
      </w:tr>
      <w:tr w:rsidR="007E4125" w:rsidRPr="008112B3" w14:paraId="3DAF12CC" w14:textId="77777777" w:rsidTr="007E4125">
        <w:trPr>
          <w:gridAfter w:val="8"/>
          <w:wAfter w:w="5672" w:type="dxa"/>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14385" w14:textId="77777777" w:rsidR="007E4125" w:rsidRPr="008112B3" w:rsidRDefault="007E4125" w:rsidP="007E4125">
            <w:r w:rsidRPr="008112B3">
              <w:lastRenderedPageBreak/>
              <w:t xml:space="preserve">6.12 </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682AD7" w14:textId="77777777" w:rsidR="007E4125" w:rsidRPr="008112B3" w:rsidRDefault="007E4125" w:rsidP="00DE22E7">
            <w:pPr>
              <w:spacing w:after="120"/>
            </w:pPr>
            <w:r>
              <w:t xml:space="preserve">A </w:t>
            </w:r>
            <w:r w:rsidRPr="7AB4989F">
              <w:rPr>
                <w:b/>
                <w:bCs/>
              </w:rPr>
              <w:t xml:space="preserve">Provider </w:t>
            </w:r>
            <w:r>
              <w:t>must, by 30 June each year, provide the data required under Standards 6.13 and 6.14 for the previous calendar year, from: </w:t>
            </w:r>
          </w:p>
          <w:p w14:paraId="50407F07" w14:textId="6ADB2C89" w:rsidR="007E4125" w:rsidRPr="008112B3" w:rsidRDefault="00FB6F70" w:rsidP="00DE22E7">
            <w:pPr>
              <w:spacing w:after="120"/>
            </w:pPr>
            <w:r>
              <w:t xml:space="preserve">a) </w:t>
            </w:r>
            <w:r w:rsidR="007E4125" w:rsidRPr="008112B3">
              <w:t>30 June 2027, for Providers that are Table A and B providers for the purposes of the Higher Education Support Act 2003 (</w:t>
            </w:r>
            <w:proofErr w:type="spellStart"/>
            <w:r w:rsidR="007E4125" w:rsidRPr="008112B3">
              <w:t>Cth</w:t>
            </w:r>
            <w:proofErr w:type="spellEnd"/>
            <w:r w:rsidR="007E4125" w:rsidRPr="008112B3">
              <w:t xml:space="preserve">) as </w:t>
            </w:r>
            <w:proofErr w:type="gramStart"/>
            <w:r w:rsidR="007E4125" w:rsidRPr="008112B3">
              <w:t>at</w:t>
            </w:r>
            <w:proofErr w:type="gramEnd"/>
            <w:r w:rsidR="007E4125" w:rsidRPr="008112B3">
              <w:t xml:space="preserve"> 1 January 2026; </w:t>
            </w:r>
          </w:p>
          <w:p w14:paraId="5556125F" w14:textId="090C1763" w:rsidR="007E4125" w:rsidRPr="008112B3" w:rsidRDefault="00FB6F70" w:rsidP="00DE22E7">
            <w:pPr>
              <w:spacing w:after="120"/>
            </w:pPr>
            <w:r>
              <w:t xml:space="preserve">b) </w:t>
            </w:r>
            <w:r w:rsidR="007E4125" w:rsidRPr="008112B3">
              <w:t>30 June 2028, for all other Providers registered under the Tertiary Education Quality and Standards Agency Act 2011 (</w:t>
            </w:r>
            <w:proofErr w:type="spellStart"/>
            <w:r w:rsidR="007E4125" w:rsidRPr="008112B3">
              <w:t>Cth</w:t>
            </w:r>
            <w:proofErr w:type="spellEnd"/>
            <w:r w:rsidR="007E4125" w:rsidRPr="008112B3">
              <w:t xml:space="preserve">) as </w:t>
            </w:r>
            <w:proofErr w:type="gramStart"/>
            <w:r w:rsidR="007E4125" w:rsidRPr="008112B3">
              <w:t>at</w:t>
            </w:r>
            <w:proofErr w:type="gramEnd"/>
            <w:r w:rsidR="007E4125" w:rsidRPr="008112B3">
              <w:t xml:space="preserve"> 1 January 2026; </w:t>
            </w:r>
          </w:p>
          <w:p w14:paraId="620BB6C1" w14:textId="53935D9F" w:rsidR="007E4125" w:rsidRPr="008112B3" w:rsidRDefault="00FB6F70" w:rsidP="00DE22E7">
            <w:pPr>
              <w:spacing w:after="120"/>
            </w:pPr>
            <w:r>
              <w:t xml:space="preserve">c) </w:t>
            </w:r>
            <w:r w:rsidR="007E4125" w:rsidRPr="008112B3">
              <w:t>30 June of the first calendar year after the year in which they are registered, for any Providers that are registered under the Tertiary Education Quality and Standards Agency Act 2011 (</w:t>
            </w:r>
            <w:proofErr w:type="spellStart"/>
            <w:r w:rsidR="007E4125" w:rsidRPr="008112B3">
              <w:t>Cth</w:t>
            </w:r>
            <w:proofErr w:type="spellEnd"/>
            <w:r w:rsidR="007E4125" w:rsidRPr="008112B3">
              <w:t>) after 1 January 2026.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6EE7B2" w14:textId="214896BF" w:rsidR="007E4125" w:rsidRPr="008112B3" w:rsidRDefault="007E4125" w:rsidP="007E4125">
            <w:r w:rsidRPr="008112B3">
              <w:t xml:space="preserve">By the date advised in 6.12 </w:t>
            </w:r>
            <w:r w:rsidR="00CF4F82">
              <w:t xml:space="preserve">(a), </w:t>
            </w:r>
            <w:r w:rsidRPr="008112B3">
              <w:t>(b) or (c) and every year thereafter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7BB92D9" w14:textId="77777777" w:rsidR="007E4125" w:rsidRPr="007D0713" w:rsidRDefault="007E4125" w:rsidP="007D0713">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1FD59FD" w14:textId="77777777" w:rsidR="007E4125" w:rsidRPr="007D0713" w:rsidRDefault="007E4125" w:rsidP="007D0713">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3F71F981" w14:textId="77777777" w:rsidR="007E4125" w:rsidRPr="007D0713" w:rsidRDefault="007E4125" w:rsidP="007D0713">
            <w:pPr>
              <w:jc w:val="center"/>
              <w:rPr>
                <w:b/>
                <w:sz w:val="32"/>
                <w:szCs w:val="32"/>
              </w:rPr>
            </w:pPr>
            <w:r w:rsidRPr="007D0713">
              <w:rPr>
                <w:b/>
                <w:sz w:val="32"/>
                <w:szCs w:val="32"/>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127DA55B" w14:textId="77777777" w:rsidR="007E4125" w:rsidRPr="007D0713" w:rsidRDefault="007E4125" w:rsidP="007D0713">
            <w:pPr>
              <w:jc w:val="center"/>
              <w:rPr>
                <w:b/>
                <w:sz w:val="32"/>
                <w:szCs w:val="32"/>
              </w:rPr>
            </w:pPr>
            <w:r w:rsidRPr="007D0713">
              <w:rPr>
                <w:b/>
                <w:sz w:val="32"/>
                <w:szCs w:val="32"/>
              </w:rPr>
              <w:t>X</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793D3F37" w14:textId="77777777" w:rsidR="007E4125" w:rsidRPr="007D0713" w:rsidRDefault="007E4125" w:rsidP="007D0713">
            <w:pPr>
              <w:jc w:val="center"/>
              <w:rPr>
                <w:b/>
                <w:sz w:val="32"/>
                <w:szCs w:val="32"/>
              </w:rPr>
            </w:pPr>
            <w:r w:rsidRPr="007D0713">
              <w:rPr>
                <w:b/>
                <w:sz w:val="32"/>
                <w:szCs w:val="32"/>
              </w:rPr>
              <w:t>X</w:t>
            </w:r>
          </w:p>
        </w:tc>
      </w:tr>
      <w:tr w:rsidR="007E4125" w:rsidRPr="008112B3" w14:paraId="18F6A5D2" w14:textId="77777777" w:rsidTr="007D0713">
        <w:trPr>
          <w:gridAfter w:val="8"/>
          <w:wAfter w:w="5672" w:type="dxa"/>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70F2A8" w14:textId="77777777" w:rsidR="007E4125" w:rsidRPr="008112B3" w:rsidRDefault="007E4125" w:rsidP="007E4125">
            <w:r w:rsidRPr="008112B3">
              <w:t>6.13</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19C2A5" w14:textId="77777777" w:rsidR="007E4125" w:rsidRPr="008112B3" w:rsidRDefault="007E4125" w:rsidP="00DE22E7">
            <w:pPr>
              <w:spacing w:after="120"/>
            </w:pPr>
            <w:r>
              <w:t xml:space="preserve">A </w:t>
            </w:r>
            <w:r w:rsidRPr="7AB4989F">
              <w:rPr>
                <w:b/>
                <w:bCs/>
              </w:rPr>
              <w:t xml:space="preserve">Provider </w:t>
            </w:r>
            <w:r>
              <w:t xml:space="preserve">must seek and provide to the Secretary, and may be required to publish, the data obtained for the previous calendar year relating to </w:t>
            </w:r>
            <w:r w:rsidRPr="7AB4989F">
              <w:rPr>
                <w:b/>
                <w:bCs/>
              </w:rPr>
              <w:t xml:space="preserve">Gender-based Violence. </w:t>
            </w:r>
            <w:r w:rsidRPr="7AB4989F">
              <w:rPr>
                <w:b/>
                <w:bCs/>
                <w:i/>
                <w:iCs/>
              </w:rPr>
              <w:t xml:space="preserve"> </w:t>
            </w:r>
            <w:r w:rsidRPr="7AB4989F">
              <w:rPr>
                <w:i/>
                <w:iCs/>
              </w:rPr>
              <w:t xml:space="preserve"> </w:t>
            </w:r>
          </w:p>
          <w:p w14:paraId="5F4CDC7A" w14:textId="0DD98813" w:rsidR="007E4125" w:rsidRPr="008112B3" w:rsidRDefault="007E4125" w:rsidP="00DE22E7">
            <w:pPr>
              <w:spacing w:after="120"/>
            </w:pPr>
            <w:r w:rsidRPr="008112B3">
              <w:rPr>
                <w:i/>
              </w:rPr>
              <w:t>NB: The National Code includes detail on information and data to be included in the annual report including disaggregated demographic data; data relating to disclosures and formal reports, data on the provider’s trauma-informed and person-centred response; and data on the outcomes of investigations and disciplinary processes.</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B323EE" w14:textId="74F96E62" w:rsidR="007E4125" w:rsidRPr="008112B3" w:rsidRDefault="007E4125" w:rsidP="007E4125">
            <w:r w:rsidRPr="008112B3">
              <w:t xml:space="preserve">By the date advised in 6.12 </w:t>
            </w:r>
            <w:r w:rsidR="004650F8">
              <w:t xml:space="preserve">(a), </w:t>
            </w:r>
            <w:r w:rsidRPr="008112B3">
              <w:t>(b) or (c) and every year thereafter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D7616F6" w14:textId="77777777" w:rsidR="007E4125" w:rsidRPr="007D0713" w:rsidRDefault="007E4125" w:rsidP="007D0713">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65BA95E" w14:textId="77777777" w:rsidR="007E4125" w:rsidRPr="007D0713" w:rsidRDefault="007E4125" w:rsidP="007D0713">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457D585C" w14:textId="77777777" w:rsidR="007E4125" w:rsidRPr="007D0713" w:rsidRDefault="007E4125" w:rsidP="007D0713">
            <w:pPr>
              <w:jc w:val="center"/>
              <w:rPr>
                <w:b/>
                <w:sz w:val="32"/>
                <w:szCs w:val="32"/>
              </w:rPr>
            </w:pPr>
            <w:r w:rsidRPr="007D0713">
              <w:rPr>
                <w:b/>
                <w:sz w:val="32"/>
                <w:szCs w:val="32"/>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74B399C2" w14:textId="77777777" w:rsidR="007E4125" w:rsidRPr="007D0713" w:rsidRDefault="007E4125" w:rsidP="007D0713">
            <w:pPr>
              <w:jc w:val="center"/>
              <w:rPr>
                <w:b/>
                <w:sz w:val="32"/>
                <w:szCs w:val="32"/>
              </w:rPr>
            </w:pPr>
            <w:r w:rsidRPr="007D0713">
              <w:rPr>
                <w:b/>
                <w:sz w:val="32"/>
                <w:szCs w:val="32"/>
              </w:rPr>
              <w:t>X</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291EAD9A" w14:textId="77777777" w:rsidR="007E4125" w:rsidRPr="007D0713" w:rsidRDefault="007E4125" w:rsidP="007D0713">
            <w:pPr>
              <w:jc w:val="center"/>
              <w:rPr>
                <w:b/>
                <w:sz w:val="32"/>
                <w:szCs w:val="32"/>
              </w:rPr>
            </w:pPr>
            <w:r w:rsidRPr="007D0713">
              <w:rPr>
                <w:b/>
                <w:sz w:val="32"/>
                <w:szCs w:val="32"/>
              </w:rPr>
              <w:t>X</w:t>
            </w:r>
          </w:p>
        </w:tc>
      </w:tr>
      <w:tr w:rsidR="007E4125" w:rsidRPr="008112B3" w14:paraId="597EC4E4" w14:textId="77777777" w:rsidTr="00AF1414">
        <w:trPr>
          <w:gridAfter w:val="8"/>
          <w:wAfter w:w="5672" w:type="dxa"/>
          <w:trHeight w:val="1982"/>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441798" w14:textId="77777777" w:rsidR="007E4125" w:rsidRPr="008112B3" w:rsidRDefault="007E4125" w:rsidP="007E4125">
            <w:r w:rsidRPr="008112B3">
              <w:t>6.14</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4A05CC" w14:textId="77777777" w:rsidR="007E4125" w:rsidRPr="008112B3" w:rsidRDefault="007E4125" w:rsidP="00DE22E7">
            <w:pPr>
              <w:spacing w:after="120"/>
            </w:pPr>
            <w:r>
              <w:t xml:space="preserve">A </w:t>
            </w:r>
            <w:r w:rsidRPr="7AB4989F">
              <w:rPr>
                <w:b/>
                <w:bCs/>
              </w:rPr>
              <w:t xml:space="preserve">Provider </w:t>
            </w:r>
            <w:r>
              <w:t xml:space="preserve">must seek and provide to the Secretary, and may be required to publish, the data obtained for the previous calendar year relating to </w:t>
            </w:r>
            <w:r w:rsidRPr="7AB4989F">
              <w:rPr>
                <w:b/>
                <w:bCs/>
              </w:rPr>
              <w:t xml:space="preserve">each Discloser and Respondent. </w:t>
            </w:r>
            <w:r w:rsidRPr="7AB4989F">
              <w:rPr>
                <w:b/>
                <w:bCs/>
                <w:i/>
                <w:iCs/>
              </w:rPr>
              <w:t xml:space="preserve">  </w:t>
            </w:r>
          </w:p>
          <w:p w14:paraId="36CD4C4F" w14:textId="7D90C530" w:rsidR="007E4125" w:rsidRPr="008112B3" w:rsidRDefault="007E4125" w:rsidP="00DE22E7">
            <w:pPr>
              <w:spacing w:after="120"/>
              <w:rPr>
                <w:i/>
              </w:rPr>
            </w:pPr>
            <w:r w:rsidRPr="008112B3">
              <w:rPr>
                <w:i/>
              </w:rPr>
              <w:t xml:space="preserve">NB: The National Code includes detail on information and data to be included in the annual report including disaggregated demographic data for each Discloser and Respondent, including data specific to their status as </w:t>
            </w:r>
            <w:r w:rsidR="00CE43F0">
              <w:rPr>
                <w:i/>
              </w:rPr>
              <w:t xml:space="preserve">a </w:t>
            </w:r>
            <w:r w:rsidRPr="008112B3">
              <w:rPr>
                <w:i/>
              </w:rPr>
              <w:t xml:space="preserve">student or staff member, and the relationship of the Discloser to the Respondent.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27E11" w14:textId="366ADFC6" w:rsidR="007E4125" w:rsidRPr="008112B3" w:rsidRDefault="007E4125" w:rsidP="00AF1414">
            <w:r w:rsidRPr="008112B3">
              <w:t xml:space="preserve">By the date advised in 6.12 </w:t>
            </w:r>
            <w:r w:rsidR="00A30995">
              <w:t xml:space="preserve">(a), </w:t>
            </w:r>
            <w:r w:rsidRPr="008112B3">
              <w:t>(b) or (c) and every year thereafter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69629D18" w14:textId="77777777" w:rsidR="007E4125" w:rsidRPr="007D0713" w:rsidRDefault="007E4125" w:rsidP="00AF1414">
            <w:pP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0731939D" w14:textId="77777777" w:rsidR="007E4125" w:rsidRPr="007D0713" w:rsidRDefault="007E4125" w:rsidP="007D0713">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13F8A51C" w14:textId="77777777" w:rsidR="007E4125" w:rsidRPr="007D0713" w:rsidRDefault="007E4125" w:rsidP="007D0713">
            <w:pPr>
              <w:jc w:val="center"/>
              <w:rPr>
                <w:b/>
                <w:sz w:val="32"/>
                <w:szCs w:val="32"/>
              </w:rPr>
            </w:pPr>
            <w:r w:rsidRPr="007D0713">
              <w:rPr>
                <w:b/>
                <w:sz w:val="32"/>
                <w:szCs w:val="32"/>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44E2EA0E" w14:textId="77777777" w:rsidR="007E4125" w:rsidRPr="007D0713" w:rsidRDefault="007E4125" w:rsidP="007D0713">
            <w:pPr>
              <w:jc w:val="center"/>
              <w:rPr>
                <w:b/>
                <w:sz w:val="32"/>
                <w:szCs w:val="32"/>
              </w:rPr>
            </w:pPr>
            <w:r w:rsidRPr="007D0713">
              <w:rPr>
                <w:b/>
                <w:sz w:val="32"/>
                <w:szCs w:val="32"/>
              </w:rPr>
              <w:t>X</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5039EE7B" w14:textId="77777777" w:rsidR="007E4125" w:rsidRPr="007D0713" w:rsidRDefault="007E4125" w:rsidP="007D0713">
            <w:pPr>
              <w:jc w:val="center"/>
              <w:rPr>
                <w:b/>
                <w:sz w:val="32"/>
                <w:szCs w:val="32"/>
              </w:rPr>
            </w:pPr>
            <w:r w:rsidRPr="007D0713">
              <w:rPr>
                <w:b/>
                <w:sz w:val="32"/>
                <w:szCs w:val="32"/>
              </w:rPr>
              <w:t>X</w:t>
            </w:r>
          </w:p>
        </w:tc>
      </w:tr>
      <w:tr w:rsidR="007D0713" w:rsidRPr="008112B3" w14:paraId="1C5EB4F8" w14:textId="77777777" w:rsidTr="00AF1414">
        <w:trPr>
          <w:gridAfter w:val="8"/>
          <w:wAfter w:w="5672" w:type="dxa"/>
        </w:trPr>
        <w:tc>
          <w:tcPr>
            <w:tcW w:w="754" w:type="dxa"/>
            <w:tcBorders>
              <w:top w:val="single" w:sz="4" w:space="0" w:color="auto"/>
              <w:left w:val="nil"/>
              <w:right w:val="nil"/>
            </w:tcBorders>
            <w:tcMar>
              <w:top w:w="0" w:type="dxa"/>
              <w:left w:w="108" w:type="dxa"/>
              <w:bottom w:w="0" w:type="dxa"/>
              <w:right w:w="108" w:type="dxa"/>
            </w:tcMar>
          </w:tcPr>
          <w:p w14:paraId="7100E6D6" w14:textId="77777777" w:rsidR="007D0713" w:rsidRPr="008112B3" w:rsidRDefault="007D0713" w:rsidP="007E4125"/>
        </w:tc>
        <w:tc>
          <w:tcPr>
            <w:tcW w:w="9039" w:type="dxa"/>
            <w:tcBorders>
              <w:top w:val="single" w:sz="4" w:space="0" w:color="auto"/>
              <w:left w:val="nil"/>
              <w:right w:val="nil"/>
            </w:tcBorders>
            <w:tcMar>
              <w:top w:w="0" w:type="dxa"/>
              <w:left w:w="108" w:type="dxa"/>
              <w:bottom w:w="0" w:type="dxa"/>
              <w:right w:w="108" w:type="dxa"/>
            </w:tcMar>
          </w:tcPr>
          <w:p w14:paraId="4AA485F2" w14:textId="77777777" w:rsidR="007D0713" w:rsidRPr="008112B3" w:rsidRDefault="007D0713" w:rsidP="007E4125"/>
        </w:tc>
        <w:tc>
          <w:tcPr>
            <w:tcW w:w="2552" w:type="dxa"/>
            <w:tcBorders>
              <w:top w:val="single" w:sz="4" w:space="0" w:color="auto"/>
              <w:left w:val="nil"/>
            </w:tcBorders>
            <w:tcMar>
              <w:top w:w="0" w:type="dxa"/>
              <w:left w:w="108" w:type="dxa"/>
              <w:bottom w:w="0" w:type="dxa"/>
              <w:right w:w="108" w:type="dxa"/>
            </w:tcMar>
          </w:tcPr>
          <w:p w14:paraId="24B36577" w14:textId="77777777" w:rsidR="007D0713" w:rsidRPr="008112B3" w:rsidRDefault="007D0713" w:rsidP="007E4125"/>
        </w:tc>
        <w:tc>
          <w:tcPr>
            <w:tcW w:w="2835" w:type="dxa"/>
            <w:gridSpan w:val="5"/>
            <w:tcBorders>
              <w:top w:val="single" w:sz="4" w:space="0" w:color="auto"/>
              <w:bottom w:val="single" w:sz="4" w:space="0" w:color="auto"/>
            </w:tcBorders>
            <w:tcMar>
              <w:top w:w="0" w:type="dxa"/>
              <w:left w:w="108" w:type="dxa"/>
              <w:bottom w:w="0" w:type="dxa"/>
              <w:right w:w="108" w:type="dxa"/>
            </w:tcMar>
          </w:tcPr>
          <w:p w14:paraId="114843D3" w14:textId="77777777" w:rsidR="007D0713" w:rsidRPr="008112B3" w:rsidRDefault="007D0713" w:rsidP="007E4125">
            <w:pPr>
              <w:rPr>
                <w:b/>
                <w:bCs/>
              </w:rPr>
            </w:pPr>
          </w:p>
        </w:tc>
      </w:tr>
      <w:tr w:rsidR="007E4125" w:rsidRPr="008112B3" w14:paraId="3731C9E4" w14:textId="77777777" w:rsidTr="00AF1414">
        <w:trPr>
          <w:gridAfter w:val="8"/>
          <w:wAfter w:w="5672" w:type="dxa"/>
        </w:trPr>
        <w:tc>
          <w:tcPr>
            <w:tcW w:w="754" w:type="dxa"/>
            <w:tcBorders>
              <w:left w:val="nil"/>
              <w:bottom w:val="single" w:sz="4" w:space="0" w:color="auto"/>
            </w:tcBorders>
            <w:tcMar>
              <w:top w:w="0" w:type="dxa"/>
              <w:left w:w="108" w:type="dxa"/>
              <w:bottom w:w="0" w:type="dxa"/>
              <w:right w:w="108" w:type="dxa"/>
            </w:tcMar>
          </w:tcPr>
          <w:p w14:paraId="6F54415B" w14:textId="77777777" w:rsidR="007E4125" w:rsidRPr="008112B3" w:rsidRDefault="007E4125" w:rsidP="007E4125"/>
        </w:tc>
        <w:tc>
          <w:tcPr>
            <w:tcW w:w="9039" w:type="dxa"/>
            <w:tcBorders>
              <w:bottom w:val="single" w:sz="4" w:space="0" w:color="auto"/>
            </w:tcBorders>
            <w:tcMar>
              <w:top w:w="0" w:type="dxa"/>
              <w:left w:w="108" w:type="dxa"/>
              <w:bottom w:w="0" w:type="dxa"/>
              <w:right w:w="108" w:type="dxa"/>
            </w:tcMar>
          </w:tcPr>
          <w:p w14:paraId="0E5C3ACB" w14:textId="77777777" w:rsidR="007E4125" w:rsidRPr="008112B3" w:rsidRDefault="007E4125" w:rsidP="007E4125"/>
        </w:tc>
        <w:tc>
          <w:tcPr>
            <w:tcW w:w="2552" w:type="dxa"/>
            <w:tcBorders>
              <w:bottom w:val="single" w:sz="4" w:space="0" w:color="auto"/>
              <w:right w:val="single" w:sz="4" w:space="0" w:color="auto"/>
            </w:tcBorders>
            <w:tcMar>
              <w:top w:w="0" w:type="dxa"/>
              <w:left w:w="108" w:type="dxa"/>
              <w:bottom w:w="0" w:type="dxa"/>
              <w:right w:w="108" w:type="dxa"/>
            </w:tcMar>
          </w:tcPr>
          <w:p w14:paraId="0348459B" w14:textId="77777777" w:rsidR="007E4125" w:rsidRPr="008112B3" w:rsidRDefault="007E4125" w:rsidP="007E4125"/>
        </w:tc>
        <w:tc>
          <w:tcPr>
            <w:tcW w:w="283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06A30635" w14:textId="77777777" w:rsidR="007E4125" w:rsidRPr="008112B3" w:rsidRDefault="007E4125" w:rsidP="007E4125">
            <w:pPr>
              <w:rPr>
                <w:b/>
                <w:bCs/>
              </w:rPr>
            </w:pPr>
            <w:r w:rsidRPr="008112B3">
              <w:rPr>
                <w:b/>
                <w:bCs/>
              </w:rPr>
              <w:t xml:space="preserve">Area of focus </w:t>
            </w:r>
          </w:p>
        </w:tc>
      </w:tr>
      <w:tr w:rsidR="007E4125" w:rsidRPr="008112B3" w14:paraId="14C01840" w14:textId="77777777" w:rsidTr="00AF1414">
        <w:trPr>
          <w:gridAfter w:val="8"/>
          <w:wAfter w:w="5672" w:type="dxa"/>
          <w:trHeight w:val="1431"/>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C1B07DD" w14:textId="77777777" w:rsidR="007E4125" w:rsidRPr="008112B3" w:rsidRDefault="007E4125" w:rsidP="007E4125">
            <w:pPr>
              <w:rPr>
                <w:rStyle w:val="Strong"/>
              </w:rPr>
            </w:pPr>
            <w:r w:rsidRPr="008112B3">
              <w:rPr>
                <w:rStyle w:val="Strong"/>
              </w:rPr>
              <w:t>Ref.</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4095DE4" w14:textId="77777777" w:rsidR="007E4125" w:rsidRPr="008112B3" w:rsidRDefault="007E4125" w:rsidP="007E4125">
            <w:pPr>
              <w:rPr>
                <w:rStyle w:val="Strong"/>
              </w:rPr>
            </w:pPr>
            <w:r w:rsidRPr="008112B3">
              <w:rPr>
                <w:rStyle w:val="Strong"/>
              </w:rPr>
              <w:t>Specific Requirement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6639492" w14:textId="77777777" w:rsidR="007E4125" w:rsidRPr="008112B3" w:rsidRDefault="007E4125" w:rsidP="007E4125">
            <w:pPr>
              <w:rPr>
                <w:rStyle w:val="Strong"/>
              </w:rPr>
            </w:pPr>
            <w:r w:rsidRPr="008112B3">
              <w:rPr>
                <w:rStyle w:val="Strong"/>
              </w:rPr>
              <w:t>Timing and cadence</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65478D56" w14:textId="77777777" w:rsidR="007E4125" w:rsidRPr="008112B3" w:rsidRDefault="007E4125" w:rsidP="007E4125">
            <w:pPr>
              <w:rPr>
                <w:rStyle w:val="Strong"/>
              </w:rPr>
            </w:pPr>
            <w:r w:rsidRPr="008112B3">
              <w:rPr>
                <w:rStyle w:val="Strong"/>
              </w:rPr>
              <w:t>Capability</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05061674" w14:textId="77777777" w:rsidR="007E4125" w:rsidRPr="008112B3" w:rsidRDefault="007E4125" w:rsidP="007E4125">
            <w:pPr>
              <w:rPr>
                <w:rStyle w:val="Strong"/>
              </w:rPr>
            </w:pPr>
            <w:r w:rsidRPr="008112B3">
              <w:rPr>
                <w:rStyle w:val="Strong"/>
              </w:rPr>
              <w:t>Governance</w:t>
            </w: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55981D6E" w14:textId="77777777" w:rsidR="007E4125" w:rsidRPr="008112B3" w:rsidRDefault="007E4125" w:rsidP="007E4125">
            <w:pPr>
              <w:rPr>
                <w:rStyle w:val="Strong"/>
              </w:rPr>
            </w:pPr>
            <w:r w:rsidRPr="008112B3">
              <w:rPr>
                <w:rStyle w:val="Strong"/>
              </w:rPr>
              <w:t>Reporting</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47ADF521" w14:textId="77777777" w:rsidR="007E4125" w:rsidRPr="008112B3" w:rsidRDefault="007E4125" w:rsidP="007E4125">
            <w:pPr>
              <w:rPr>
                <w:rStyle w:val="Strong"/>
              </w:rPr>
            </w:pPr>
            <w:r w:rsidRPr="008112B3">
              <w:rPr>
                <w:rStyle w:val="Strong"/>
              </w:rPr>
              <w:t>Data</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extDirection w:val="btLr"/>
            <w:hideMark/>
          </w:tcPr>
          <w:p w14:paraId="77A1C99A" w14:textId="77777777" w:rsidR="007E4125" w:rsidRPr="008112B3" w:rsidRDefault="007E4125" w:rsidP="007E4125">
            <w:pPr>
              <w:rPr>
                <w:rStyle w:val="Strong"/>
              </w:rPr>
            </w:pPr>
            <w:r w:rsidRPr="008112B3">
              <w:rPr>
                <w:rStyle w:val="Strong"/>
              </w:rPr>
              <w:t>Processes and systems</w:t>
            </w:r>
          </w:p>
        </w:tc>
      </w:tr>
      <w:tr w:rsidR="007E4125" w:rsidRPr="008112B3" w14:paraId="494942E4" w14:textId="77777777" w:rsidTr="007E4125">
        <w:trPr>
          <w:gridAfter w:val="8"/>
          <w:wAfter w:w="5672" w:type="dxa"/>
        </w:trPr>
        <w:tc>
          <w:tcPr>
            <w:tcW w:w="15180" w:type="dxa"/>
            <w:gridSpan w:val="8"/>
            <w:tcBorders>
              <w:top w:val="single" w:sz="4" w:space="0" w:color="auto"/>
              <w:left w:val="single" w:sz="4" w:space="0" w:color="auto"/>
              <w:bottom w:val="single" w:sz="4" w:space="0" w:color="auto"/>
              <w:right w:val="single" w:sz="4" w:space="0" w:color="auto"/>
            </w:tcBorders>
            <w:shd w:val="clear" w:color="auto" w:fill="48255F"/>
            <w:tcMar>
              <w:top w:w="0" w:type="dxa"/>
              <w:left w:w="108" w:type="dxa"/>
              <w:bottom w:w="0" w:type="dxa"/>
              <w:right w:w="108" w:type="dxa"/>
            </w:tcMar>
            <w:hideMark/>
          </w:tcPr>
          <w:p w14:paraId="286F1A1B" w14:textId="2A088E7C" w:rsidR="007E4125" w:rsidRPr="008112B3" w:rsidRDefault="007E4125" w:rsidP="007E4125">
            <w:pPr>
              <w:rPr>
                <w:b/>
                <w:bCs/>
              </w:rPr>
            </w:pPr>
            <w:r w:rsidRPr="008112B3">
              <w:rPr>
                <w:b/>
                <w:bCs/>
              </w:rPr>
              <w:lastRenderedPageBreak/>
              <w:t>STANDARD 7: SAFE STUDENT ACCOM</w:t>
            </w:r>
            <w:r w:rsidR="00E83085">
              <w:rPr>
                <w:b/>
                <w:bCs/>
              </w:rPr>
              <w:t>M</w:t>
            </w:r>
            <w:r w:rsidRPr="008112B3">
              <w:rPr>
                <w:b/>
                <w:bCs/>
              </w:rPr>
              <w:t xml:space="preserve">ODATION    </w:t>
            </w:r>
          </w:p>
        </w:tc>
      </w:tr>
      <w:tr w:rsidR="007E4125" w:rsidRPr="008112B3" w14:paraId="0CC93377" w14:textId="77777777" w:rsidTr="007E4125">
        <w:trPr>
          <w:gridAfter w:val="8"/>
          <w:wAfter w:w="5672" w:type="dxa"/>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9810CD" w14:textId="77777777" w:rsidR="007E4125" w:rsidRPr="008112B3" w:rsidRDefault="007E4125" w:rsidP="007E4125">
            <w:r w:rsidRPr="008112B3">
              <w:t xml:space="preserve">7.1 </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54D9AE" w14:textId="77777777" w:rsidR="007E4125" w:rsidRPr="008112B3" w:rsidRDefault="007E4125" w:rsidP="007E4125">
            <w:r w:rsidRPr="008112B3">
              <w:t xml:space="preserve">In addition to implementing the other requirements of the </w:t>
            </w:r>
            <w:r w:rsidRPr="008112B3">
              <w:rPr>
                <w:b/>
                <w:bCs/>
              </w:rPr>
              <w:t>Code</w:t>
            </w:r>
            <w:r w:rsidRPr="008112B3">
              <w:t xml:space="preserve">, in respect of </w:t>
            </w:r>
            <w:r w:rsidRPr="008112B3">
              <w:rPr>
                <w:b/>
                <w:bCs/>
              </w:rPr>
              <w:t xml:space="preserve">Student Accommodation </w:t>
            </w:r>
            <w:r w:rsidRPr="008112B3">
              <w:t xml:space="preserve">which the </w:t>
            </w:r>
            <w:r w:rsidRPr="008112B3">
              <w:rPr>
                <w:b/>
                <w:bCs/>
              </w:rPr>
              <w:t>Provider</w:t>
            </w:r>
            <w:r w:rsidRPr="008112B3">
              <w:t xml:space="preserve"> directly owns, operates and/or manages, the </w:t>
            </w:r>
            <w:r w:rsidRPr="008112B3">
              <w:rPr>
                <w:b/>
                <w:bCs/>
              </w:rPr>
              <w:t xml:space="preserve">Provider </w:t>
            </w:r>
            <w:r w:rsidRPr="008112B3">
              <w:t>must comply with obligations set out in 7.1 (a) – (h).</w:t>
            </w:r>
          </w:p>
          <w:p w14:paraId="232F9E03" w14:textId="216DD2C8" w:rsidR="007E4125" w:rsidRPr="008112B3" w:rsidRDefault="007E4125" w:rsidP="007E4125">
            <w:r w:rsidRPr="008112B3">
              <w:rPr>
                <w:i/>
              </w:rPr>
              <w:t>NB: The National Code includes detail of provider obligations to ensure safe living environments including requiring, student accommodation staff to declare if they have been investigated for an allegation of gender-based violence; taking those declarations into consideration in determining suitability for positions; requiring staff to declare relevant intimate relationships; requiring relevant staff to undertake prevention and responding to disclosure education and training. The National Code further stipulates that procedures relating to gender-based violence include a requirement that where there has been a disclosure or formal report</w:t>
            </w:r>
            <w:r w:rsidR="00D217EE">
              <w:rPr>
                <w:i/>
              </w:rPr>
              <w:t>,</w:t>
            </w:r>
            <w:r w:rsidRPr="008112B3">
              <w:rPr>
                <w:i/>
              </w:rPr>
              <w:t xml:space="preserve"> the provider must prioritise the safety of the discloser, residents and student accommodation staff and undertake a risk assessment within 48 hours of the disclosure or formal report; develop and implement a support plan</w:t>
            </w:r>
            <w:r w:rsidR="00D217EE">
              <w:rPr>
                <w:i/>
              </w:rPr>
              <w:t>;</w:t>
            </w:r>
            <w:r w:rsidRPr="008112B3">
              <w:rPr>
                <w:i/>
              </w:rPr>
              <w:t xml:space="preserve"> and determine actions to be necessary to protect the safety of the residents.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CD9C99" w14:textId="53DF2B17" w:rsidR="007E4125" w:rsidRPr="008112B3" w:rsidRDefault="007E4125" w:rsidP="007E4125">
            <w:r w:rsidRPr="008112B3">
              <w:t xml:space="preserve">From </w:t>
            </w:r>
            <w:r w:rsidR="00871394">
              <w:t>the Initial Date</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EFD8CAD" w14:textId="4D34D6D2" w:rsidR="007E4125" w:rsidRPr="00CE43F0" w:rsidRDefault="0044491D" w:rsidP="00CE43F0">
            <w:pPr>
              <w:jc w:val="center"/>
              <w:rPr>
                <w:b/>
                <w:sz w:val="32"/>
                <w:szCs w:val="32"/>
              </w:rPr>
            </w:pPr>
            <w:r w:rsidRPr="00CE43F0">
              <w:rPr>
                <w:b/>
                <w:sz w:val="32"/>
                <w:szCs w:val="32"/>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00A7C53" w14:textId="559461D1" w:rsidR="007E4125" w:rsidRPr="00CE43F0" w:rsidRDefault="007E4125" w:rsidP="00CE43F0">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D504DD4" w14:textId="77777777" w:rsidR="007E4125" w:rsidRPr="00CE43F0" w:rsidRDefault="007E4125" w:rsidP="00CE43F0">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CC6710B" w14:textId="38796B3D" w:rsidR="007E4125" w:rsidRPr="00CE43F0" w:rsidRDefault="007E4125" w:rsidP="00CE43F0">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53EB8138" w14:textId="77777777" w:rsidR="007E4125" w:rsidRPr="00CE43F0" w:rsidRDefault="007E4125" w:rsidP="00CE43F0">
            <w:pPr>
              <w:jc w:val="center"/>
              <w:rPr>
                <w:b/>
                <w:sz w:val="32"/>
                <w:szCs w:val="32"/>
              </w:rPr>
            </w:pPr>
            <w:r w:rsidRPr="00CE43F0">
              <w:rPr>
                <w:b/>
                <w:sz w:val="32"/>
                <w:szCs w:val="32"/>
              </w:rPr>
              <w:t>X</w:t>
            </w:r>
          </w:p>
        </w:tc>
      </w:tr>
      <w:tr w:rsidR="007E4125" w:rsidRPr="008112B3" w14:paraId="28D0AE6C" w14:textId="77777777" w:rsidTr="007E4125">
        <w:trPr>
          <w:gridAfter w:val="8"/>
          <w:wAfter w:w="5672" w:type="dxa"/>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C801D9" w14:textId="77777777" w:rsidR="007E4125" w:rsidRPr="008112B3" w:rsidRDefault="007E4125" w:rsidP="007E4125">
            <w:r w:rsidRPr="008112B3">
              <w:t xml:space="preserve">7.2 </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FB9C5A" w14:textId="7C617F5F" w:rsidR="007E4125" w:rsidRPr="008112B3" w:rsidRDefault="007E4125" w:rsidP="00CE43F0">
            <w:pPr>
              <w:spacing w:after="120"/>
              <w:rPr>
                <w:b/>
                <w:bCs/>
              </w:rPr>
            </w:pPr>
            <w:r w:rsidRPr="008112B3">
              <w:t xml:space="preserve">A </w:t>
            </w:r>
            <w:r w:rsidRPr="008112B3">
              <w:rPr>
                <w:b/>
                <w:bCs/>
              </w:rPr>
              <w:t xml:space="preserve">Provider </w:t>
            </w:r>
            <w:r w:rsidRPr="008112B3">
              <w:t xml:space="preserve">must require that a </w:t>
            </w:r>
            <w:r w:rsidRPr="008112B3">
              <w:rPr>
                <w:b/>
                <w:bCs/>
              </w:rPr>
              <w:t>Student Accommodation Provider</w:t>
            </w:r>
            <w:r w:rsidRPr="008112B3">
              <w:t xml:space="preserve"> prepare, implement and publish on its website a </w:t>
            </w:r>
            <w:r w:rsidRPr="008112B3">
              <w:rPr>
                <w:b/>
                <w:bCs/>
              </w:rPr>
              <w:t>Whole-of-Organisation</w:t>
            </w:r>
            <w:r w:rsidRPr="008112B3">
              <w:t xml:space="preserve"> </w:t>
            </w:r>
            <w:r w:rsidRPr="008112B3">
              <w:rPr>
                <w:b/>
                <w:bCs/>
              </w:rPr>
              <w:t>Prevention and Response Plan</w:t>
            </w:r>
            <w:r w:rsidRPr="00D217EE">
              <w:t>.</w:t>
            </w:r>
            <w:r w:rsidRPr="008112B3">
              <w:rPr>
                <w:b/>
                <w:bCs/>
              </w:rPr>
              <w:t xml:space="preserve"> </w:t>
            </w:r>
          </w:p>
          <w:p w14:paraId="7BA9FD36" w14:textId="4907449F" w:rsidR="007E4125" w:rsidRPr="008112B3" w:rsidRDefault="007E4125" w:rsidP="00CE43F0">
            <w:pPr>
              <w:spacing w:after="120"/>
              <w:rPr>
                <w:b/>
                <w:bCs/>
              </w:rPr>
            </w:pPr>
            <w:r w:rsidRPr="008112B3">
              <w:rPr>
                <w:i/>
              </w:rPr>
              <w:t xml:space="preserve">NB: The National Code includes detail </w:t>
            </w:r>
            <w:r w:rsidR="0069534D">
              <w:rPr>
                <w:i/>
              </w:rPr>
              <w:t xml:space="preserve">on </w:t>
            </w:r>
            <w:r w:rsidRPr="008112B3">
              <w:rPr>
                <w:i/>
              </w:rPr>
              <w:t xml:space="preserve">the content of the whole-of-organisation prevention and response plan including the provider’s approach; addresses factors that drive gender-based violence in the accommodation context; identifies risks, enablers and barriers; reflects the needs of disproportionately impacts groups, is developed in consultation with key stakeholders.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63FCA0" w14:textId="4ED3FAA8" w:rsidR="007E4125" w:rsidRPr="008112B3" w:rsidRDefault="004A13F9" w:rsidP="00CE43F0">
            <w:pPr>
              <w:spacing w:after="120"/>
            </w:pPr>
            <w:r>
              <w:t>By</w:t>
            </w:r>
            <w:r w:rsidR="0069534D" w:rsidRPr="008112B3">
              <w:t xml:space="preserve"> </w:t>
            </w:r>
            <w:r w:rsidR="0069534D">
              <w:t>the Initial Date</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6DDF5147" w14:textId="77777777" w:rsidR="007E4125" w:rsidRPr="00CE43F0" w:rsidRDefault="007E4125" w:rsidP="00CE43F0">
            <w:pPr>
              <w:jc w:val="center"/>
              <w:rPr>
                <w:b/>
                <w:sz w:val="32"/>
                <w:szCs w:val="32"/>
              </w:rPr>
            </w:pPr>
            <w:r w:rsidRPr="00CE43F0">
              <w:rPr>
                <w:b/>
                <w:sz w:val="32"/>
                <w:szCs w:val="32"/>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B3DF1C0" w14:textId="036CC00E" w:rsidR="007E4125" w:rsidRPr="00CE43F0" w:rsidRDefault="0069534D" w:rsidP="00CE43F0">
            <w:pPr>
              <w:jc w:val="center"/>
              <w:rPr>
                <w:b/>
                <w:sz w:val="32"/>
                <w:szCs w:val="32"/>
              </w:rPr>
            </w:pPr>
            <w:r w:rsidRPr="00CE43F0">
              <w:rPr>
                <w:b/>
                <w:sz w:val="32"/>
                <w:szCs w:val="32"/>
              </w:rPr>
              <w:t>X</w:t>
            </w: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2702E64" w14:textId="77777777" w:rsidR="007E4125" w:rsidRPr="00CE43F0" w:rsidRDefault="007E4125" w:rsidP="00CE43F0">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4B06B6D" w14:textId="58562A9B" w:rsidR="007E4125" w:rsidRPr="00CE43F0" w:rsidRDefault="0069534D" w:rsidP="00CE43F0">
            <w:pPr>
              <w:jc w:val="center"/>
              <w:rPr>
                <w:b/>
                <w:sz w:val="32"/>
                <w:szCs w:val="32"/>
              </w:rPr>
            </w:pPr>
            <w:r w:rsidRPr="00CE43F0">
              <w:rPr>
                <w:b/>
                <w:sz w:val="32"/>
                <w:szCs w:val="32"/>
              </w:rPr>
              <w:t>X</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F15F7D0" w14:textId="3F9C86DF" w:rsidR="007E4125" w:rsidRPr="00CE43F0" w:rsidRDefault="0069534D" w:rsidP="00CE43F0">
            <w:pPr>
              <w:jc w:val="center"/>
              <w:rPr>
                <w:b/>
                <w:sz w:val="32"/>
                <w:szCs w:val="32"/>
              </w:rPr>
            </w:pPr>
            <w:r w:rsidRPr="00CE43F0">
              <w:rPr>
                <w:b/>
                <w:sz w:val="32"/>
                <w:szCs w:val="32"/>
              </w:rPr>
              <w:t>X</w:t>
            </w:r>
          </w:p>
        </w:tc>
      </w:tr>
      <w:tr w:rsidR="007E4125" w:rsidRPr="008112B3" w14:paraId="729E8915" w14:textId="77777777" w:rsidTr="007E4125">
        <w:trPr>
          <w:gridAfter w:val="8"/>
          <w:wAfter w:w="5672" w:type="dxa"/>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C02020" w14:textId="77777777" w:rsidR="007E4125" w:rsidRPr="008112B3" w:rsidRDefault="007E4125" w:rsidP="007E4125">
            <w:r w:rsidRPr="008112B3">
              <w:t xml:space="preserve">7.3 </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9D62FD" w14:textId="6FC04595" w:rsidR="007E4125" w:rsidRPr="008112B3" w:rsidRDefault="007E4125" w:rsidP="00CE43F0">
            <w:pPr>
              <w:spacing w:after="120"/>
            </w:pPr>
            <w:r w:rsidRPr="008112B3">
              <w:t xml:space="preserve">A </w:t>
            </w:r>
            <w:r w:rsidRPr="008112B3">
              <w:rPr>
                <w:b/>
                <w:bCs/>
              </w:rPr>
              <w:t xml:space="preserve">Provider </w:t>
            </w:r>
            <w:r w:rsidRPr="008112B3">
              <w:t xml:space="preserve">must require that a </w:t>
            </w:r>
            <w:r w:rsidRPr="008112B3">
              <w:rPr>
                <w:b/>
                <w:bCs/>
              </w:rPr>
              <w:t xml:space="preserve">Student Accommodation Provider </w:t>
            </w:r>
            <w:r w:rsidRPr="008112B3">
              <w:t xml:space="preserve">monitor and measure the impact of the </w:t>
            </w:r>
            <w:r w:rsidRPr="008112B3">
              <w:rPr>
                <w:b/>
                <w:bCs/>
              </w:rPr>
              <w:t>Prevention and Response Plan</w:t>
            </w:r>
            <w:r w:rsidRPr="008112B3">
              <w:t xml:space="preserve"> on an ongoing basis and update the </w:t>
            </w:r>
            <w:r w:rsidRPr="008112B3">
              <w:rPr>
                <w:b/>
                <w:bCs/>
              </w:rPr>
              <w:t xml:space="preserve">Prevention and Response Plan </w:t>
            </w:r>
            <w:r w:rsidRPr="008112B3">
              <w:t>at least every four years.</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EB44F4" w14:textId="38C20982" w:rsidR="007E4125" w:rsidRPr="008112B3" w:rsidRDefault="007E4125" w:rsidP="00CE43F0">
            <w:pPr>
              <w:spacing w:after="120"/>
            </w:pPr>
            <w:r w:rsidRPr="008112B3">
              <w:t xml:space="preserve">From </w:t>
            </w:r>
            <w:r w:rsidR="004A13F9">
              <w:t>the Initial Date</w:t>
            </w:r>
            <w:r w:rsidR="005C053F">
              <w:t xml:space="preserve"> (with the Prevention and Response Plan updated at least every four years thereafter)</w:t>
            </w:r>
            <w:r w:rsidRPr="008112B3">
              <w:t xml:space="preserve">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1C0EB3B" w14:textId="77777777" w:rsidR="007E4125" w:rsidRPr="00CE43F0" w:rsidRDefault="007E4125" w:rsidP="00CE43F0">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10CFED2" w14:textId="3CEF4422" w:rsidR="007E4125" w:rsidRPr="00CE43F0" w:rsidRDefault="008B52B5" w:rsidP="00CE43F0">
            <w:pPr>
              <w:jc w:val="center"/>
              <w:rPr>
                <w:b/>
                <w:sz w:val="32"/>
                <w:szCs w:val="32"/>
              </w:rPr>
            </w:pPr>
            <w:r>
              <w:rPr>
                <w:b/>
                <w:sz w:val="32"/>
                <w:szCs w:val="32"/>
              </w:rPr>
              <w:t>X</w:t>
            </w: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A985D3B" w14:textId="77777777" w:rsidR="007E4125" w:rsidRPr="00CE43F0" w:rsidRDefault="007E4125" w:rsidP="00CE43F0">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723DA14F" w14:textId="77777777" w:rsidR="007E4125" w:rsidRPr="00CE43F0" w:rsidRDefault="007E4125" w:rsidP="00CE43F0">
            <w:pPr>
              <w:jc w:val="center"/>
              <w:rPr>
                <w:b/>
                <w:sz w:val="32"/>
                <w:szCs w:val="32"/>
              </w:rPr>
            </w:pPr>
            <w:r w:rsidRPr="00CE43F0">
              <w:rPr>
                <w:b/>
                <w:sz w:val="32"/>
                <w:szCs w:val="32"/>
              </w:rPr>
              <w:t>X</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41624930" w14:textId="77777777" w:rsidR="007E4125" w:rsidRPr="00CE43F0" w:rsidRDefault="007E4125" w:rsidP="00CE43F0">
            <w:pPr>
              <w:jc w:val="center"/>
              <w:rPr>
                <w:b/>
                <w:sz w:val="32"/>
                <w:szCs w:val="32"/>
              </w:rPr>
            </w:pPr>
            <w:r w:rsidRPr="00CE43F0">
              <w:rPr>
                <w:b/>
                <w:sz w:val="32"/>
                <w:szCs w:val="32"/>
              </w:rPr>
              <w:t>X</w:t>
            </w:r>
          </w:p>
        </w:tc>
      </w:tr>
      <w:tr w:rsidR="007E4125" w:rsidRPr="008112B3" w14:paraId="13A68AE0" w14:textId="77777777" w:rsidTr="007E4125">
        <w:trPr>
          <w:gridAfter w:val="8"/>
          <w:wAfter w:w="5672" w:type="dxa"/>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FDD1E1" w14:textId="77777777" w:rsidR="007E4125" w:rsidRPr="008112B3" w:rsidRDefault="007E4125" w:rsidP="007E4125">
            <w:r w:rsidRPr="008112B3">
              <w:t>7.4 (a)</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698A45" w14:textId="77777777" w:rsidR="007E4125" w:rsidRPr="008112B3" w:rsidRDefault="007E4125" w:rsidP="00CE43F0">
            <w:pPr>
              <w:spacing w:after="120"/>
            </w:pPr>
            <w:r w:rsidRPr="008112B3">
              <w:t xml:space="preserve">A </w:t>
            </w:r>
            <w:r w:rsidRPr="008112B3">
              <w:rPr>
                <w:b/>
                <w:bCs/>
              </w:rPr>
              <w:t>Provider</w:t>
            </w:r>
            <w:r w:rsidRPr="008112B3">
              <w:t xml:space="preserve"> must have arrangements in place with a </w:t>
            </w:r>
            <w:r w:rsidRPr="008112B3">
              <w:rPr>
                <w:b/>
                <w:bCs/>
              </w:rPr>
              <w:t xml:space="preserve">Student Accommodation Provider </w:t>
            </w:r>
            <w:r w:rsidRPr="008112B3">
              <w:t xml:space="preserve">that ensures the safety of students and staff in student accommodation. </w:t>
            </w:r>
          </w:p>
          <w:p w14:paraId="75EA3142" w14:textId="77777777" w:rsidR="007E4125" w:rsidRPr="008112B3" w:rsidRDefault="007E4125" w:rsidP="00CE43F0">
            <w:pPr>
              <w:spacing w:after="120"/>
            </w:pPr>
            <w:r w:rsidRPr="008112B3">
              <w:rPr>
                <w:i/>
              </w:rPr>
              <w:t xml:space="preserve">NB: National Code provides detail about the Provider’s obligations including the responsibility to ask staff to declare whether they have been investigated for an allegation of gender-based violence; manage risk arising from any declarations in determining suitability for the position; </w:t>
            </w:r>
            <w:r w:rsidRPr="008112B3">
              <w:rPr>
                <w:i/>
              </w:rPr>
              <w:lastRenderedPageBreak/>
              <w:t xml:space="preserve">require staff to declare relevant intimate relationship and implement as necessary any conflict of interest risk management plan that includes any necessary alternate arrangements.  </w:t>
            </w:r>
            <w:r w:rsidRPr="008112B3">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70BA05" w14:textId="489B84AB" w:rsidR="007E4125" w:rsidRPr="008112B3" w:rsidRDefault="007E4125" w:rsidP="00CE43F0">
            <w:pPr>
              <w:spacing w:after="120"/>
            </w:pPr>
            <w:r w:rsidRPr="008112B3">
              <w:lastRenderedPageBreak/>
              <w:t xml:space="preserve">By </w:t>
            </w:r>
            <w:r w:rsidR="006324EA">
              <w:t>the Initial Date</w:t>
            </w:r>
            <w:r w:rsidRPr="008112B3">
              <w:t xml:space="preserve">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39D3432" w14:textId="77777777" w:rsidR="007E4125" w:rsidRPr="00CE43F0" w:rsidRDefault="007E4125" w:rsidP="00CE43F0">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0E84EF6" w14:textId="5010548A" w:rsidR="007E4125" w:rsidRPr="00CE43F0" w:rsidRDefault="006324EA" w:rsidP="00CE43F0">
            <w:pPr>
              <w:jc w:val="center"/>
              <w:rPr>
                <w:b/>
                <w:sz w:val="32"/>
                <w:szCs w:val="32"/>
              </w:rPr>
            </w:pPr>
            <w:r>
              <w:rPr>
                <w:b/>
                <w:sz w:val="32"/>
                <w:szCs w:val="32"/>
              </w:rPr>
              <w:t>X</w:t>
            </w: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B2A0352" w14:textId="77777777" w:rsidR="007E4125" w:rsidRPr="00CE43F0" w:rsidRDefault="007E4125" w:rsidP="00CE43F0">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5CE0CFF" w14:textId="77777777" w:rsidR="007E4125" w:rsidRPr="00CE43F0" w:rsidRDefault="007E4125" w:rsidP="00CE43F0">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2CD572EC" w14:textId="77777777" w:rsidR="007E4125" w:rsidRPr="00CE43F0" w:rsidRDefault="007E4125" w:rsidP="00CE43F0">
            <w:pPr>
              <w:jc w:val="center"/>
              <w:rPr>
                <w:b/>
                <w:sz w:val="32"/>
                <w:szCs w:val="32"/>
              </w:rPr>
            </w:pPr>
            <w:r w:rsidRPr="00CE43F0">
              <w:rPr>
                <w:b/>
                <w:sz w:val="32"/>
                <w:szCs w:val="32"/>
              </w:rPr>
              <w:t>X</w:t>
            </w:r>
          </w:p>
        </w:tc>
      </w:tr>
      <w:tr w:rsidR="007E4125" w:rsidRPr="008112B3" w14:paraId="57B286D7" w14:textId="77777777" w:rsidTr="007E4125">
        <w:trPr>
          <w:gridAfter w:val="8"/>
          <w:wAfter w:w="5672" w:type="dxa"/>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2A5D42" w14:textId="77777777" w:rsidR="007E4125" w:rsidRPr="008112B3" w:rsidRDefault="007E4125" w:rsidP="007E4125">
            <w:r w:rsidRPr="008112B3">
              <w:t xml:space="preserve">7.4(b) </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7F4E30" w14:textId="62C0B618" w:rsidR="007E4125" w:rsidRPr="00A40C2C" w:rsidRDefault="0027027C" w:rsidP="00CE43F0">
            <w:pPr>
              <w:spacing w:after="120"/>
            </w:pPr>
            <w:r>
              <w:t xml:space="preserve">A </w:t>
            </w:r>
            <w:r>
              <w:rPr>
                <w:b/>
                <w:bCs/>
              </w:rPr>
              <w:t xml:space="preserve">Provider </w:t>
            </w:r>
            <w:r>
              <w:t>must have arran</w:t>
            </w:r>
            <w:r w:rsidR="007346B1">
              <w:t>ge</w:t>
            </w:r>
            <w:r>
              <w:t xml:space="preserve">ments in place with a </w:t>
            </w:r>
            <w:r>
              <w:rPr>
                <w:b/>
                <w:bCs/>
              </w:rPr>
              <w:t xml:space="preserve">Student Accommodation Provider </w:t>
            </w:r>
            <w:r w:rsidR="001A1025">
              <w:t xml:space="preserve">that </w:t>
            </w:r>
            <w:r w:rsidR="007E4125" w:rsidRPr="008112B3">
              <w:t>prohibit</w:t>
            </w:r>
            <w:r w:rsidR="001A1025">
              <w:t>s</w:t>
            </w:r>
            <w:r w:rsidR="007E4125" w:rsidRPr="008112B3">
              <w:t xml:space="preserve"> the use of a </w:t>
            </w:r>
            <w:r w:rsidR="007E4125" w:rsidRPr="008112B3">
              <w:rPr>
                <w:b/>
                <w:bCs/>
              </w:rPr>
              <w:t>Non-disclosure Agreement</w:t>
            </w:r>
            <w:r w:rsidR="007E4125" w:rsidRPr="008112B3">
              <w:t xml:space="preserve">, unless requested by the </w:t>
            </w:r>
            <w:r w:rsidR="007E4125" w:rsidRPr="008112B3">
              <w:rPr>
                <w:b/>
              </w:rPr>
              <w:t>Discloser</w:t>
            </w:r>
            <w:r w:rsidR="00712858">
              <w:t xml:space="preserve">, and </w:t>
            </w:r>
            <w:r w:rsidR="00A40C2C">
              <w:t xml:space="preserve">prohibits </w:t>
            </w:r>
            <w:r w:rsidR="00A40C2C">
              <w:rPr>
                <w:b/>
                <w:bCs/>
              </w:rPr>
              <w:t xml:space="preserve">Non-disparagement Clauses </w:t>
            </w:r>
            <w:r w:rsidR="00A40C2C">
              <w:t xml:space="preserve">that could have the effect of requiring the </w:t>
            </w:r>
            <w:r w:rsidR="00A40C2C">
              <w:rPr>
                <w:b/>
                <w:bCs/>
              </w:rPr>
              <w:t xml:space="preserve">Discloser </w:t>
            </w:r>
            <w:r w:rsidR="00A40C2C">
              <w:t xml:space="preserve">to keep their experience of </w:t>
            </w:r>
            <w:r w:rsidR="00A40C2C">
              <w:rPr>
                <w:b/>
                <w:bCs/>
              </w:rPr>
              <w:t xml:space="preserve">Gender-based Violence </w:t>
            </w:r>
            <w:r w:rsidR="00A40C2C">
              <w:t xml:space="preserve">confidential in any settlement agreements. </w:t>
            </w:r>
          </w:p>
          <w:p w14:paraId="21E733A6" w14:textId="77777777" w:rsidR="007E4125" w:rsidRPr="008112B3" w:rsidRDefault="007E4125" w:rsidP="00CE43F0">
            <w:pPr>
              <w:spacing w:after="120"/>
            </w:pPr>
            <w:r w:rsidRPr="008112B3">
              <w:rPr>
                <w:i/>
              </w:rPr>
              <w:t>NB: The National Code provides detail on use of non-disclosure agreements at the consent of the Discloser.</w:t>
            </w:r>
            <w:r w:rsidRPr="008112B3">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B5213A" w14:textId="07AA7B2C" w:rsidR="007E4125" w:rsidRPr="008112B3" w:rsidRDefault="006F261F" w:rsidP="00CE43F0">
            <w:pPr>
              <w:spacing w:after="120"/>
            </w:pPr>
            <w:r>
              <w:t>By</w:t>
            </w:r>
            <w:r w:rsidR="00B62241">
              <w:t xml:space="preserve"> the Initial Date</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8C87134" w14:textId="77777777" w:rsidR="007E4125" w:rsidRPr="00CE43F0" w:rsidRDefault="007E4125" w:rsidP="00CE43F0">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CABCE80" w14:textId="4354C662" w:rsidR="007E4125" w:rsidRPr="00CE43F0" w:rsidRDefault="00B62241" w:rsidP="00CE43F0">
            <w:pPr>
              <w:jc w:val="center"/>
              <w:rPr>
                <w:b/>
                <w:sz w:val="32"/>
                <w:szCs w:val="32"/>
              </w:rPr>
            </w:pPr>
            <w:r>
              <w:rPr>
                <w:b/>
                <w:sz w:val="32"/>
                <w:szCs w:val="32"/>
              </w:rPr>
              <w:t>X</w:t>
            </w: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61DF2F2" w14:textId="77777777" w:rsidR="007E4125" w:rsidRPr="00CE43F0" w:rsidRDefault="007E4125" w:rsidP="00CE43F0">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5FDFDDE" w14:textId="77777777" w:rsidR="007E4125" w:rsidRPr="00CE43F0" w:rsidRDefault="007E4125" w:rsidP="00CE43F0">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4C00D9DB" w14:textId="77777777" w:rsidR="007E4125" w:rsidRPr="00CE43F0" w:rsidRDefault="007E4125" w:rsidP="00CE43F0">
            <w:pPr>
              <w:jc w:val="center"/>
              <w:rPr>
                <w:b/>
                <w:sz w:val="32"/>
                <w:szCs w:val="32"/>
              </w:rPr>
            </w:pPr>
            <w:r w:rsidRPr="00CE43F0">
              <w:rPr>
                <w:b/>
                <w:sz w:val="32"/>
                <w:szCs w:val="32"/>
              </w:rPr>
              <w:t>X</w:t>
            </w:r>
          </w:p>
        </w:tc>
      </w:tr>
      <w:tr w:rsidR="007E4125" w:rsidRPr="008112B3" w14:paraId="49D0D71D" w14:textId="77777777" w:rsidTr="007E4125">
        <w:trPr>
          <w:gridAfter w:val="8"/>
          <w:wAfter w:w="5672" w:type="dxa"/>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EBCF9A" w14:textId="4036E1D3" w:rsidR="007E4125" w:rsidRPr="008112B3" w:rsidRDefault="00B84DDA" w:rsidP="007E4125">
            <w:r>
              <w:t>7.4(</w:t>
            </w:r>
            <w:r w:rsidR="007E4125" w:rsidRPr="008112B3">
              <w:t xml:space="preserve">c) </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883D8E" w14:textId="61380AED" w:rsidR="007E4125" w:rsidRPr="008112B3" w:rsidRDefault="00595143" w:rsidP="00CE43F0">
            <w:pPr>
              <w:spacing w:after="120"/>
            </w:pPr>
            <w:r>
              <w:t xml:space="preserve">A </w:t>
            </w:r>
            <w:r>
              <w:rPr>
                <w:b/>
                <w:bCs/>
              </w:rPr>
              <w:t xml:space="preserve">Provider </w:t>
            </w:r>
            <w:r>
              <w:t xml:space="preserve">must have arrangements in place with a </w:t>
            </w:r>
            <w:r>
              <w:rPr>
                <w:b/>
                <w:bCs/>
              </w:rPr>
              <w:t xml:space="preserve">Student Accommodation Provider </w:t>
            </w:r>
            <w:r>
              <w:t>in</w:t>
            </w:r>
            <w:r w:rsidR="007E4125" w:rsidRPr="008112B3">
              <w:t xml:space="preserve"> relation to </w:t>
            </w:r>
            <w:r w:rsidR="007E4125" w:rsidRPr="008112B3">
              <w:rPr>
                <w:b/>
                <w:bCs/>
              </w:rPr>
              <w:t>Policies</w:t>
            </w:r>
            <w:r w:rsidR="007E4125" w:rsidRPr="008112B3">
              <w:t xml:space="preserve"> and </w:t>
            </w:r>
            <w:r w:rsidR="007E4125" w:rsidRPr="008112B3">
              <w:rPr>
                <w:b/>
                <w:bCs/>
              </w:rPr>
              <w:t>Procedures</w:t>
            </w:r>
            <w:r w:rsidR="009D7926">
              <w:t xml:space="preserve"> to:</w:t>
            </w:r>
          </w:p>
          <w:p w14:paraId="38AE5F1B" w14:textId="77777777" w:rsidR="007E4125" w:rsidRPr="008112B3" w:rsidRDefault="007E4125" w:rsidP="00CE43F0">
            <w:pPr>
              <w:spacing w:after="120"/>
            </w:pPr>
            <w:proofErr w:type="spellStart"/>
            <w:r w:rsidRPr="008112B3">
              <w:t>i</w:t>
            </w:r>
            <w:proofErr w:type="spellEnd"/>
            <w:r w:rsidRPr="008112B3">
              <w:t xml:space="preserve">) adopt the </w:t>
            </w:r>
            <w:r w:rsidRPr="008112B3">
              <w:rPr>
                <w:b/>
                <w:bCs/>
              </w:rPr>
              <w:t>Provider's</w:t>
            </w:r>
            <w:r w:rsidRPr="008112B3">
              <w:t xml:space="preserve"> </w:t>
            </w:r>
            <w:r w:rsidRPr="008112B3">
              <w:rPr>
                <w:b/>
                <w:bCs/>
              </w:rPr>
              <w:t>Policies</w:t>
            </w:r>
            <w:r w:rsidRPr="008112B3">
              <w:t xml:space="preserve"> and </w:t>
            </w:r>
            <w:r w:rsidRPr="008112B3">
              <w:rPr>
                <w:b/>
                <w:bCs/>
              </w:rPr>
              <w:t>Procedures</w:t>
            </w:r>
            <w:r w:rsidRPr="008112B3">
              <w:t xml:space="preserve"> on preventing and responding to </w:t>
            </w:r>
            <w:r w:rsidRPr="008112B3">
              <w:rPr>
                <w:b/>
                <w:bCs/>
              </w:rPr>
              <w:t>Gender-based Violence</w:t>
            </w:r>
            <w:r w:rsidRPr="008112B3">
              <w:t>; or</w:t>
            </w:r>
          </w:p>
          <w:p w14:paraId="14836594" w14:textId="77777777" w:rsidR="007E4125" w:rsidRPr="008112B3" w:rsidRDefault="007E4125" w:rsidP="00CE43F0">
            <w:pPr>
              <w:spacing w:after="120"/>
            </w:pPr>
            <w:r w:rsidRPr="008112B3">
              <w:t xml:space="preserve">ii) have and implement a </w:t>
            </w:r>
            <w:r w:rsidRPr="008112B3">
              <w:rPr>
                <w:b/>
                <w:bCs/>
              </w:rPr>
              <w:t>P</w:t>
            </w:r>
            <w:r w:rsidRPr="008112B3">
              <w:rPr>
                <w:b/>
              </w:rPr>
              <w:t>olicy</w:t>
            </w:r>
            <w:r w:rsidRPr="008112B3">
              <w:t xml:space="preserve"> on preventing and responding to </w:t>
            </w:r>
            <w:r w:rsidRPr="008112B3">
              <w:rPr>
                <w:b/>
                <w:bCs/>
              </w:rPr>
              <w:t>Gender-based Violence</w:t>
            </w:r>
            <w:r w:rsidRPr="008112B3">
              <w:t xml:space="preserve"> that applies to </w:t>
            </w:r>
            <w:r w:rsidRPr="008112B3">
              <w:rPr>
                <w:b/>
                <w:bCs/>
              </w:rPr>
              <w:t>Residents</w:t>
            </w:r>
            <w:r w:rsidRPr="008112B3">
              <w:t xml:space="preserve"> and </w:t>
            </w:r>
            <w:r w:rsidRPr="008112B3">
              <w:rPr>
                <w:b/>
                <w:bCs/>
              </w:rPr>
              <w:t>Student Accommodation Staff</w:t>
            </w:r>
            <w:r w:rsidRPr="008112B3">
              <w:t xml:space="preserve">.  </w:t>
            </w:r>
          </w:p>
          <w:p w14:paraId="0FDC9F48" w14:textId="593290B9" w:rsidR="007E4125" w:rsidRPr="008112B3" w:rsidRDefault="007E4125" w:rsidP="00CE43F0">
            <w:pPr>
              <w:spacing w:after="120"/>
            </w:pPr>
            <w:r w:rsidRPr="008112B3">
              <w:rPr>
                <w:i/>
              </w:rPr>
              <w:t>NB: The National Code provides detail content that should be included in policies and procedures including that they should outline information on the factors that drive and contribute to gender-based violence tailored to the student accommodation context; should be person-centred and trauma-informed in their application; include information about support services specific to gender-based violence; outline procedures in relation to disclosures and formal reports;</w:t>
            </w:r>
            <w:r w:rsidR="00B84DDA">
              <w:rPr>
                <w:i/>
              </w:rPr>
              <w:t xml:space="preserve"> and</w:t>
            </w:r>
            <w:r w:rsidRPr="008112B3">
              <w:rPr>
                <w:i/>
              </w:rPr>
              <w:t xml:space="preserve"> are publicly available. The National Code further provides detail on the requirement to review the policy</w:t>
            </w:r>
            <w:r w:rsidR="00B801D4">
              <w:rPr>
                <w:i/>
              </w:rPr>
              <w:t xml:space="preserve"> at least</w:t>
            </w:r>
            <w:r w:rsidRPr="008112B3">
              <w:rPr>
                <w:i/>
              </w:rPr>
              <w:t xml:space="preserve"> every three years in consultation with key stakeholders, and power of the higher education provider to review polices of the student accommodation provider upon request.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D74FB2" w14:textId="2A521C26" w:rsidR="007E4125" w:rsidRPr="008112B3" w:rsidRDefault="007E4125" w:rsidP="00CE43F0">
            <w:pPr>
              <w:spacing w:after="120"/>
            </w:pPr>
            <w:r w:rsidRPr="008112B3">
              <w:t xml:space="preserve">By </w:t>
            </w:r>
            <w:r w:rsidR="00B62241">
              <w:t>the Initial Date</w:t>
            </w:r>
            <w:r w:rsidRPr="008112B3">
              <w:t xml:space="preserve"> and </w:t>
            </w:r>
            <w:r w:rsidR="007636FD">
              <w:t xml:space="preserve">developed and reviewed </w:t>
            </w:r>
            <w:r w:rsidR="00A6015B">
              <w:t xml:space="preserve">at least </w:t>
            </w:r>
            <w:r w:rsidRPr="008112B3">
              <w:t xml:space="preserve">every </w:t>
            </w:r>
            <w:r w:rsidR="00B62F8C">
              <w:t>three</w:t>
            </w:r>
            <w:r w:rsidRPr="008112B3">
              <w:t xml:space="preserve"> years thereafter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8191E87" w14:textId="77777777" w:rsidR="007E4125" w:rsidRPr="00CE43F0" w:rsidRDefault="007E4125" w:rsidP="00CE43F0">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6B50A18" w14:textId="224AD146" w:rsidR="007E4125" w:rsidRPr="00CE43F0" w:rsidRDefault="005453C9" w:rsidP="00CE43F0">
            <w:pPr>
              <w:jc w:val="center"/>
              <w:rPr>
                <w:b/>
                <w:sz w:val="32"/>
                <w:szCs w:val="32"/>
              </w:rPr>
            </w:pPr>
            <w:r>
              <w:rPr>
                <w:b/>
                <w:sz w:val="32"/>
                <w:szCs w:val="32"/>
              </w:rPr>
              <w:t>X</w:t>
            </w: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A510786" w14:textId="77777777" w:rsidR="007E4125" w:rsidRPr="00CE43F0" w:rsidRDefault="007E4125" w:rsidP="00CE43F0">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619A5A1F" w14:textId="77777777" w:rsidR="007E4125" w:rsidRPr="00CE43F0" w:rsidRDefault="007E4125" w:rsidP="00CE43F0">
            <w:pPr>
              <w:jc w:val="center"/>
              <w:rPr>
                <w:b/>
                <w:sz w:val="32"/>
                <w:szCs w:val="32"/>
              </w:rPr>
            </w:pPr>
            <w:r w:rsidRPr="00CE43F0">
              <w:rPr>
                <w:b/>
                <w:sz w:val="32"/>
                <w:szCs w:val="32"/>
              </w:rPr>
              <w:t>X</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79804B2C" w14:textId="77777777" w:rsidR="007E4125" w:rsidRPr="00CE43F0" w:rsidRDefault="007E4125" w:rsidP="00CE43F0">
            <w:pPr>
              <w:jc w:val="center"/>
              <w:rPr>
                <w:b/>
                <w:sz w:val="32"/>
                <w:szCs w:val="32"/>
              </w:rPr>
            </w:pPr>
            <w:r w:rsidRPr="00CE43F0">
              <w:rPr>
                <w:b/>
                <w:sz w:val="32"/>
                <w:szCs w:val="32"/>
              </w:rPr>
              <w:t>X</w:t>
            </w:r>
          </w:p>
        </w:tc>
      </w:tr>
      <w:tr w:rsidR="007E4125" w:rsidRPr="008112B3" w14:paraId="2AB1B751" w14:textId="77777777" w:rsidTr="007E4125">
        <w:trPr>
          <w:gridAfter w:val="8"/>
          <w:wAfter w:w="5672" w:type="dxa"/>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93E63" w14:textId="5D80119C" w:rsidR="007E4125" w:rsidRPr="008112B3" w:rsidRDefault="00B84DDA" w:rsidP="007E4125">
            <w:r>
              <w:t>7.</w:t>
            </w:r>
            <w:r w:rsidR="006F261F">
              <w:t>5</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3B476A" w14:textId="77777777" w:rsidR="007E4125" w:rsidRPr="008112B3" w:rsidRDefault="007E4125" w:rsidP="00CE43F0">
            <w:pPr>
              <w:spacing w:after="120"/>
            </w:pPr>
            <w:r w:rsidRPr="008112B3">
              <w:t xml:space="preserve">A </w:t>
            </w:r>
            <w:r w:rsidRPr="008112B3">
              <w:rPr>
                <w:b/>
                <w:bCs/>
              </w:rPr>
              <w:t xml:space="preserve">Provider </w:t>
            </w:r>
            <w:r w:rsidRPr="008112B3">
              <w:t xml:space="preserve">must have arrangements in place with a </w:t>
            </w:r>
            <w:r w:rsidRPr="008112B3">
              <w:rPr>
                <w:b/>
                <w:bCs/>
              </w:rPr>
              <w:t>Student Accommodation Provider</w:t>
            </w:r>
            <w:r w:rsidRPr="008112B3">
              <w:t xml:space="preserve"> in relation to training and education, and prevention initiatives. </w:t>
            </w:r>
          </w:p>
          <w:p w14:paraId="652F7344" w14:textId="77777777" w:rsidR="007E4125" w:rsidRPr="008112B3" w:rsidRDefault="007E4125" w:rsidP="00CE43F0">
            <w:pPr>
              <w:spacing w:after="120"/>
            </w:pPr>
            <w:r w:rsidRPr="008112B3">
              <w:rPr>
                <w:i/>
              </w:rPr>
              <w:t xml:space="preserve">NB: The National Code provides detail on the content of the education and training; the responsibility to widely disseminate evidence informed education prevention messages tailored to the student accommodation environment; the requirement to ensure all prevention initiatives are evidence-based and evaluated and evaluation findings inform future prevention initiative.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65D5A9" w14:textId="6AABA006" w:rsidR="007E4125" w:rsidRPr="008112B3" w:rsidRDefault="007E4125" w:rsidP="00CE43F0">
            <w:pPr>
              <w:spacing w:after="120"/>
            </w:pPr>
            <w:r w:rsidRPr="008112B3">
              <w:t xml:space="preserve">By </w:t>
            </w:r>
            <w:r w:rsidR="005453C9">
              <w:t>the Initial Date</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25C2AC0F" w14:textId="77777777" w:rsidR="007E4125" w:rsidRPr="00CE43F0" w:rsidRDefault="007E4125" w:rsidP="00CE43F0">
            <w:pPr>
              <w:jc w:val="center"/>
              <w:rPr>
                <w:b/>
                <w:sz w:val="32"/>
                <w:szCs w:val="32"/>
              </w:rPr>
            </w:pPr>
            <w:r w:rsidRPr="00CE43F0">
              <w:rPr>
                <w:b/>
                <w:sz w:val="32"/>
                <w:szCs w:val="32"/>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84F71FF" w14:textId="560F200B" w:rsidR="007E4125" w:rsidRPr="00CE43F0" w:rsidRDefault="005453C9" w:rsidP="00CE43F0">
            <w:pPr>
              <w:jc w:val="center"/>
              <w:rPr>
                <w:b/>
                <w:sz w:val="32"/>
                <w:szCs w:val="32"/>
              </w:rPr>
            </w:pPr>
            <w:r>
              <w:rPr>
                <w:b/>
                <w:sz w:val="32"/>
                <w:szCs w:val="32"/>
              </w:rPr>
              <w:t>X</w:t>
            </w: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AD52677" w14:textId="77777777" w:rsidR="007E4125" w:rsidRPr="00CE43F0" w:rsidRDefault="007E4125" w:rsidP="00CE43F0">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E319379" w14:textId="77777777" w:rsidR="007E4125" w:rsidRPr="00CE43F0" w:rsidRDefault="007E4125" w:rsidP="00CE43F0">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EF3668C" w14:textId="050854E4" w:rsidR="007E4125" w:rsidRPr="00CE43F0" w:rsidRDefault="005453C9" w:rsidP="00CE43F0">
            <w:pPr>
              <w:jc w:val="center"/>
              <w:rPr>
                <w:b/>
                <w:sz w:val="32"/>
                <w:szCs w:val="32"/>
              </w:rPr>
            </w:pPr>
            <w:r>
              <w:rPr>
                <w:b/>
                <w:sz w:val="32"/>
                <w:szCs w:val="32"/>
              </w:rPr>
              <w:t>X</w:t>
            </w:r>
          </w:p>
        </w:tc>
      </w:tr>
      <w:tr w:rsidR="007E4125" w:rsidRPr="008112B3" w14:paraId="2DD3E5BC" w14:textId="77777777" w:rsidTr="007E4125">
        <w:trPr>
          <w:gridAfter w:val="8"/>
          <w:wAfter w:w="5672" w:type="dxa"/>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26993" w14:textId="74C24BFF" w:rsidR="007E4125" w:rsidRPr="008112B3" w:rsidRDefault="00FB55FE" w:rsidP="007E4125">
            <w:r>
              <w:t>7.6</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2933B8" w14:textId="4F0B8F5A" w:rsidR="007E4125" w:rsidRPr="008112B3" w:rsidRDefault="007E4125" w:rsidP="00CE43F0">
            <w:pPr>
              <w:spacing w:after="120"/>
            </w:pPr>
            <w:r w:rsidRPr="008112B3">
              <w:t xml:space="preserve">A </w:t>
            </w:r>
            <w:r w:rsidRPr="008112B3">
              <w:rPr>
                <w:b/>
                <w:bCs/>
              </w:rPr>
              <w:t>Provider</w:t>
            </w:r>
            <w:r w:rsidRPr="008112B3">
              <w:t xml:space="preserve"> must have arrangements in place with a </w:t>
            </w:r>
            <w:r w:rsidRPr="008112B3">
              <w:rPr>
                <w:b/>
                <w:bCs/>
              </w:rPr>
              <w:t>Student Accommodation Provider</w:t>
            </w:r>
            <w:r w:rsidRPr="008112B3">
              <w:t xml:space="preserve"> to ensure that risk assessments are only undertaken by persons who have the expertise and experience in </w:t>
            </w:r>
            <w:r w:rsidRPr="008112B3">
              <w:lastRenderedPageBreak/>
              <w:t>paragraph</w:t>
            </w:r>
            <w:r w:rsidR="00FB55FE">
              <w:t xml:space="preserve"> 3.14 of</w:t>
            </w:r>
            <w:r w:rsidRPr="008112B3">
              <w:t xml:space="preserve"> Standard 3. Where a </w:t>
            </w:r>
            <w:r w:rsidRPr="008112B3">
              <w:rPr>
                <w:b/>
                <w:bCs/>
              </w:rPr>
              <w:t>Student</w:t>
            </w:r>
            <w:r w:rsidRPr="008112B3">
              <w:t xml:space="preserve"> </w:t>
            </w:r>
            <w:r w:rsidRPr="008112B3">
              <w:rPr>
                <w:b/>
                <w:bCs/>
              </w:rPr>
              <w:t>Accommodation Provider</w:t>
            </w:r>
            <w:r w:rsidRPr="008112B3">
              <w:t xml:space="preserve"> does not have </w:t>
            </w:r>
            <w:r w:rsidRPr="008112B3">
              <w:rPr>
                <w:b/>
                <w:bCs/>
              </w:rPr>
              <w:t>Staff</w:t>
            </w:r>
            <w:r w:rsidRPr="008112B3">
              <w:t xml:space="preserve"> with the necessary expertise and experience to conduct a risk assessment, the </w:t>
            </w:r>
            <w:r w:rsidRPr="008112B3">
              <w:rPr>
                <w:b/>
                <w:bCs/>
              </w:rPr>
              <w:t>Student Accommodation Provider</w:t>
            </w:r>
            <w:r w:rsidRPr="008112B3">
              <w:t xml:space="preserve"> must engage a</w:t>
            </w:r>
            <w:r w:rsidR="00E83085">
              <w:t xml:space="preserve"> person</w:t>
            </w:r>
            <w:r w:rsidRPr="008112B3">
              <w:t xml:space="preserve"> who has the necessary expertise and experience.</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B21BD8" w14:textId="52540005" w:rsidR="007E4125" w:rsidRPr="008112B3" w:rsidRDefault="007E4125" w:rsidP="00CE43F0">
            <w:pPr>
              <w:spacing w:after="120"/>
            </w:pPr>
            <w:r w:rsidRPr="008112B3">
              <w:lastRenderedPageBreak/>
              <w:t xml:space="preserve">By </w:t>
            </w:r>
            <w:r w:rsidR="005453C9">
              <w:t>the Initial Date</w:t>
            </w:r>
            <w:r w:rsidRPr="008112B3">
              <w:t xml:space="preserve">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07E30CEE" w14:textId="77777777" w:rsidR="007E4125" w:rsidRPr="00CE43F0" w:rsidRDefault="007E4125" w:rsidP="00CE43F0">
            <w:pPr>
              <w:jc w:val="center"/>
              <w:rPr>
                <w:b/>
                <w:sz w:val="32"/>
                <w:szCs w:val="32"/>
              </w:rPr>
            </w:pPr>
            <w:r w:rsidRPr="00CE43F0">
              <w:rPr>
                <w:b/>
                <w:sz w:val="32"/>
                <w:szCs w:val="32"/>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C73C9D3" w14:textId="206804F6" w:rsidR="007E4125" w:rsidRPr="00CE43F0" w:rsidRDefault="005453C9" w:rsidP="00CE43F0">
            <w:pPr>
              <w:jc w:val="center"/>
              <w:rPr>
                <w:b/>
                <w:sz w:val="32"/>
                <w:szCs w:val="32"/>
              </w:rPr>
            </w:pPr>
            <w:r>
              <w:rPr>
                <w:b/>
                <w:sz w:val="32"/>
                <w:szCs w:val="32"/>
              </w:rPr>
              <w:t>X</w:t>
            </w: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1126271" w14:textId="77777777" w:rsidR="007E4125" w:rsidRPr="00CE43F0" w:rsidRDefault="007E4125" w:rsidP="00CE43F0">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9576B21" w14:textId="77777777" w:rsidR="007E4125" w:rsidRPr="00CE43F0" w:rsidRDefault="007E4125" w:rsidP="00CE43F0">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9B5C859" w14:textId="74921BCC" w:rsidR="007E4125" w:rsidRPr="00CE43F0" w:rsidRDefault="007E4125" w:rsidP="00CE43F0">
            <w:pPr>
              <w:jc w:val="center"/>
              <w:rPr>
                <w:b/>
                <w:sz w:val="32"/>
                <w:szCs w:val="32"/>
              </w:rPr>
            </w:pPr>
          </w:p>
        </w:tc>
      </w:tr>
      <w:tr w:rsidR="007E4125" w:rsidRPr="008112B3" w14:paraId="19E15423" w14:textId="77777777" w:rsidTr="007E4125">
        <w:trPr>
          <w:gridAfter w:val="8"/>
          <w:wAfter w:w="5672" w:type="dxa"/>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12A40" w14:textId="235C68B0" w:rsidR="007E4125" w:rsidRPr="008112B3" w:rsidRDefault="00430E65" w:rsidP="007E4125">
            <w:r>
              <w:t>7.7</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6B8929" w14:textId="326C642A" w:rsidR="007E4125" w:rsidRPr="008112B3" w:rsidRDefault="007E4125" w:rsidP="00CE43F0">
            <w:pPr>
              <w:spacing w:after="120"/>
            </w:pPr>
            <w:r w:rsidRPr="008112B3">
              <w:t xml:space="preserve">A </w:t>
            </w:r>
            <w:r w:rsidRPr="008112B3">
              <w:rPr>
                <w:b/>
                <w:bCs/>
              </w:rPr>
              <w:t>Provider</w:t>
            </w:r>
            <w:r w:rsidRPr="008112B3">
              <w:t xml:space="preserve"> must have arrangements in place with a </w:t>
            </w:r>
            <w:r w:rsidRPr="008112B3">
              <w:rPr>
                <w:b/>
                <w:bCs/>
              </w:rPr>
              <w:t>Student Accommodation Provider</w:t>
            </w:r>
            <w:r w:rsidRPr="008112B3">
              <w:t xml:space="preserve"> that</w:t>
            </w:r>
            <w:r w:rsidR="00BE0EDE">
              <w:t xml:space="preserve"> meet requirements </w:t>
            </w:r>
            <w:r w:rsidRPr="008112B3">
              <w:t xml:space="preserve">in relation to </w:t>
            </w:r>
            <w:r w:rsidRPr="00BE0EDE">
              <w:rPr>
                <w:b/>
                <w:bCs/>
              </w:rPr>
              <w:t>Disclosures</w:t>
            </w:r>
            <w:r w:rsidR="00BE0EDE">
              <w:t xml:space="preserve">, including </w:t>
            </w:r>
            <w:r w:rsidRPr="00BE0EDE">
              <w:t>requir</w:t>
            </w:r>
            <w:r w:rsidR="00707B6A">
              <w:t>ing</w:t>
            </w:r>
            <w:r w:rsidRPr="008112B3">
              <w:t xml:space="preserve"> the </w:t>
            </w:r>
            <w:r w:rsidRPr="008112B3">
              <w:rPr>
                <w:b/>
                <w:bCs/>
              </w:rPr>
              <w:t xml:space="preserve">Student Accommodation Provider </w:t>
            </w:r>
            <w:r w:rsidR="00735F65">
              <w:t xml:space="preserve">to </w:t>
            </w:r>
            <w:r w:rsidRPr="008112B3">
              <w:t xml:space="preserve">ensure that its responses, practices and support services are safe, </w:t>
            </w:r>
            <w:r w:rsidRPr="008112B3">
              <w:rPr>
                <w:b/>
                <w:bCs/>
              </w:rPr>
              <w:t>Person-centred</w:t>
            </w:r>
            <w:r w:rsidRPr="008112B3">
              <w:t xml:space="preserve"> and consistent with a </w:t>
            </w:r>
            <w:r w:rsidRPr="008112B3">
              <w:rPr>
                <w:b/>
                <w:bCs/>
              </w:rPr>
              <w:t>Trauma-informed approach</w:t>
            </w:r>
            <w:r w:rsidRPr="008112B3">
              <w:t xml:space="preserve">. </w:t>
            </w:r>
          </w:p>
          <w:p w14:paraId="3179C469" w14:textId="1C7E4B2C" w:rsidR="007E4125" w:rsidRPr="008112B3" w:rsidRDefault="007E4125" w:rsidP="00CE43F0">
            <w:pPr>
              <w:spacing w:after="120"/>
            </w:pPr>
            <w:r w:rsidRPr="008112B3">
              <w:rPr>
                <w:i/>
              </w:rPr>
              <w:t>NB: The National Code provides detail on the management of disclosures and formal reports including the requirement to</w:t>
            </w:r>
            <w:r w:rsidR="00CB64F9">
              <w:rPr>
                <w:i/>
              </w:rPr>
              <w:t xml:space="preserve"> </w:t>
            </w:r>
            <w:r w:rsidRPr="008112B3">
              <w:rPr>
                <w:i/>
              </w:rPr>
              <w:t>ensure responses are safe, trauma-informed and person-centred; facilitate access to support services; actively promote and ma</w:t>
            </w:r>
            <w:r w:rsidR="00BD7051">
              <w:rPr>
                <w:i/>
              </w:rPr>
              <w:t>k</w:t>
            </w:r>
            <w:r w:rsidRPr="008112B3">
              <w:rPr>
                <w:i/>
              </w:rPr>
              <w:t>e widely available information o</w:t>
            </w:r>
            <w:r w:rsidR="00BD7051">
              <w:rPr>
                <w:i/>
              </w:rPr>
              <w:t>n</w:t>
            </w:r>
            <w:r w:rsidRPr="008112B3">
              <w:rPr>
                <w:i/>
              </w:rPr>
              <w:t xml:space="preserve"> how residents and staff can access policies and procedures; and undertake risk assessment in response to disclosures and formal reports. The National Code further stipulates that arrangements must be in place that require the student accommodation provider to take all necessary action to ensure the safety of the discloser, other residents and student accommodation staff, and enable the discloser to elect who leads the response to the disclosure.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70B3CE" w14:textId="5F352943" w:rsidR="007E4125" w:rsidRPr="008112B3" w:rsidRDefault="007E4125" w:rsidP="00CE43F0">
            <w:pPr>
              <w:spacing w:after="120"/>
            </w:pPr>
            <w:r w:rsidRPr="008112B3">
              <w:t xml:space="preserve">By </w:t>
            </w:r>
            <w:r w:rsidR="005453C9">
              <w:t>the Initial Date</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29AEC080" w14:textId="77777777" w:rsidR="007E4125" w:rsidRPr="00CE43F0" w:rsidRDefault="007E4125" w:rsidP="00CE43F0">
            <w:pPr>
              <w:jc w:val="center"/>
              <w:rPr>
                <w:b/>
                <w:sz w:val="32"/>
                <w:szCs w:val="32"/>
              </w:rPr>
            </w:pPr>
            <w:r w:rsidRPr="00CE43F0">
              <w:rPr>
                <w:b/>
                <w:sz w:val="32"/>
                <w:szCs w:val="32"/>
              </w:rPr>
              <w:t>X</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01BC019" w14:textId="5DFF5903" w:rsidR="007E4125" w:rsidRPr="00CE43F0" w:rsidRDefault="00CB64F9" w:rsidP="00CE43F0">
            <w:pPr>
              <w:jc w:val="center"/>
              <w:rPr>
                <w:b/>
                <w:sz w:val="32"/>
                <w:szCs w:val="32"/>
              </w:rPr>
            </w:pPr>
            <w:r>
              <w:rPr>
                <w:b/>
                <w:sz w:val="32"/>
                <w:szCs w:val="32"/>
              </w:rPr>
              <w:t>X</w:t>
            </w: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3A55181" w14:textId="77777777" w:rsidR="007E4125" w:rsidRPr="00CE43F0" w:rsidRDefault="007E4125" w:rsidP="00CE43F0">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8349435" w14:textId="77777777" w:rsidR="007E4125" w:rsidRPr="00CE43F0" w:rsidRDefault="007E4125" w:rsidP="00CE43F0">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4426A6FF" w14:textId="77777777" w:rsidR="007E4125" w:rsidRPr="00CE43F0" w:rsidRDefault="007E4125" w:rsidP="00CE43F0">
            <w:pPr>
              <w:jc w:val="center"/>
              <w:rPr>
                <w:b/>
                <w:sz w:val="32"/>
                <w:szCs w:val="32"/>
              </w:rPr>
            </w:pPr>
            <w:r w:rsidRPr="00CE43F0">
              <w:rPr>
                <w:b/>
                <w:sz w:val="32"/>
                <w:szCs w:val="32"/>
              </w:rPr>
              <w:t>X</w:t>
            </w:r>
          </w:p>
        </w:tc>
      </w:tr>
      <w:tr w:rsidR="007E4125" w:rsidRPr="008112B3" w14:paraId="13451998" w14:textId="77777777" w:rsidTr="007E4125">
        <w:trPr>
          <w:gridAfter w:val="8"/>
          <w:wAfter w:w="5672" w:type="dxa"/>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91D6" w14:textId="4B5B5C19" w:rsidR="007E4125" w:rsidRPr="008112B3" w:rsidRDefault="00D4532D" w:rsidP="007E4125">
            <w:r>
              <w:t>7.8</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98B7C0" w14:textId="77777777" w:rsidR="007E4125" w:rsidRPr="008112B3" w:rsidRDefault="007E4125" w:rsidP="00CE43F0">
            <w:pPr>
              <w:spacing w:after="120"/>
              <w:rPr>
                <w:i/>
                <w:iCs/>
              </w:rPr>
            </w:pPr>
            <w:r w:rsidRPr="008112B3">
              <w:t xml:space="preserve">A </w:t>
            </w:r>
            <w:r w:rsidRPr="008112B3">
              <w:rPr>
                <w:b/>
                <w:bCs/>
              </w:rPr>
              <w:t>Provider</w:t>
            </w:r>
            <w:r w:rsidRPr="008112B3">
              <w:t xml:space="preserve"> must have arrangements in place with a </w:t>
            </w:r>
            <w:r w:rsidRPr="008112B3">
              <w:rPr>
                <w:b/>
                <w:bCs/>
              </w:rPr>
              <w:t xml:space="preserve">Student Accommodation Provider </w:t>
            </w:r>
            <w:r w:rsidRPr="008112B3">
              <w:t xml:space="preserve">that requires data collection and reporting to the </w:t>
            </w:r>
            <w:r w:rsidRPr="008112B3">
              <w:rPr>
                <w:b/>
                <w:bCs/>
              </w:rPr>
              <w:t xml:space="preserve">Provider </w:t>
            </w:r>
            <w:r w:rsidRPr="008112B3">
              <w:t xml:space="preserve">consistent with Standard 6 of this </w:t>
            </w:r>
            <w:r w:rsidRPr="008112B3">
              <w:rPr>
                <w:b/>
                <w:bCs/>
              </w:rPr>
              <w:t>Code</w:t>
            </w:r>
            <w:r w:rsidRPr="008112B3">
              <w:t>, as applicable.</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CE2814" w14:textId="728BD55C" w:rsidR="007E4125" w:rsidRPr="008112B3" w:rsidRDefault="007E4125" w:rsidP="00CE43F0">
            <w:pPr>
              <w:spacing w:after="120"/>
            </w:pPr>
            <w:r w:rsidRPr="008112B3">
              <w:t xml:space="preserve">By </w:t>
            </w:r>
            <w:r w:rsidR="00243853">
              <w:t>the Initial Date</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7E44D53" w14:textId="77777777" w:rsidR="007E4125" w:rsidRPr="00CE43F0" w:rsidRDefault="007E4125" w:rsidP="00CE43F0">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C773C9F" w14:textId="390B7A56" w:rsidR="007E4125" w:rsidRPr="00CE43F0" w:rsidRDefault="00243853" w:rsidP="00CE43F0">
            <w:pPr>
              <w:jc w:val="center"/>
              <w:rPr>
                <w:b/>
                <w:sz w:val="32"/>
                <w:szCs w:val="32"/>
              </w:rPr>
            </w:pPr>
            <w:r>
              <w:rPr>
                <w:b/>
                <w:sz w:val="32"/>
                <w:szCs w:val="32"/>
              </w:rPr>
              <w:t>X</w:t>
            </w: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355D86F0" w14:textId="77777777" w:rsidR="007E4125" w:rsidRPr="00CE43F0" w:rsidRDefault="007E4125" w:rsidP="00CE43F0">
            <w:pPr>
              <w:jc w:val="center"/>
              <w:rPr>
                <w:b/>
                <w:sz w:val="32"/>
                <w:szCs w:val="32"/>
              </w:rPr>
            </w:pPr>
            <w:r w:rsidRPr="00CE43F0">
              <w:rPr>
                <w:b/>
                <w:sz w:val="32"/>
                <w:szCs w:val="32"/>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600E83AC" w14:textId="77777777" w:rsidR="007E4125" w:rsidRPr="00CE43F0" w:rsidRDefault="007E4125" w:rsidP="00CE43F0">
            <w:pPr>
              <w:jc w:val="center"/>
              <w:rPr>
                <w:b/>
                <w:sz w:val="32"/>
                <w:szCs w:val="32"/>
              </w:rPr>
            </w:pPr>
            <w:r w:rsidRPr="00CE43F0">
              <w:rPr>
                <w:b/>
                <w:sz w:val="32"/>
                <w:szCs w:val="32"/>
              </w:rPr>
              <w:t>X</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7DE3933" w14:textId="77777777" w:rsidR="007E4125" w:rsidRPr="00CE43F0" w:rsidRDefault="007E4125" w:rsidP="00CE43F0">
            <w:pPr>
              <w:jc w:val="center"/>
              <w:rPr>
                <w:b/>
                <w:sz w:val="32"/>
                <w:szCs w:val="32"/>
              </w:rPr>
            </w:pPr>
          </w:p>
        </w:tc>
      </w:tr>
      <w:tr w:rsidR="007E4125" w:rsidRPr="008112B3" w14:paraId="27977609" w14:textId="77777777" w:rsidTr="007E4125">
        <w:trPr>
          <w:gridAfter w:val="8"/>
          <w:wAfter w:w="5672" w:type="dxa"/>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39B4F" w14:textId="2B3AC583" w:rsidR="007E4125" w:rsidRPr="008112B3" w:rsidRDefault="00E330A6" w:rsidP="007E4125">
            <w:r>
              <w:t>7.9</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99FD4B" w14:textId="77777777" w:rsidR="007E4125" w:rsidRPr="008112B3" w:rsidRDefault="007E4125" w:rsidP="00CE43F0">
            <w:pPr>
              <w:spacing w:after="120"/>
              <w:rPr>
                <w:b/>
                <w:bCs/>
              </w:rPr>
            </w:pPr>
            <w:r w:rsidRPr="008112B3">
              <w:t xml:space="preserve">A </w:t>
            </w:r>
            <w:r w:rsidRPr="008112B3">
              <w:rPr>
                <w:b/>
                <w:bCs/>
              </w:rPr>
              <w:t>Provider</w:t>
            </w:r>
            <w:r w:rsidRPr="008112B3">
              <w:t xml:space="preserve"> that has an existing legally binding agreement or other legally binding arrangement in place with an </w:t>
            </w:r>
            <w:r w:rsidRPr="008112B3">
              <w:rPr>
                <w:b/>
                <w:bCs/>
              </w:rPr>
              <w:t xml:space="preserve">Affiliated Student Accommodation Provider </w:t>
            </w:r>
            <w:r w:rsidRPr="008112B3">
              <w:t xml:space="preserve">must do everything reasonably possible within its power to procure the </w:t>
            </w:r>
            <w:r w:rsidRPr="008112B3">
              <w:rPr>
                <w:b/>
                <w:bCs/>
              </w:rPr>
              <w:t>Affiliated Student Accommodation Provider</w:t>
            </w:r>
            <w:r w:rsidRPr="008112B3">
              <w:t xml:space="preserve"> to vary, supplement or otherwise amend that agreement or arrangement so that it meets the requirements set out in paragraphs 7.2 to 7.8, as if any reference to a </w:t>
            </w:r>
            <w:r w:rsidRPr="008112B3">
              <w:rPr>
                <w:b/>
                <w:bCs/>
              </w:rPr>
              <w:t>Student Accommodation Provider</w:t>
            </w:r>
            <w:r w:rsidRPr="008112B3">
              <w:t xml:space="preserve"> was a reference to an </w:t>
            </w:r>
            <w:r w:rsidRPr="008112B3">
              <w:rPr>
                <w:b/>
                <w:bCs/>
              </w:rPr>
              <w:t>Affiliated Student Accommodation Provider</w:t>
            </w:r>
            <w:r w:rsidRPr="008112B3">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96E6B0" w14:textId="01573531" w:rsidR="007E4125" w:rsidRPr="008112B3" w:rsidRDefault="007E4125" w:rsidP="00CE43F0">
            <w:pPr>
              <w:spacing w:after="120"/>
            </w:pPr>
            <w:r w:rsidRPr="008112B3">
              <w:t xml:space="preserve">By </w:t>
            </w:r>
            <w:r w:rsidR="0015536D">
              <w:t>the Initial Date</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61CA982" w14:textId="77777777" w:rsidR="007E4125" w:rsidRPr="00CE43F0" w:rsidRDefault="007E4125" w:rsidP="00CE43F0">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49FA337" w14:textId="3E815F48" w:rsidR="007E4125" w:rsidRPr="00CE43F0" w:rsidRDefault="0015536D" w:rsidP="00CE43F0">
            <w:pPr>
              <w:jc w:val="center"/>
              <w:rPr>
                <w:b/>
                <w:sz w:val="32"/>
                <w:szCs w:val="32"/>
              </w:rPr>
            </w:pPr>
            <w:r>
              <w:rPr>
                <w:b/>
                <w:sz w:val="32"/>
                <w:szCs w:val="32"/>
              </w:rPr>
              <w:t>X</w:t>
            </w: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B45374A" w14:textId="77777777" w:rsidR="007E4125" w:rsidRPr="00CE43F0" w:rsidRDefault="007E4125" w:rsidP="00CE43F0">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9670892" w14:textId="77777777" w:rsidR="007E4125" w:rsidRPr="00CE43F0" w:rsidRDefault="007E4125" w:rsidP="00CE43F0">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70C09816" w14:textId="77777777" w:rsidR="007E4125" w:rsidRPr="00CE43F0" w:rsidRDefault="007E4125" w:rsidP="00CE43F0">
            <w:pPr>
              <w:jc w:val="center"/>
              <w:rPr>
                <w:b/>
                <w:sz w:val="32"/>
                <w:szCs w:val="32"/>
              </w:rPr>
            </w:pPr>
            <w:r w:rsidRPr="00CE43F0">
              <w:rPr>
                <w:b/>
                <w:sz w:val="32"/>
                <w:szCs w:val="32"/>
              </w:rPr>
              <w:t>X</w:t>
            </w:r>
          </w:p>
        </w:tc>
      </w:tr>
      <w:tr w:rsidR="007E4125" w:rsidRPr="008112B3" w14:paraId="65412A0C" w14:textId="77777777" w:rsidTr="007E4125">
        <w:trPr>
          <w:gridAfter w:val="8"/>
          <w:wAfter w:w="5672" w:type="dxa"/>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7FC6D" w14:textId="454F19A9" w:rsidR="007E4125" w:rsidRPr="008112B3" w:rsidRDefault="00FC5868" w:rsidP="007E4125">
            <w:r>
              <w:t>7.10</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BBD489" w14:textId="77777777" w:rsidR="007E4125" w:rsidRPr="008112B3" w:rsidRDefault="007E4125" w:rsidP="00CE43F0">
            <w:pPr>
              <w:spacing w:after="120"/>
              <w:rPr>
                <w:b/>
                <w:bCs/>
              </w:rPr>
            </w:pPr>
            <w:r w:rsidRPr="008112B3">
              <w:t xml:space="preserve">If a </w:t>
            </w:r>
            <w:r w:rsidRPr="008112B3">
              <w:rPr>
                <w:b/>
                <w:bCs/>
              </w:rPr>
              <w:t>Provider</w:t>
            </w:r>
            <w:r w:rsidRPr="008112B3">
              <w:t xml:space="preserve"> does not have a legally binding agreement or other legally binding arrangement in place with an existing </w:t>
            </w:r>
            <w:r w:rsidRPr="008112B3">
              <w:rPr>
                <w:b/>
                <w:bCs/>
              </w:rPr>
              <w:t>Affiliated Student Accommodation Provider</w:t>
            </w:r>
            <w:r w:rsidRPr="008112B3">
              <w:t xml:space="preserve"> or if a </w:t>
            </w:r>
            <w:r w:rsidRPr="008112B3">
              <w:rPr>
                <w:b/>
                <w:bCs/>
              </w:rPr>
              <w:t>Provider</w:t>
            </w:r>
            <w:r w:rsidRPr="008112B3">
              <w:t xml:space="preserve"> is proposing to enter into an agreement, arrangement or understanding with a new </w:t>
            </w:r>
            <w:r w:rsidRPr="008112B3">
              <w:rPr>
                <w:b/>
                <w:bCs/>
              </w:rPr>
              <w:t>Affiliated Student Accommodation Provider</w:t>
            </w:r>
            <w:r w:rsidRPr="008112B3">
              <w:t xml:space="preserve">, the </w:t>
            </w:r>
            <w:r w:rsidRPr="008112B3">
              <w:rPr>
                <w:b/>
                <w:bCs/>
              </w:rPr>
              <w:t>Provider</w:t>
            </w:r>
            <w:r w:rsidRPr="008112B3">
              <w:t xml:space="preserve"> must do everything reasonably possible within its power to enter into a legally binding written agreement or other legally binding arrangement with that </w:t>
            </w:r>
            <w:r w:rsidRPr="008112B3">
              <w:rPr>
                <w:b/>
                <w:bCs/>
              </w:rPr>
              <w:t xml:space="preserve">Affiliated Student Accommodation Provider </w:t>
            </w:r>
            <w:r w:rsidRPr="008112B3">
              <w:t xml:space="preserve">that meets the requirements set out in paragraphs 7.2 to 7.8, as if any reference to a </w:t>
            </w:r>
            <w:r w:rsidRPr="008112B3">
              <w:rPr>
                <w:b/>
                <w:bCs/>
              </w:rPr>
              <w:t xml:space="preserve">Student Accommodation Provider </w:t>
            </w:r>
            <w:r w:rsidRPr="008112B3">
              <w:t xml:space="preserve">was a reference to an </w:t>
            </w:r>
            <w:r w:rsidRPr="008112B3">
              <w:rPr>
                <w:b/>
                <w:bCs/>
              </w:rPr>
              <w:t>Affiliated Student Accommodation Provider</w:t>
            </w:r>
            <w:r w:rsidRPr="008112B3">
              <w: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D57E30" w14:textId="649E1CD8" w:rsidR="007E4125" w:rsidRPr="008112B3" w:rsidRDefault="007E4125" w:rsidP="00CE43F0">
            <w:pPr>
              <w:spacing w:after="120"/>
            </w:pPr>
            <w:r w:rsidRPr="008112B3">
              <w:t xml:space="preserve">By </w:t>
            </w:r>
            <w:r w:rsidR="00856951">
              <w:t>the Initial Date</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A56B900" w14:textId="77777777" w:rsidR="007E4125" w:rsidRPr="00CE43F0" w:rsidRDefault="007E4125" w:rsidP="00CE43F0">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C040C5E" w14:textId="2D044C79" w:rsidR="007E4125" w:rsidRPr="00CE43F0" w:rsidRDefault="000200EA" w:rsidP="00CE43F0">
            <w:pPr>
              <w:jc w:val="center"/>
              <w:rPr>
                <w:b/>
                <w:sz w:val="32"/>
                <w:szCs w:val="32"/>
              </w:rPr>
            </w:pPr>
            <w:r>
              <w:rPr>
                <w:b/>
                <w:sz w:val="32"/>
                <w:szCs w:val="32"/>
              </w:rPr>
              <w:t>X</w:t>
            </w: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25B440B" w14:textId="77777777" w:rsidR="007E4125" w:rsidRPr="00CE43F0" w:rsidRDefault="007E4125" w:rsidP="00CE43F0">
            <w:pPr>
              <w:jc w:val="center"/>
              <w:rPr>
                <w:b/>
                <w:sz w:val="32"/>
                <w:szCs w:val="32"/>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24E484B" w14:textId="77777777" w:rsidR="007E4125" w:rsidRPr="00CE43F0" w:rsidRDefault="007E4125" w:rsidP="00CE43F0">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6038271B" w14:textId="77777777" w:rsidR="007E4125" w:rsidRPr="00CE43F0" w:rsidRDefault="007E4125" w:rsidP="00CE43F0">
            <w:pPr>
              <w:jc w:val="center"/>
              <w:rPr>
                <w:b/>
                <w:sz w:val="32"/>
                <w:szCs w:val="32"/>
              </w:rPr>
            </w:pPr>
            <w:r w:rsidRPr="00CE43F0">
              <w:rPr>
                <w:b/>
                <w:sz w:val="32"/>
                <w:szCs w:val="32"/>
              </w:rPr>
              <w:t>X</w:t>
            </w:r>
          </w:p>
        </w:tc>
      </w:tr>
      <w:tr w:rsidR="007E4125" w:rsidRPr="008112B3" w14:paraId="54414F64" w14:textId="77777777" w:rsidTr="007E4125">
        <w:trPr>
          <w:gridAfter w:val="8"/>
          <w:wAfter w:w="5672" w:type="dxa"/>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6F623" w14:textId="38BCB2F0" w:rsidR="007E4125" w:rsidRPr="008112B3" w:rsidRDefault="00761B64" w:rsidP="007E4125">
            <w:r>
              <w:lastRenderedPageBreak/>
              <w:t>7.11</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4D6626" w14:textId="77777777" w:rsidR="007E4125" w:rsidRPr="008112B3" w:rsidRDefault="007E4125" w:rsidP="00CE43F0">
            <w:pPr>
              <w:spacing w:after="120"/>
              <w:rPr>
                <w:b/>
                <w:bCs/>
              </w:rPr>
            </w:pPr>
            <w:r w:rsidRPr="008112B3">
              <w:t xml:space="preserve">Where an </w:t>
            </w:r>
            <w:r w:rsidRPr="008112B3">
              <w:rPr>
                <w:b/>
                <w:bCs/>
              </w:rPr>
              <w:t xml:space="preserve">Affiliated Student Accommodation Provider </w:t>
            </w:r>
            <w:r w:rsidRPr="008112B3">
              <w:t xml:space="preserve">does not agree to implement an agreement that meets the requirements in paragraph 7.9 or paragraph 7.10 (as applicable), a </w:t>
            </w:r>
            <w:r w:rsidRPr="008112B3">
              <w:rPr>
                <w:b/>
                <w:bCs/>
              </w:rPr>
              <w:t>Provider</w:t>
            </w:r>
            <w:r w:rsidRPr="008112B3">
              <w:t>:</w:t>
            </w:r>
          </w:p>
          <w:p w14:paraId="04547396" w14:textId="77777777" w:rsidR="007E4125" w:rsidRPr="008112B3" w:rsidRDefault="007E4125" w:rsidP="00CE43F0">
            <w:pPr>
              <w:spacing w:after="120"/>
            </w:pPr>
            <w:r w:rsidRPr="008112B3">
              <w:t xml:space="preserve">(a) must report to the </w:t>
            </w:r>
            <w:r w:rsidRPr="008112B3">
              <w:rPr>
                <w:b/>
                <w:bCs/>
              </w:rPr>
              <w:t>Secretary</w:t>
            </w:r>
            <w:r w:rsidRPr="008112B3">
              <w:t>, who may publish,</w:t>
            </w:r>
            <w:r w:rsidRPr="008112B3">
              <w:rPr>
                <w:b/>
                <w:bCs/>
              </w:rPr>
              <w:t xml:space="preserve"> </w:t>
            </w:r>
            <w:r w:rsidRPr="008112B3">
              <w:t xml:space="preserve">the name of the </w:t>
            </w:r>
            <w:r w:rsidRPr="008112B3">
              <w:rPr>
                <w:b/>
                <w:bCs/>
              </w:rPr>
              <w:t>Affiliated Student Accommodation Provider</w:t>
            </w:r>
            <w:r w:rsidRPr="008112B3">
              <w:t>; and (b) must not:</w:t>
            </w:r>
          </w:p>
          <w:p w14:paraId="36E2E250" w14:textId="77777777" w:rsidR="007E4125" w:rsidRPr="008112B3" w:rsidRDefault="007E4125" w:rsidP="00CE43F0">
            <w:pPr>
              <w:spacing w:after="120"/>
            </w:pPr>
            <w:proofErr w:type="spellStart"/>
            <w:r w:rsidRPr="008112B3">
              <w:t>i</w:t>
            </w:r>
            <w:proofErr w:type="spellEnd"/>
            <w:r w:rsidRPr="008112B3">
              <w:t xml:space="preserve">) authorise the </w:t>
            </w:r>
            <w:r w:rsidRPr="008112B3">
              <w:rPr>
                <w:b/>
                <w:bCs/>
              </w:rPr>
              <w:t xml:space="preserve">Affiliated Student Accommodation Provider </w:t>
            </w:r>
            <w:r w:rsidRPr="008112B3">
              <w:t xml:space="preserve">to continue to use the </w:t>
            </w:r>
            <w:r w:rsidRPr="008112B3">
              <w:rPr>
                <w:b/>
                <w:bCs/>
              </w:rPr>
              <w:t>Provider's</w:t>
            </w:r>
            <w:r w:rsidRPr="008112B3">
              <w:t xml:space="preserve"> intellectual property or any domain names of the </w:t>
            </w:r>
            <w:r w:rsidRPr="008112B3">
              <w:rPr>
                <w:b/>
                <w:bCs/>
              </w:rPr>
              <w:t>Provider</w:t>
            </w:r>
            <w:r w:rsidRPr="008112B3">
              <w:t xml:space="preserve">; or </w:t>
            </w:r>
          </w:p>
          <w:p w14:paraId="3910DFF8" w14:textId="77777777" w:rsidR="007E4125" w:rsidRPr="008112B3" w:rsidRDefault="007E4125" w:rsidP="00CE43F0">
            <w:pPr>
              <w:spacing w:after="120"/>
            </w:pPr>
            <w:r w:rsidRPr="008112B3">
              <w:t xml:space="preserve">ii) advertise, market or promote the </w:t>
            </w:r>
            <w:r w:rsidRPr="008112B3">
              <w:rPr>
                <w:b/>
                <w:bCs/>
              </w:rPr>
              <w:t>Affiliated Student Accommodation Provider</w:t>
            </w:r>
            <w:r w:rsidRPr="008112B3">
              <w:t xml:space="preserve">, including to the </w:t>
            </w:r>
            <w:r w:rsidRPr="008112B3">
              <w:rPr>
                <w:b/>
                <w:bCs/>
              </w:rPr>
              <w:t>Provider's</w:t>
            </w:r>
            <w:r w:rsidRPr="008112B3">
              <w:t xml:space="preserve"> </w:t>
            </w:r>
            <w:r w:rsidRPr="008112B3">
              <w:rPr>
                <w:b/>
                <w:bCs/>
              </w:rPr>
              <w:t>Students</w:t>
            </w:r>
            <w:r w:rsidRPr="008112B3">
              <w:t>; or</w:t>
            </w:r>
          </w:p>
          <w:p w14:paraId="576CFCD1" w14:textId="77777777" w:rsidR="007E4125" w:rsidRPr="008112B3" w:rsidRDefault="007E4125" w:rsidP="00CE43F0">
            <w:pPr>
              <w:spacing w:after="120"/>
            </w:pPr>
            <w:r w:rsidRPr="008112B3">
              <w:t xml:space="preserve">iii) have any agreement in place to reserve spaces for </w:t>
            </w:r>
            <w:r w:rsidRPr="008112B3">
              <w:rPr>
                <w:b/>
                <w:bCs/>
              </w:rPr>
              <w:t>Students</w:t>
            </w:r>
            <w:r w:rsidRPr="008112B3">
              <w: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2BC1F5" w14:textId="20C580BF" w:rsidR="007E4125" w:rsidRPr="008112B3" w:rsidRDefault="00EF4014" w:rsidP="00CE43F0">
            <w:pPr>
              <w:spacing w:after="120"/>
            </w:pPr>
            <w:r>
              <w:t xml:space="preserve">From </w:t>
            </w:r>
            <w:r w:rsidR="000200EA">
              <w:t>the Initial Date</w:t>
            </w:r>
            <w:r>
              <w:t xml:space="preserve"> and ongoing</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8BC9A4A" w14:textId="77777777" w:rsidR="007E4125" w:rsidRPr="00CE43F0" w:rsidRDefault="007E4125" w:rsidP="00CE43F0">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677CAE5" w14:textId="5E1BE6F7" w:rsidR="007E4125" w:rsidRPr="00CE43F0" w:rsidRDefault="000200EA" w:rsidP="00CE43F0">
            <w:pPr>
              <w:jc w:val="center"/>
              <w:rPr>
                <w:b/>
                <w:sz w:val="32"/>
                <w:szCs w:val="32"/>
              </w:rPr>
            </w:pPr>
            <w:r>
              <w:rPr>
                <w:b/>
                <w:sz w:val="32"/>
                <w:szCs w:val="32"/>
              </w:rPr>
              <w:t>X</w:t>
            </w: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CAF8E02" w14:textId="30A0DE25" w:rsidR="007E4125" w:rsidRPr="00CE43F0" w:rsidRDefault="007846C6" w:rsidP="00CE43F0">
            <w:pPr>
              <w:jc w:val="center"/>
              <w:rPr>
                <w:b/>
                <w:sz w:val="32"/>
                <w:szCs w:val="32"/>
              </w:rPr>
            </w:pPr>
            <w:r w:rsidRPr="00CE43F0">
              <w:rPr>
                <w:b/>
                <w:sz w:val="32"/>
                <w:szCs w:val="32"/>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5E79BE6" w14:textId="77777777" w:rsidR="007E4125" w:rsidRPr="00CE43F0" w:rsidRDefault="007E4125" w:rsidP="00CE43F0">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715490BB" w14:textId="77777777" w:rsidR="007E4125" w:rsidRPr="00CE43F0" w:rsidRDefault="007E4125" w:rsidP="00CE43F0">
            <w:pPr>
              <w:jc w:val="center"/>
              <w:rPr>
                <w:b/>
                <w:sz w:val="32"/>
                <w:szCs w:val="32"/>
              </w:rPr>
            </w:pPr>
            <w:r w:rsidRPr="00CE43F0">
              <w:rPr>
                <w:b/>
                <w:sz w:val="32"/>
                <w:szCs w:val="32"/>
              </w:rPr>
              <w:t>X</w:t>
            </w:r>
          </w:p>
        </w:tc>
      </w:tr>
      <w:tr w:rsidR="007E4125" w:rsidRPr="008112B3" w14:paraId="43902DB8" w14:textId="77777777" w:rsidTr="007E4125">
        <w:trPr>
          <w:gridAfter w:val="8"/>
          <w:wAfter w:w="5672" w:type="dxa"/>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F9A19" w14:textId="3CA655EB" w:rsidR="007E4125" w:rsidRPr="008112B3" w:rsidRDefault="00F311E8" w:rsidP="007E4125">
            <w:r>
              <w:t>7.12</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17AB10" w14:textId="77777777" w:rsidR="007E4125" w:rsidRPr="008112B3" w:rsidRDefault="007E4125" w:rsidP="00CE43F0">
            <w:pPr>
              <w:spacing w:after="120"/>
            </w:pPr>
            <w:r w:rsidRPr="008112B3">
              <w:t xml:space="preserve">The </w:t>
            </w:r>
            <w:r w:rsidRPr="008112B3">
              <w:rPr>
                <w:b/>
                <w:bCs/>
              </w:rPr>
              <w:t xml:space="preserve">Secretary </w:t>
            </w:r>
            <w:r w:rsidRPr="008112B3">
              <w:t xml:space="preserve">may require a </w:t>
            </w:r>
            <w:r w:rsidRPr="008112B3">
              <w:rPr>
                <w:b/>
                <w:bCs/>
              </w:rPr>
              <w:t xml:space="preserve">Provider </w:t>
            </w:r>
            <w:r w:rsidRPr="008112B3">
              <w:t xml:space="preserve">to report on how it has complied with its obligations under this Standard in a manner and form to be prescribed by the </w:t>
            </w:r>
            <w:r w:rsidRPr="008112B3">
              <w:rPr>
                <w:b/>
                <w:bCs/>
              </w:rPr>
              <w:t>Secretary.</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0A79EC" w14:textId="53E8DB54" w:rsidR="007E4125" w:rsidRPr="008112B3" w:rsidRDefault="007E4125" w:rsidP="00CE43F0">
            <w:pPr>
              <w:spacing w:after="120"/>
            </w:pPr>
            <w:r w:rsidRPr="008112B3">
              <w:t xml:space="preserve">As </w:t>
            </w:r>
            <w:r w:rsidR="0078596C">
              <w:t>required</w:t>
            </w:r>
            <w:r w:rsidR="0078596C" w:rsidRPr="008112B3">
              <w:t xml:space="preserve">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FF44F43" w14:textId="77777777" w:rsidR="007E4125" w:rsidRPr="00CE43F0" w:rsidRDefault="007E4125" w:rsidP="00CE43F0">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A91B958" w14:textId="77777777" w:rsidR="007E4125" w:rsidRPr="00CE43F0" w:rsidRDefault="007E4125" w:rsidP="00CE43F0">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2380567D" w14:textId="77777777" w:rsidR="007E4125" w:rsidRPr="00CE43F0" w:rsidRDefault="007E4125" w:rsidP="00CE43F0">
            <w:pPr>
              <w:jc w:val="center"/>
              <w:rPr>
                <w:b/>
                <w:sz w:val="32"/>
                <w:szCs w:val="32"/>
              </w:rPr>
            </w:pPr>
            <w:r w:rsidRPr="00CE43F0">
              <w:rPr>
                <w:b/>
                <w:sz w:val="32"/>
                <w:szCs w:val="32"/>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D82B402" w14:textId="77777777" w:rsidR="007E4125" w:rsidRPr="00CE43F0" w:rsidRDefault="007E4125" w:rsidP="00CE43F0">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A4065D9" w14:textId="77777777" w:rsidR="007E4125" w:rsidRPr="00CE43F0" w:rsidRDefault="007E4125" w:rsidP="00CE43F0">
            <w:pPr>
              <w:jc w:val="center"/>
              <w:rPr>
                <w:b/>
                <w:sz w:val="32"/>
                <w:szCs w:val="32"/>
              </w:rPr>
            </w:pPr>
          </w:p>
        </w:tc>
      </w:tr>
      <w:tr w:rsidR="007E4125" w:rsidRPr="008112B3" w14:paraId="2503FB8C" w14:textId="77777777" w:rsidTr="007E4125">
        <w:trPr>
          <w:gridAfter w:val="8"/>
          <w:wAfter w:w="5672" w:type="dxa"/>
        </w:trPr>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6B74D" w14:textId="253A4EC0" w:rsidR="007E4125" w:rsidRPr="008112B3" w:rsidRDefault="00F311E8" w:rsidP="007E4125">
            <w:r>
              <w:t>7.13</w:t>
            </w:r>
          </w:p>
        </w:tc>
        <w:tc>
          <w:tcPr>
            <w:tcW w:w="9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22B515" w14:textId="77777777" w:rsidR="007E4125" w:rsidRPr="008112B3" w:rsidRDefault="007E4125" w:rsidP="00CE43F0">
            <w:pPr>
              <w:spacing w:after="120"/>
            </w:pPr>
            <w:r w:rsidRPr="008112B3">
              <w:t xml:space="preserve">A </w:t>
            </w:r>
            <w:r w:rsidRPr="008112B3">
              <w:rPr>
                <w:b/>
                <w:bCs/>
              </w:rPr>
              <w:t>Provider</w:t>
            </w:r>
            <w:r w:rsidRPr="008112B3">
              <w:t xml:space="preserve"> must, by 30 June each year commencing after the </w:t>
            </w:r>
            <w:r w:rsidRPr="008112B3">
              <w:rPr>
                <w:b/>
                <w:bCs/>
              </w:rPr>
              <w:t>Initial Reporting Date</w:t>
            </w:r>
            <w:r w:rsidRPr="008112B3">
              <w:t xml:space="preserve">, provide to the </w:t>
            </w:r>
            <w:r w:rsidRPr="008112B3">
              <w:rPr>
                <w:b/>
                <w:bCs/>
              </w:rPr>
              <w:t>Secretary</w:t>
            </w:r>
            <w:r w:rsidRPr="008112B3">
              <w:t xml:space="preserve"> the names of:</w:t>
            </w:r>
          </w:p>
          <w:p w14:paraId="59898B45" w14:textId="77777777" w:rsidR="007E4125" w:rsidRPr="008112B3" w:rsidRDefault="007E4125" w:rsidP="00CE43F0">
            <w:pPr>
              <w:spacing w:after="120"/>
            </w:pPr>
            <w:r w:rsidRPr="008112B3">
              <w:t xml:space="preserve">a) </w:t>
            </w:r>
            <w:r w:rsidRPr="008112B3">
              <w:rPr>
                <w:b/>
                <w:bCs/>
              </w:rPr>
              <w:t>Student Accommodation</w:t>
            </w:r>
            <w:r w:rsidRPr="008112B3">
              <w:t xml:space="preserve"> which the </w:t>
            </w:r>
            <w:r w:rsidRPr="008112B3">
              <w:rPr>
                <w:b/>
                <w:bCs/>
              </w:rPr>
              <w:t>Provider</w:t>
            </w:r>
            <w:r w:rsidRPr="008112B3">
              <w:t xml:space="preserve"> directly owns, operates and/or manages; </w:t>
            </w:r>
          </w:p>
          <w:p w14:paraId="0CB0A917" w14:textId="77777777" w:rsidR="007E4125" w:rsidRPr="008112B3" w:rsidRDefault="007E4125" w:rsidP="00CE43F0">
            <w:pPr>
              <w:spacing w:after="120"/>
            </w:pPr>
            <w:r w:rsidRPr="008112B3">
              <w:t xml:space="preserve">b) the </w:t>
            </w:r>
            <w:r w:rsidRPr="008112B3">
              <w:rPr>
                <w:b/>
                <w:bCs/>
              </w:rPr>
              <w:t>Student Accommodation</w:t>
            </w:r>
            <w:r w:rsidRPr="008112B3">
              <w:t xml:space="preserve"> that it </w:t>
            </w:r>
            <w:r w:rsidRPr="008112B3">
              <w:rPr>
                <w:b/>
                <w:bCs/>
              </w:rPr>
              <w:t>Controls</w:t>
            </w:r>
            <w:r w:rsidRPr="008112B3">
              <w:t xml:space="preserve">; and </w:t>
            </w:r>
          </w:p>
          <w:p w14:paraId="705394B8" w14:textId="77777777" w:rsidR="007E4125" w:rsidRPr="008112B3" w:rsidRDefault="007E4125" w:rsidP="00CE43F0">
            <w:pPr>
              <w:spacing w:after="120"/>
            </w:pPr>
            <w:r w:rsidRPr="008112B3">
              <w:t>c) the Student Accommodation to which it is affiliated.</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7D4DFB" w14:textId="7B4C68D3" w:rsidR="007E4125" w:rsidRPr="008112B3" w:rsidRDefault="007E4125" w:rsidP="00CE43F0">
            <w:pPr>
              <w:spacing w:after="120"/>
            </w:pPr>
            <w:r w:rsidRPr="008112B3">
              <w:t>By 30 June</w:t>
            </w:r>
            <w:r w:rsidR="00F01002">
              <w:t xml:space="preserve"> each year after the Initial Date</w:t>
            </w:r>
            <w:r w:rsidRPr="008112B3">
              <w:t xml:space="preserve"> </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F2568D4" w14:textId="77777777" w:rsidR="007E4125" w:rsidRPr="00CE43F0" w:rsidRDefault="007E4125" w:rsidP="00CE43F0">
            <w:pPr>
              <w:jc w:val="center"/>
              <w:rPr>
                <w:b/>
                <w:sz w:val="32"/>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9337444" w14:textId="77777777" w:rsidR="007E4125" w:rsidRPr="00CE43F0" w:rsidRDefault="007E4125" w:rsidP="00CE43F0">
            <w:pPr>
              <w:jc w:val="center"/>
              <w:rPr>
                <w:b/>
                <w:sz w:val="32"/>
                <w:szCs w:val="32"/>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76003A14" w14:textId="77777777" w:rsidR="007E4125" w:rsidRPr="00CE43F0" w:rsidRDefault="007E4125" w:rsidP="00CE43F0">
            <w:pPr>
              <w:jc w:val="center"/>
              <w:rPr>
                <w:b/>
                <w:sz w:val="32"/>
                <w:szCs w:val="32"/>
              </w:rPr>
            </w:pPr>
            <w:r w:rsidRPr="00CE43F0">
              <w:rPr>
                <w:b/>
                <w:sz w:val="32"/>
                <w:szCs w:val="32"/>
              </w:rPr>
              <w:t>X</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1C10842" w14:textId="77777777" w:rsidR="007E4125" w:rsidRPr="00CE43F0" w:rsidRDefault="007E4125" w:rsidP="00CE43F0">
            <w:pPr>
              <w:jc w:val="center"/>
              <w:rPr>
                <w:b/>
                <w:sz w:val="32"/>
                <w:szCs w:val="32"/>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5666A2C" w14:textId="77777777" w:rsidR="007E4125" w:rsidRPr="00CE43F0" w:rsidRDefault="007E4125" w:rsidP="00CE43F0">
            <w:pPr>
              <w:jc w:val="center"/>
              <w:rPr>
                <w:b/>
                <w:sz w:val="32"/>
                <w:szCs w:val="32"/>
              </w:rPr>
            </w:pPr>
          </w:p>
        </w:tc>
      </w:tr>
      <w:bookmarkEnd w:id="5"/>
    </w:tbl>
    <w:p w14:paraId="09D2910B" w14:textId="77777777" w:rsidR="008D247A" w:rsidRPr="008001E0" w:rsidRDefault="008D247A" w:rsidP="008112B3">
      <w:pPr>
        <w:rPr>
          <w:sz w:val="20"/>
          <w:szCs w:val="20"/>
        </w:rPr>
      </w:pPr>
    </w:p>
    <w:sectPr w:rsidR="008D247A" w:rsidRPr="008001E0" w:rsidSect="0068345B">
      <w:footerReference w:type="default" r:id="rId14"/>
      <w:footerReference w:type="first" r:id="rId15"/>
      <w:pgSz w:w="16838" w:h="11906" w:orient="landscape"/>
      <w:pgMar w:top="720" w:right="720" w:bottom="720" w:left="720" w:header="709"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0916B" w14:textId="77777777" w:rsidR="00C34CA8" w:rsidRDefault="00C34CA8" w:rsidP="000A6228">
      <w:pPr>
        <w:spacing w:after="0" w:line="240" w:lineRule="auto"/>
      </w:pPr>
      <w:r>
        <w:separator/>
      </w:r>
    </w:p>
  </w:endnote>
  <w:endnote w:type="continuationSeparator" w:id="0">
    <w:p w14:paraId="259BA652" w14:textId="77777777" w:rsidR="00C34CA8" w:rsidRDefault="00C34CA8"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6FBC1" w14:textId="6E7509F4" w:rsidR="00A74240" w:rsidRDefault="009720AE" w:rsidP="00A74240">
    <w:pPr>
      <w:pStyle w:val="Footer"/>
    </w:pPr>
    <w:fldSimple w:instr="DOCPROPERTY  Title  \* MERGEFORMAT">
      <w:r>
        <w:t>National Higher Education Code to Prevent and Respond to Gender-based Violence</w:t>
      </w:r>
    </w:fldSimple>
    <w:r w:rsidR="003B55C6">
      <w:t>)</w:t>
    </w:r>
    <w:r w:rsidR="00A74240">
      <w:t xml:space="preserve"> | </w:t>
    </w:r>
    <w:r w:rsidR="00A74240" w:rsidRPr="00AF1F18">
      <w:fldChar w:fldCharType="begin"/>
    </w:r>
    <w:r w:rsidR="00A74240" w:rsidRPr="00AF1F18">
      <w:instrText xml:space="preserve"> PAGE   \* MERGEFORMAT </w:instrText>
    </w:r>
    <w:r w:rsidR="00A74240" w:rsidRPr="00AF1F18">
      <w:fldChar w:fldCharType="separate"/>
    </w:r>
    <w:r w:rsidR="00A74240">
      <w:t>1</w:t>
    </w:r>
    <w:r w:rsidR="00A74240" w:rsidRPr="00AF1F18">
      <w:fldChar w:fldCharType="end"/>
    </w:r>
  </w:p>
  <w:p w14:paraId="1F94E3F2" w14:textId="77777777" w:rsidR="00A74240" w:rsidRDefault="00A74240" w:rsidP="00A74240">
    <w:pPr>
      <w:pStyle w:val="Footer"/>
    </w:pPr>
  </w:p>
  <w:p w14:paraId="2DF983AC" w14:textId="77777777" w:rsidR="00A74240" w:rsidRPr="00A74240" w:rsidRDefault="00A74240" w:rsidP="00A7424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8657" w14:textId="2BAB042C" w:rsidR="00A74240" w:rsidRDefault="009720AE" w:rsidP="00A74240">
    <w:pPr>
      <w:pStyle w:val="Footer"/>
    </w:pPr>
    <w:fldSimple w:instr="DOCPROPERTY  Title  \* MERGEFORMAT">
      <w:r>
        <w:t>National Higher Education Code to Prevent and Respond to Gender-based Violence</w:t>
      </w:r>
    </w:fldSimple>
    <w:r w:rsidR="00A74240">
      <w:t xml:space="preserve"> | </w:t>
    </w:r>
    <w:r w:rsidR="00A74240" w:rsidRPr="00AF1F18">
      <w:fldChar w:fldCharType="begin"/>
    </w:r>
    <w:r w:rsidR="00A74240" w:rsidRPr="00AF1F18">
      <w:instrText xml:space="preserve"> PAGE   \* MERGEFORMAT </w:instrText>
    </w:r>
    <w:r w:rsidR="00A74240" w:rsidRPr="00AF1F18">
      <w:fldChar w:fldCharType="separate"/>
    </w:r>
    <w:r w:rsidR="00A74240">
      <w:t>4</w:t>
    </w:r>
    <w:r w:rsidR="00A74240" w:rsidRPr="00AF1F18">
      <w:fldChar w:fldCharType="end"/>
    </w:r>
  </w:p>
  <w:p w14:paraId="6F5F7D23" w14:textId="77777777" w:rsidR="00A74240" w:rsidRDefault="00A74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983C7" w14:textId="77777777" w:rsidR="00C34CA8" w:rsidRDefault="00C34CA8" w:rsidP="000A6228">
      <w:pPr>
        <w:spacing w:after="0" w:line="240" w:lineRule="auto"/>
      </w:pPr>
      <w:r>
        <w:separator/>
      </w:r>
    </w:p>
  </w:footnote>
  <w:footnote w:type="continuationSeparator" w:id="0">
    <w:p w14:paraId="05CCC489" w14:textId="77777777" w:rsidR="00C34CA8" w:rsidRDefault="00C34CA8"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0136EE"/>
    <w:multiLevelType w:val="multilevel"/>
    <w:tmpl w:val="C5586F7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0D534DE7"/>
    <w:multiLevelType w:val="hybridMultilevel"/>
    <w:tmpl w:val="FFFFFFFF"/>
    <w:lvl w:ilvl="0" w:tplc="515CAA44">
      <w:start w:val="1"/>
      <w:numFmt w:val="bullet"/>
      <w:lvlText w:val=""/>
      <w:lvlJc w:val="left"/>
      <w:pPr>
        <w:ind w:left="720" w:hanging="360"/>
      </w:pPr>
      <w:rPr>
        <w:rFonts w:ascii="Symbol" w:hAnsi="Symbol" w:hint="default"/>
      </w:rPr>
    </w:lvl>
    <w:lvl w:ilvl="1" w:tplc="7F8CC6B0">
      <w:start w:val="1"/>
      <w:numFmt w:val="bullet"/>
      <w:lvlText w:val="o"/>
      <w:lvlJc w:val="left"/>
      <w:pPr>
        <w:ind w:left="1440" w:hanging="360"/>
      </w:pPr>
      <w:rPr>
        <w:rFonts w:ascii="Courier New" w:hAnsi="Courier New" w:hint="default"/>
      </w:rPr>
    </w:lvl>
    <w:lvl w:ilvl="2" w:tplc="C1DEEC92">
      <w:start w:val="1"/>
      <w:numFmt w:val="bullet"/>
      <w:lvlText w:val=""/>
      <w:lvlJc w:val="left"/>
      <w:pPr>
        <w:ind w:left="2160" w:hanging="360"/>
      </w:pPr>
      <w:rPr>
        <w:rFonts w:ascii="Wingdings" w:hAnsi="Wingdings" w:hint="default"/>
      </w:rPr>
    </w:lvl>
    <w:lvl w:ilvl="3" w:tplc="40AC8112">
      <w:start w:val="1"/>
      <w:numFmt w:val="bullet"/>
      <w:lvlText w:val=""/>
      <w:lvlJc w:val="left"/>
      <w:pPr>
        <w:ind w:left="2880" w:hanging="360"/>
      </w:pPr>
      <w:rPr>
        <w:rFonts w:ascii="Symbol" w:hAnsi="Symbol" w:hint="default"/>
      </w:rPr>
    </w:lvl>
    <w:lvl w:ilvl="4" w:tplc="F510E768">
      <w:start w:val="1"/>
      <w:numFmt w:val="bullet"/>
      <w:lvlText w:val="o"/>
      <w:lvlJc w:val="left"/>
      <w:pPr>
        <w:ind w:left="3600" w:hanging="360"/>
      </w:pPr>
      <w:rPr>
        <w:rFonts w:ascii="Courier New" w:hAnsi="Courier New" w:hint="default"/>
      </w:rPr>
    </w:lvl>
    <w:lvl w:ilvl="5" w:tplc="185A8234">
      <w:start w:val="1"/>
      <w:numFmt w:val="bullet"/>
      <w:lvlText w:val=""/>
      <w:lvlJc w:val="left"/>
      <w:pPr>
        <w:ind w:left="4320" w:hanging="360"/>
      </w:pPr>
      <w:rPr>
        <w:rFonts w:ascii="Wingdings" w:hAnsi="Wingdings" w:hint="default"/>
      </w:rPr>
    </w:lvl>
    <w:lvl w:ilvl="6" w:tplc="A02C6186">
      <w:start w:val="1"/>
      <w:numFmt w:val="bullet"/>
      <w:lvlText w:val=""/>
      <w:lvlJc w:val="left"/>
      <w:pPr>
        <w:ind w:left="5040" w:hanging="360"/>
      </w:pPr>
      <w:rPr>
        <w:rFonts w:ascii="Symbol" w:hAnsi="Symbol" w:hint="default"/>
      </w:rPr>
    </w:lvl>
    <w:lvl w:ilvl="7" w:tplc="B01A76DE">
      <w:start w:val="1"/>
      <w:numFmt w:val="bullet"/>
      <w:lvlText w:val="o"/>
      <w:lvlJc w:val="left"/>
      <w:pPr>
        <w:ind w:left="5760" w:hanging="360"/>
      </w:pPr>
      <w:rPr>
        <w:rFonts w:ascii="Courier New" w:hAnsi="Courier New" w:hint="default"/>
      </w:rPr>
    </w:lvl>
    <w:lvl w:ilvl="8" w:tplc="A288A79E">
      <w:start w:val="1"/>
      <w:numFmt w:val="bullet"/>
      <w:lvlText w:val=""/>
      <w:lvlJc w:val="left"/>
      <w:pPr>
        <w:ind w:left="6480" w:hanging="360"/>
      </w:pPr>
      <w:rPr>
        <w:rFonts w:ascii="Wingdings" w:hAnsi="Wingdings" w:hint="default"/>
      </w:rPr>
    </w:lvl>
  </w:abstractNum>
  <w:abstractNum w:abstractNumId="12"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3" w15:restartNumberingAfterBreak="0">
    <w:nsid w:val="18BF1A6D"/>
    <w:multiLevelType w:val="hybridMultilevel"/>
    <w:tmpl w:val="E510223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FD30EB3"/>
    <w:multiLevelType w:val="multilevel"/>
    <w:tmpl w:val="D1A426FC"/>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7"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613295E"/>
    <w:multiLevelType w:val="hybridMultilevel"/>
    <w:tmpl w:val="75E089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84C524D"/>
    <w:multiLevelType w:val="multilevel"/>
    <w:tmpl w:val="1B2A5D44"/>
    <w:lvl w:ilvl="0">
      <w:start w:val="7"/>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BD16550"/>
    <w:multiLevelType w:val="hybridMultilevel"/>
    <w:tmpl w:val="E510223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501D3DD3"/>
    <w:multiLevelType w:val="multilevel"/>
    <w:tmpl w:val="8EBEB13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b w:val="0"/>
        <w:bCs w:val="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5393FA2"/>
    <w:multiLevelType w:val="multilevel"/>
    <w:tmpl w:val="B98EF96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B002A34"/>
    <w:multiLevelType w:val="multilevel"/>
    <w:tmpl w:val="8EBEB13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b w:val="0"/>
        <w:bCs w:val="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EA61BB2"/>
    <w:multiLevelType w:val="hybridMultilevel"/>
    <w:tmpl w:val="C2D60A1C"/>
    <w:lvl w:ilvl="0" w:tplc="FF96BAEE">
      <w:start w:val="6"/>
      <w:numFmt w:val="bullet"/>
      <w:lvlText w:val="-"/>
      <w:lvlJc w:val="left"/>
      <w:pPr>
        <w:ind w:left="720" w:hanging="360"/>
      </w:pPr>
      <w:rPr>
        <w:rFonts w:ascii="Aptos" w:eastAsiaTheme="minorEastAsia" w:hAnsi="Aptos" w:cs="Times New Roman" w:hint="default"/>
        <w:b/>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9" w15:restartNumberingAfterBreak="0">
    <w:nsid w:val="740D5A04"/>
    <w:multiLevelType w:val="multilevel"/>
    <w:tmpl w:val="4B8C9186"/>
    <w:lvl w:ilvl="0">
      <w:start w:val="6"/>
      <w:numFmt w:val="decimal"/>
      <w:lvlText w:val="%1"/>
      <w:lvlJc w:val="left"/>
      <w:pPr>
        <w:ind w:left="390" w:hanging="390"/>
      </w:pPr>
      <w:rPr>
        <w:rFonts w:hint="default"/>
      </w:rPr>
    </w:lvl>
    <w:lvl w:ilvl="1">
      <w:start w:val="1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70803065">
    <w:abstractNumId w:val="14"/>
  </w:num>
  <w:num w:numId="2" w16cid:durableId="1144616732">
    <w:abstractNumId w:val="5"/>
  </w:num>
  <w:num w:numId="3" w16cid:durableId="979309186">
    <w:abstractNumId w:val="4"/>
  </w:num>
  <w:num w:numId="4" w16cid:durableId="144787752">
    <w:abstractNumId w:val="3"/>
  </w:num>
  <w:num w:numId="5" w16cid:durableId="934556078">
    <w:abstractNumId w:val="17"/>
  </w:num>
  <w:num w:numId="6" w16cid:durableId="816344236">
    <w:abstractNumId w:val="2"/>
  </w:num>
  <w:num w:numId="7" w16cid:durableId="1908612059">
    <w:abstractNumId w:val="1"/>
  </w:num>
  <w:num w:numId="8" w16cid:durableId="1618215078">
    <w:abstractNumId w:val="0"/>
  </w:num>
  <w:num w:numId="9" w16cid:durableId="1850677422">
    <w:abstractNumId w:val="16"/>
  </w:num>
  <w:num w:numId="10" w16cid:durableId="1599946406">
    <w:abstractNumId w:val="8"/>
  </w:num>
  <w:num w:numId="11" w16cid:durableId="714038629">
    <w:abstractNumId w:val="27"/>
  </w:num>
  <w:num w:numId="12" w16cid:durableId="1728914001">
    <w:abstractNumId w:val="12"/>
  </w:num>
  <w:num w:numId="13" w16cid:durableId="17856119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10"/>
  </w:num>
  <w:num w:numId="15" w16cid:durableId="268391646">
    <w:abstractNumId w:val="6"/>
  </w:num>
  <w:num w:numId="16" w16cid:durableId="1261833621">
    <w:abstractNumId w:val="28"/>
  </w:num>
  <w:num w:numId="17" w16cid:durableId="2029670193">
    <w:abstractNumId w:val="19"/>
  </w:num>
  <w:num w:numId="18" w16cid:durableId="887570554">
    <w:abstractNumId w:val="9"/>
  </w:num>
  <w:num w:numId="19" w16cid:durableId="147789394">
    <w:abstractNumId w:val="24"/>
  </w:num>
  <w:num w:numId="20" w16cid:durableId="1686983350">
    <w:abstractNumId w:val="15"/>
  </w:num>
  <w:num w:numId="21" w16cid:durableId="2059551107">
    <w:abstractNumId w:val="7"/>
  </w:num>
  <w:num w:numId="22" w16cid:durableId="517740345">
    <w:abstractNumId w:val="29"/>
  </w:num>
  <w:num w:numId="23" w16cid:durableId="328679823">
    <w:abstractNumId w:val="22"/>
  </w:num>
  <w:num w:numId="24" w16cid:durableId="749348558">
    <w:abstractNumId w:val="11"/>
  </w:num>
  <w:num w:numId="25" w16cid:durableId="1319072018">
    <w:abstractNumId w:val="25"/>
  </w:num>
  <w:num w:numId="26" w16cid:durableId="1203594628">
    <w:abstractNumId w:val="23"/>
  </w:num>
  <w:num w:numId="27" w16cid:durableId="110782093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9125593">
    <w:abstractNumId w:val="13"/>
  </w:num>
  <w:num w:numId="29" w16cid:durableId="313453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61742124">
    <w:abstractNumId w:val="26"/>
  </w:num>
  <w:num w:numId="31" w16cid:durableId="268271438">
    <w:abstractNumId w:val="26"/>
  </w:num>
  <w:num w:numId="32" w16cid:durableId="1312564724">
    <w:abstractNumId w:val="21"/>
  </w:num>
  <w:num w:numId="33" w16cid:durableId="10459570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24089815">
    <w:abstractNumId w:val="20"/>
  </w:num>
  <w:num w:numId="35" w16cid:durableId="699548205">
    <w:abstractNumId w:val="20"/>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348600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18E1"/>
    <w:rsid w:val="00012366"/>
    <w:rsid w:val="000200EA"/>
    <w:rsid w:val="00020A8D"/>
    <w:rsid w:val="00021FBE"/>
    <w:rsid w:val="00051FEB"/>
    <w:rsid w:val="000521D7"/>
    <w:rsid w:val="0008444E"/>
    <w:rsid w:val="000879D6"/>
    <w:rsid w:val="00096BF6"/>
    <w:rsid w:val="000A0B58"/>
    <w:rsid w:val="000A6228"/>
    <w:rsid w:val="000A6AC4"/>
    <w:rsid w:val="000A702E"/>
    <w:rsid w:val="000B5D40"/>
    <w:rsid w:val="000B60FA"/>
    <w:rsid w:val="000B7EC6"/>
    <w:rsid w:val="000C4CE6"/>
    <w:rsid w:val="000E7E78"/>
    <w:rsid w:val="000F2FF7"/>
    <w:rsid w:val="00106DA4"/>
    <w:rsid w:val="00106ED0"/>
    <w:rsid w:val="00107D87"/>
    <w:rsid w:val="00107DD5"/>
    <w:rsid w:val="0012343A"/>
    <w:rsid w:val="00133B8D"/>
    <w:rsid w:val="00133EB1"/>
    <w:rsid w:val="0013611E"/>
    <w:rsid w:val="001515BF"/>
    <w:rsid w:val="0015536D"/>
    <w:rsid w:val="00162409"/>
    <w:rsid w:val="0017134D"/>
    <w:rsid w:val="00171620"/>
    <w:rsid w:val="001A1025"/>
    <w:rsid w:val="001B080C"/>
    <w:rsid w:val="001B2A40"/>
    <w:rsid w:val="001B4807"/>
    <w:rsid w:val="001C1523"/>
    <w:rsid w:val="001D4477"/>
    <w:rsid w:val="001E1BBD"/>
    <w:rsid w:val="00214EA7"/>
    <w:rsid w:val="00221D8F"/>
    <w:rsid w:val="002272DB"/>
    <w:rsid w:val="00235C54"/>
    <w:rsid w:val="00236A86"/>
    <w:rsid w:val="0024360E"/>
    <w:rsid w:val="00243853"/>
    <w:rsid w:val="00264A7F"/>
    <w:rsid w:val="0027027C"/>
    <w:rsid w:val="00276047"/>
    <w:rsid w:val="00277E1E"/>
    <w:rsid w:val="00280948"/>
    <w:rsid w:val="00285116"/>
    <w:rsid w:val="00296935"/>
    <w:rsid w:val="002A4458"/>
    <w:rsid w:val="002B5C67"/>
    <w:rsid w:val="002D171A"/>
    <w:rsid w:val="002D51E1"/>
    <w:rsid w:val="002D589A"/>
    <w:rsid w:val="002E1727"/>
    <w:rsid w:val="002E2FBE"/>
    <w:rsid w:val="002E3F79"/>
    <w:rsid w:val="002E491A"/>
    <w:rsid w:val="00306DCF"/>
    <w:rsid w:val="00316228"/>
    <w:rsid w:val="00325A2D"/>
    <w:rsid w:val="0032739F"/>
    <w:rsid w:val="003331CA"/>
    <w:rsid w:val="003375DD"/>
    <w:rsid w:val="00372282"/>
    <w:rsid w:val="003821D4"/>
    <w:rsid w:val="00382879"/>
    <w:rsid w:val="003832D9"/>
    <w:rsid w:val="00385106"/>
    <w:rsid w:val="00392E36"/>
    <w:rsid w:val="003A231A"/>
    <w:rsid w:val="003B07C3"/>
    <w:rsid w:val="003B4CF4"/>
    <w:rsid w:val="003B55C6"/>
    <w:rsid w:val="003C3E41"/>
    <w:rsid w:val="003D134F"/>
    <w:rsid w:val="003D49C3"/>
    <w:rsid w:val="003E5345"/>
    <w:rsid w:val="0040155D"/>
    <w:rsid w:val="004048BD"/>
    <w:rsid w:val="0041713E"/>
    <w:rsid w:val="00421D3F"/>
    <w:rsid w:val="00423785"/>
    <w:rsid w:val="004279BA"/>
    <w:rsid w:val="00430E65"/>
    <w:rsid w:val="00444816"/>
    <w:rsid w:val="0044491D"/>
    <w:rsid w:val="00452D26"/>
    <w:rsid w:val="004650F8"/>
    <w:rsid w:val="00470B40"/>
    <w:rsid w:val="004768F4"/>
    <w:rsid w:val="00494525"/>
    <w:rsid w:val="004A06CD"/>
    <w:rsid w:val="004A13F9"/>
    <w:rsid w:val="004A4B6F"/>
    <w:rsid w:val="004A4CF9"/>
    <w:rsid w:val="004C2BDB"/>
    <w:rsid w:val="004D2965"/>
    <w:rsid w:val="004D2D9D"/>
    <w:rsid w:val="004E7302"/>
    <w:rsid w:val="00513439"/>
    <w:rsid w:val="005175AB"/>
    <w:rsid w:val="00520AC5"/>
    <w:rsid w:val="0052274A"/>
    <w:rsid w:val="0052300C"/>
    <w:rsid w:val="00524090"/>
    <w:rsid w:val="005426F6"/>
    <w:rsid w:val="005453C9"/>
    <w:rsid w:val="00554740"/>
    <w:rsid w:val="005701FA"/>
    <w:rsid w:val="00582E46"/>
    <w:rsid w:val="0059227E"/>
    <w:rsid w:val="00592B4D"/>
    <w:rsid w:val="00595143"/>
    <w:rsid w:val="005A75C9"/>
    <w:rsid w:val="005B187D"/>
    <w:rsid w:val="005B3BD1"/>
    <w:rsid w:val="005C053F"/>
    <w:rsid w:val="005D49AA"/>
    <w:rsid w:val="005E2D67"/>
    <w:rsid w:val="005F1973"/>
    <w:rsid w:val="0060559F"/>
    <w:rsid w:val="006232DC"/>
    <w:rsid w:val="0063094F"/>
    <w:rsid w:val="006324EA"/>
    <w:rsid w:val="00635F0B"/>
    <w:rsid w:val="00641615"/>
    <w:rsid w:val="00655D0D"/>
    <w:rsid w:val="00667104"/>
    <w:rsid w:val="0068345B"/>
    <w:rsid w:val="006839D7"/>
    <w:rsid w:val="0069534D"/>
    <w:rsid w:val="006A12B1"/>
    <w:rsid w:val="006B79ED"/>
    <w:rsid w:val="006C3CC7"/>
    <w:rsid w:val="006C5708"/>
    <w:rsid w:val="006C7347"/>
    <w:rsid w:val="006D67F3"/>
    <w:rsid w:val="006F1FFF"/>
    <w:rsid w:val="006F261F"/>
    <w:rsid w:val="006F6D10"/>
    <w:rsid w:val="00707B6A"/>
    <w:rsid w:val="00712858"/>
    <w:rsid w:val="00712B94"/>
    <w:rsid w:val="0072723A"/>
    <w:rsid w:val="007346B1"/>
    <w:rsid w:val="00735F65"/>
    <w:rsid w:val="00740FF0"/>
    <w:rsid w:val="00761B64"/>
    <w:rsid w:val="007636FD"/>
    <w:rsid w:val="00767206"/>
    <w:rsid w:val="00767876"/>
    <w:rsid w:val="00775B41"/>
    <w:rsid w:val="0078224E"/>
    <w:rsid w:val="007846C6"/>
    <w:rsid w:val="0078596C"/>
    <w:rsid w:val="00785B1E"/>
    <w:rsid w:val="00790831"/>
    <w:rsid w:val="007908A1"/>
    <w:rsid w:val="00792A42"/>
    <w:rsid w:val="00793053"/>
    <w:rsid w:val="00794D0D"/>
    <w:rsid w:val="007A3EFC"/>
    <w:rsid w:val="007B2CA1"/>
    <w:rsid w:val="007B715B"/>
    <w:rsid w:val="007C786F"/>
    <w:rsid w:val="007D0432"/>
    <w:rsid w:val="007D0713"/>
    <w:rsid w:val="007D0ABC"/>
    <w:rsid w:val="007D1C4C"/>
    <w:rsid w:val="007D3EB4"/>
    <w:rsid w:val="007E1EFD"/>
    <w:rsid w:val="007E4125"/>
    <w:rsid w:val="007F419C"/>
    <w:rsid w:val="00800074"/>
    <w:rsid w:val="008001DE"/>
    <w:rsid w:val="00801EA5"/>
    <w:rsid w:val="008042F5"/>
    <w:rsid w:val="00805AC1"/>
    <w:rsid w:val="0080700F"/>
    <w:rsid w:val="00810468"/>
    <w:rsid w:val="008112B3"/>
    <w:rsid w:val="00812CB8"/>
    <w:rsid w:val="00814D17"/>
    <w:rsid w:val="00822168"/>
    <w:rsid w:val="00826EAF"/>
    <w:rsid w:val="008352D1"/>
    <w:rsid w:val="00856951"/>
    <w:rsid w:val="0085752F"/>
    <w:rsid w:val="00862259"/>
    <w:rsid w:val="00871064"/>
    <w:rsid w:val="00871394"/>
    <w:rsid w:val="0088103B"/>
    <w:rsid w:val="00882EFD"/>
    <w:rsid w:val="00886959"/>
    <w:rsid w:val="00893A34"/>
    <w:rsid w:val="00894AB2"/>
    <w:rsid w:val="008A36E1"/>
    <w:rsid w:val="008A37A7"/>
    <w:rsid w:val="008A37E3"/>
    <w:rsid w:val="008A700A"/>
    <w:rsid w:val="008B0736"/>
    <w:rsid w:val="008B52B5"/>
    <w:rsid w:val="008D247A"/>
    <w:rsid w:val="008D2794"/>
    <w:rsid w:val="008D5F73"/>
    <w:rsid w:val="008E70F5"/>
    <w:rsid w:val="009113E8"/>
    <w:rsid w:val="009235F8"/>
    <w:rsid w:val="009252E8"/>
    <w:rsid w:val="00926287"/>
    <w:rsid w:val="00926375"/>
    <w:rsid w:val="00944318"/>
    <w:rsid w:val="00950B06"/>
    <w:rsid w:val="009520C6"/>
    <w:rsid w:val="00953459"/>
    <w:rsid w:val="009607E8"/>
    <w:rsid w:val="00966EC3"/>
    <w:rsid w:val="00970069"/>
    <w:rsid w:val="00971FF9"/>
    <w:rsid w:val="009720AE"/>
    <w:rsid w:val="009721EB"/>
    <w:rsid w:val="00983122"/>
    <w:rsid w:val="009B239F"/>
    <w:rsid w:val="009B706E"/>
    <w:rsid w:val="009C2C81"/>
    <w:rsid w:val="009C423A"/>
    <w:rsid w:val="009C72E8"/>
    <w:rsid w:val="009D110B"/>
    <w:rsid w:val="009D2D63"/>
    <w:rsid w:val="009D7926"/>
    <w:rsid w:val="009E79ED"/>
    <w:rsid w:val="00A001F0"/>
    <w:rsid w:val="00A07596"/>
    <w:rsid w:val="00A1695E"/>
    <w:rsid w:val="00A17A08"/>
    <w:rsid w:val="00A30995"/>
    <w:rsid w:val="00A37196"/>
    <w:rsid w:val="00A40C2C"/>
    <w:rsid w:val="00A50247"/>
    <w:rsid w:val="00A56B47"/>
    <w:rsid w:val="00A57F39"/>
    <w:rsid w:val="00A6015B"/>
    <w:rsid w:val="00A60673"/>
    <w:rsid w:val="00A74240"/>
    <w:rsid w:val="00A751D8"/>
    <w:rsid w:val="00A81D2D"/>
    <w:rsid w:val="00A93D60"/>
    <w:rsid w:val="00AA2909"/>
    <w:rsid w:val="00AA74B7"/>
    <w:rsid w:val="00AA7D99"/>
    <w:rsid w:val="00AC1872"/>
    <w:rsid w:val="00AC218D"/>
    <w:rsid w:val="00AC6A4F"/>
    <w:rsid w:val="00AC7AF6"/>
    <w:rsid w:val="00AC7CAA"/>
    <w:rsid w:val="00AD631F"/>
    <w:rsid w:val="00AE1637"/>
    <w:rsid w:val="00AE21FF"/>
    <w:rsid w:val="00AE5971"/>
    <w:rsid w:val="00AF1414"/>
    <w:rsid w:val="00AF1F18"/>
    <w:rsid w:val="00B0726E"/>
    <w:rsid w:val="00B11109"/>
    <w:rsid w:val="00B12786"/>
    <w:rsid w:val="00B201C3"/>
    <w:rsid w:val="00B219D1"/>
    <w:rsid w:val="00B22D54"/>
    <w:rsid w:val="00B23EE2"/>
    <w:rsid w:val="00B23F4C"/>
    <w:rsid w:val="00B30D39"/>
    <w:rsid w:val="00B32292"/>
    <w:rsid w:val="00B35DA6"/>
    <w:rsid w:val="00B452B9"/>
    <w:rsid w:val="00B62241"/>
    <w:rsid w:val="00B62F8C"/>
    <w:rsid w:val="00B64FF1"/>
    <w:rsid w:val="00B801D4"/>
    <w:rsid w:val="00B81FA4"/>
    <w:rsid w:val="00B84DDA"/>
    <w:rsid w:val="00B8794C"/>
    <w:rsid w:val="00B95EF4"/>
    <w:rsid w:val="00BB5E94"/>
    <w:rsid w:val="00BB6509"/>
    <w:rsid w:val="00BC1FEF"/>
    <w:rsid w:val="00BC248C"/>
    <w:rsid w:val="00BD7051"/>
    <w:rsid w:val="00BD7BEA"/>
    <w:rsid w:val="00BE0EDE"/>
    <w:rsid w:val="00BF42EB"/>
    <w:rsid w:val="00C01EC0"/>
    <w:rsid w:val="00C11B6C"/>
    <w:rsid w:val="00C244EE"/>
    <w:rsid w:val="00C32F3C"/>
    <w:rsid w:val="00C34CA8"/>
    <w:rsid w:val="00C44306"/>
    <w:rsid w:val="00C47564"/>
    <w:rsid w:val="00C72224"/>
    <w:rsid w:val="00C75706"/>
    <w:rsid w:val="00C766FF"/>
    <w:rsid w:val="00C85543"/>
    <w:rsid w:val="00C86EE5"/>
    <w:rsid w:val="00CA4815"/>
    <w:rsid w:val="00CA5F70"/>
    <w:rsid w:val="00CA63D2"/>
    <w:rsid w:val="00CB27A0"/>
    <w:rsid w:val="00CB3B87"/>
    <w:rsid w:val="00CB64F9"/>
    <w:rsid w:val="00CC1074"/>
    <w:rsid w:val="00CC68FD"/>
    <w:rsid w:val="00CC76B6"/>
    <w:rsid w:val="00CD0EA3"/>
    <w:rsid w:val="00CE4156"/>
    <w:rsid w:val="00CE43AD"/>
    <w:rsid w:val="00CE43F0"/>
    <w:rsid w:val="00CF3FFE"/>
    <w:rsid w:val="00CF4C18"/>
    <w:rsid w:val="00CF4F82"/>
    <w:rsid w:val="00CF6562"/>
    <w:rsid w:val="00CF674E"/>
    <w:rsid w:val="00CF67D1"/>
    <w:rsid w:val="00D12C57"/>
    <w:rsid w:val="00D14561"/>
    <w:rsid w:val="00D154D8"/>
    <w:rsid w:val="00D217EE"/>
    <w:rsid w:val="00D22304"/>
    <w:rsid w:val="00D30EF3"/>
    <w:rsid w:val="00D33832"/>
    <w:rsid w:val="00D36597"/>
    <w:rsid w:val="00D4532D"/>
    <w:rsid w:val="00D53FAE"/>
    <w:rsid w:val="00D5688A"/>
    <w:rsid w:val="00D61CD9"/>
    <w:rsid w:val="00D8156E"/>
    <w:rsid w:val="00D86284"/>
    <w:rsid w:val="00D86F6D"/>
    <w:rsid w:val="00D91507"/>
    <w:rsid w:val="00DA32DF"/>
    <w:rsid w:val="00DB0806"/>
    <w:rsid w:val="00DB14C1"/>
    <w:rsid w:val="00DC5980"/>
    <w:rsid w:val="00DD2B46"/>
    <w:rsid w:val="00DD5214"/>
    <w:rsid w:val="00DE22E7"/>
    <w:rsid w:val="00DE7B9C"/>
    <w:rsid w:val="00E06ED6"/>
    <w:rsid w:val="00E26FA8"/>
    <w:rsid w:val="00E27AEF"/>
    <w:rsid w:val="00E330A6"/>
    <w:rsid w:val="00E34090"/>
    <w:rsid w:val="00E377B3"/>
    <w:rsid w:val="00E44D04"/>
    <w:rsid w:val="00E529E5"/>
    <w:rsid w:val="00E55FC2"/>
    <w:rsid w:val="00E63CFD"/>
    <w:rsid w:val="00E66CBB"/>
    <w:rsid w:val="00E729C1"/>
    <w:rsid w:val="00E83085"/>
    <w:rsid w:val="00EA0C1B"/>
    <w:rsid w:val="00EA26B5"/>
    <w:rsid w:val="00EA4215"/>
    <w:rsid w:val="00EA5524"/>
    <w:rsid w:val="00EB4C2F"/>
    <w:rsid w:val="00ED0DDF"/>
    <w:rsid w:val="00EF3655"/>
    <w:rsid w:val="00EF4014"/>
    <w:rsid w:val="00EF69D8"/>
    <w:rsid w:val="00F01002"/>
    <w:rsid w:val="00F1000D"/>
    <w:rsid w:val="00F141BF"/>
    <w:rsid w:val="00F311A4"/>
    <w:rsid w:val="00F311E8"/>
    <w:rsid w:val="00F328FD"/>
    <w:rsid w:val="00F32CBB"/>
    <w:rsid w:val="00F34A8B"/>
    <w:rsid w:val="00F4128C"/>
    <w:rsid w:val="00F43307"/>
    <w:rsid w:val="00F50CE2"/>
    <w:rsid w:val="00F82C2C"/>
    <w:rsid w:val="00F85913"/>
    <w:rsid w:val="00F87E62"/>
    <w:rsid w:val="00F975B3"/>
    <w:rsid w:val="00FA3067"/>
    <w:rsid w:val="00FB55FE"/>
    <w:rsid w:val="00FB6F70"/>
    <w:rsid w:val="00FC0292"/>
    <w:rsid w:val="00FC30AB"/>
    <w:rsid w:val="00FC452F"/>
    <w:rsid w:val="00FC5868"/>
    <w:rsid w:val="00FD4D6E"/>
    <w:rsid w:val="00FD6383"/>
    <w:rsid w:val="00FE5DC8"/>
    <w:rsid w:val="00FE689E"/>
    <w:rsid w:val="00FF2F80"/>
    <w:rsid w:val="00FF5BC8"/>
    <w:rsid w:val="1460995B"/>
    <w:rsid w:val="152C5ECF"/>
    <w:rsid w:val="184CE3DA"/>
    <w:rsid w:val="1C00B72E"/>
    <w:rsid w:val="21C109E7"/>
    <w:rsid w:val="21FEB878"/>
    <w:rsid w:val="23928017"/>
    <w:rsid w:val="2CB1A554"/>
    <w:rsid w:val="31E85874"/>
    <w:rsid w:val="353BCAEA"/>
    <w:rsid w:val="3AE08B5B"/>
    <w:rsid w:val="3BBC0827"/>
    <w:rsid w:val="3EC31A0C"/>
    <w:rsid w:val="44BEC895"/>
    <w:rsid w:val="4C47E956"/>
    <w:rsid w:val="4CFD2931"/>
    <w:rsid w:val="4F0141CF"/>
    <w:rsid w:val="56E39FDE"/>
    <w:rsid w:val="5D48A77A"/>
    <w:rsid w:val="634CE596"/>
    <w:rsid w:val="649CDBF5"/>
    <w:rsid w:val="6581A2AA"/>
    <w:rsid w:val="682179F3"/>
    <w:rsid w:val="70E10319"/>
    <w:rsid w:val="7AB498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2D78A"/>
  <w15:chartTrackingRefBased/>
  <w15:docId w15:val="{29B8457C-D2F6-4445-9260-A2F607B41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3A231A"/>
    <w:pPr>
      <w:keepNext/>
      <w:keepLines/>
      <w:spacing w:before="1440" w:after="0" w:line="640" w:lineRule="exact"/>
      <w:outlineLvl w:val="0"/>
    </w:pPr>
    <w:rPr>
      <w:rFonts w:ascii="Calibri" w:eastAsiaTheme="majorEastAsia" w:hAnsi="Calibri" w:cstheme="majorBidi"/>
      <w:b/>
      <w:color w:val="49255F"/>
      <w:sz w:val="60"/>
      <w:szCs w:val="32"/>
    </w:rPr>
  </w:style>
  <w:style w:type="paragraph" w:styleId="Heading2">
    <w:name w:val="heading 2"/>
    <w:basedOn w:val="Normal"/>
    <w:next w:val="Normal"/>
    <w:link w:val="Heading2Char"/>
    <w:uiPriority w:val="9"/>
    <w:unhideWhenUsed/>
    <w:qFormat/>
    <w:rsid w:val="00A74240"/>
    <w:pPr>
      <w:keepNext/>
      <w:keepLines/>
      <w:spacing w:before="720" w:after="160"/>
      <w:outlineLvl w:val="1"/>
    </w:pPr>
    <w:rPr>
      <w:rFonts w:asciiTheme="majorHAnsi" w:eastAsiaTheme="majorEastAsia" w:hAnsiTheme="majorHAnsi" w:cstheme="majorBidi"/>
      <w:b/>
      <w:color w:val="49255F"/>
      <w:sz w:val="44"/>
      <w:szCs w:val="26"/>
    </w:rPr>
  </w:style>
  <w:style w:type="paragraph" w:styleId="Heading3">
    <w:name w:val="heading 3"/>
    <w:basedOn w:val="Normal"/>
    <w:next w:val="Normal"/>
    <w:link w:val="Heading3Char"/>
    <w:uiPriority w:val="9"/>
    <w:unhideWhenUsed/>
    <w:qFormat/>
    <w:rsid w:val="00A74240"/>
    <w:pPr>
      <w:keepNext/>
      <w:keepLines/>
      <w:spacing w:before="320" w:after="60"/>
      <w:outlineLvl w:val="2"/>
    </w:pPr>
    <w:rPr>
      <w:rFonts w:asciiTheme="majorHAnsi" w:eastAsiaTheme="majorEastAsia" w:hAnsiTheme="majorHAnsi" w:cstheme="majorBidi"/>
      <w:b/>
      <w:color w:val="F15D31"/>
      <w:sz w:val="32"/>
      <w:szCs w:val="24"/>
    </w:rPr>
  </w:style>
  <w:style w:type="paragraph" w:styleId="Heading4">
    <w:name w:val="heading 4"/>
    <w:basedOn w:val="Normal"/>
    <w:next w:val="Normal"/>
    <w:link w:val="Heading4Char"/>
    <w:uiPriority w:val="9"/>
    <w:unhideWhenUsed/>
    <w:qFormat/>
    <w:rsid w:val="00A74240"/>
    <w:pPr>
      <w:keepNext/>
      <w:keepLines/>
      <w:spacing w:before="360" w:after="0"/>
      <w:outlineLvl w:val="3"/>
    </w:pPr>
    <w:rPr>
      <w:rFonts w:asciiTheme="majorHAnsi" w:eastAsiaTheme="majorEastAsia" w:hAnsiTheme="majorHAnsi" w:cstheme="majorBidi"/>
      <w:b/>
      <w:iCs/>
      <w:color w:val="49255F"/>
      <w:sz w:val="28"/>
    </w:rPr>
  </w:style>
  <w:style w:type="paragraph" w:styleId="Heading5">
    <w:name w:val="heading 5"/>
    <w:basedOn w:val="Normal"/>
    <w:next w:val="Normal"/>
    <w:link w:val="Heading5Char"/>
    <w:uiPriority w:val="9"/>
    <w:unhideWhenUsed/>
    <w:qFormat/>
    <w:rsid w:val="00A74240"/>
    <w:pPr>
      <w:keepNext/>
      <w:keepLines/>
      <w:spacing w:before="40" w:after="0"/>
      <w:outlineLvl w:val="4"/>
    </w:pPr>
    <w:rPr>
      <w:rFonts w:asciiTheme="majorHAnsi" w:eastAsiaTheme="majorEastAsia" w:hAnsiTheme="majorHAnsi" w:cstheme="majorBidi"/>
      <w:b/>
      <w:color w:val="49255F"/>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paragraph" w:styleId="Heading8">
    <w:name w:val="heading 8"/>
    <w:basedOn w:val="Normal"/>
    <w:next w:val="Normal"/>
    <w:link w:val="Heading8Char"/>
    <w:uiPriority w:val="9"/>
    <w:semiHidden/>
    <w:unhideWhenUsed/>
    <w:qFormat/>
    <w:rsid w:val="008112B3"/>
    <w:pPr>
      <w:keepNext/>
      <w:keepLines/>
      <w:spacing w:after="0" w:line="240" w:lineRule="auto"/>
      <w:ind w:left="1440" w:hanging="1440"/>
      <w:outlineLvl w:val="7"/>
    </w:pPr>
    <w:rPr>
      <w:rFonts w:ascii="Aptos" w:eastAsiaTheme="majorEastAsia" w:hAnsi="Aptos" w:cstheme="majorBidi"/>
      <w:i/>
      <w:iCs/>
      <w:color w:val="272727" w:themeColor="text1" w:themeTint="D8"/>
      <w:sz w:val="24"/>
      <w:szCs w:val="24"/>
      <w14:ligatures w14:val="standardContextual"/>
    </w:rPr>
  </w:style>
  <w:style w:type="paragraph" w:styleId="Heading9">
    <w:name w:val="heading 9"/>
    <w:basedOn w:val="Normal"/>
    <w:next w:val="Normal"/>
    <w:link w:val="Heading9Char"/>
    <w:uiPriority w:val="9"/>
    <w:semiHidden/>
    <w:unhideWhenUsed/>
    <w:qFormat/>
    <w:rsid w:val="008112B3"/>
    <w:pPr>
      <w:keepNext/>
      <w:keepLines/>
      <w:spacing w:after="0" w:line="240" w:lineRule="auto"/>
      <w:ind w:left="1584" w:hanging="1584"/>
      <w:outlineLvl w:val="8"/>
    </w:pPr>
    <w:rPr>
      <w:rFonts w:ascii="Aptos" w:eastAsiaTheme="majorEastAsia" w:hAnsi="Aptos" w:cstheme="majorBidi"/>
      <w:color w:val="272727" w:themeColor="text1" w:themeTint="D8"/>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A231A"/>
    <w:rPr>
      <w:rFonts w:ascii="Calibri" w:eastAsiaTheme="majorEastAsia" w:hAnsi="Calibri" w:cstheme="majorBidi"/>
      <w:b/>
      <w:color w:val="49255F"/>
      <w:sz w:val="60"/>
      <w:szCs w:val="32"/>
    </w:rPr>
  </w:style>
  <w:style w:type="character" w:customStyle="1" w:styleId="Heading2Char">
    <w:name w:val="Heading 2 Char"/>
    <w:basedOn w:val="DefaultParagraphFont"/>
    <w:link w:val="Heading2"/>
    <w:uiPriority w:val="9"/>
    <w:rsid w:val="00A74240"/>
    <w:rPr>
      <w:rFonts w:asciiTheme="majorHAnsi" w:eastAsiaTheme="majorEastAsia" w:hAnsiTheme="majorHAnsi" w:cstheme="majorBidi"/>
      <w:b/>
      <w:color w:val="49255F"/>
      <w:sz w:val="44"/>
      <w:szCs w:val="26"/>
    </w:rPr>
  </w:style>
  <w:style w:type="character" w:customStyle="1" w:styleId="Heading3Char">
    <w:name w:val="Heading 3 Char"/>
    <w:basedOn w:val="DefaultParagraphFont"/>
    <w:link w:val="Heading3"/>
    <w:uiPriority w:val="9"/>
    <w:rsid w:val="00A74240"/>
    <w:rPr>
      <w:rFonts w:asciiTheme="majorHAnsi" w:eastAsiaTheme="majorEastAsia" w:hAnsiTheme="majorHAnsi" w:cstheme="majorBidi"/>
      <w:b/>
      <w:color w:val="F15D31"/>
      <w:sz w:val="32"/>
      <w:szCs w:val="24"/>
    </w:rPr>
  </w:style>
  <w:style w:type="character" w:customStyle="1" w:styleId="Heading4Char">
    <w:name w:val="Heading 4 Char"/>
    <w:basedOn w:val="DefaultParagraphFont"/>
    <w:link w:val="Heading4"/>
    <w:uiPriority w:val="9"/>
    <w:rsid w:val="00A74240"/>
    <w:rPr>
      <w:rFonts w:asciiTheme="majorHAnsi" w:eastAsiaTheme="majorEastAsia" w:hAnsiTheme="majorHAnsi" w:cstheme="majorBidi"/>
      <w:b/>
      <w:iCs/>
      <w:color w:val="49255F"/>
      <w:sz w:val="28"/>
    </w:rPr>
  </w:style>
  <w:style w:type="character" w:customStyle="1" w:styleId="Heading5Char">
    <w:name w:val="Heading 5 Char"/>
    <w:basedOn w:val="DefaultParagraphFont"/>
    <w:link w:val="Heading5"/>
    <w:uiPriority w:val="9"/>
    <w:rsid w:val="00A74240"/>
    <w:rPr>
      <w:rFonts w:asciiTheme="majorHAnsi" w:eastAsiaTheme="majorEastAsia" w:hAnsiTheme="majorHAnsi" w:cstheme="majorBidi"/>
      <w:b/>
      <w:color w:val="49255F"/>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A74240"/>
    <w:pPr>
      <w:spacing w:after="120" w:line="240" w:lineRule="auto"/>
    </w:pPr>
    <w:rPr>
      <w:b/>
      <w:iCs/>
      <w:color w:val="49255F"/>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3A231A"/>
    <w:pPr>
      <w:numPr>
        <w:ilvl w:val="1"/>
      </w:numPr>
      <w:spacing w:before="120" w:after="140"/>
    </w:pPr>
    <w:rPr>
      <w:rFonts w:eastAsiaTheme="minorEastAsia"/>
      <w:color w:val="F15D31"/>
      <w:spacing w:val="15"/>
      <w:sz w:val="40"/>
    </w:rPr>
  </w:style>
  <w:style w:type="character" w:customStyle="1" w:styleId="SubtitleChar">
    <w:name w:val="Subtitle Char"/>
    <w:basedOn w:val="DefaultParagraphFont"/>
    <w:link w:val="Subtitle"/>
    <w:uiPriority w:val="11"/>
    <w:rsid w:val="003A231A"/>
    <w:rPr>
      <w:rFonts w:eastAsiaTheme="minorEastAsia"/>
      <w:color w:val="F15D3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A74240"/>
    <w:pPr>
      <w:spacing w:before="100" w:beforeAutospacing="1" w:after="100" w:afterAutospacing="1" w:line="240" w:lineRule="auto"/>
    </w:pPr>
    <w:tblPr>
      <w:tblStyleRowBandSize w:val="1"/>
    </w:tblPr>
    <w:tcPr>
      <w:vAlign w:val="center"/>
    </w:tcPr>
    <w:tblStylePr w:type="firstRow">
      <w:pPr>
        <w:jc w:val="left"/>
      </w:pPr>
      <w:tblPr/>
      <w:tcPr>
        <w:shd w:val="clear" w:color="auto" w:fill="49255F"/>
      </w:tcPr>
    </w:tblStylePr>
    <w:tblStylePr w:type="firstCol">
      <w:rPr>
        <w:b w:val="0"/>
      </w:rPr>
    </w:tblStylePr>
    <w:tblStylePr w:type="band1Horz">
      <w:tblPr/>
      <w:tcPr>
        <w:tcBorders>
          <w:top w:val="nil"/>
          <w:left w:val="nil"/>
          <w:bottom w:val="single" w:sz="4" w:space="0" w:color="F15D31"/>
          <w:right w:val="nil"/>
          <w:insideH w:val="nil"/>
          <w:insideV w:val="nil"/>
        </w:tcBorders>
      </w:tcPr>
    </w:tblStylePr>
    <w:tblStylePr w:type="band2Horz">
      <w:tblPr/>
      <w:tcPr>
        <w:tcBorders>
          <w:bottom w:val="single" w:sz="4" w:space="0" w:color="F15D31"/>
        </w:tcBorders>
      </w:tc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qFormat/>
    <w:rsid w:val="008D247A"/>
    <w:pPr>
      <w:spacing w:after="160"/>
      <w:ind w:left="720"/>
      <w:contextualSpacing/>
    </w:pPr>
    <w:rPr>
      <w:kern w:val="2"/>
      <w14:ligatures w14:val="standardContextual"/>
    </w:rPr>
  </w:style>
  <w:style w:type="paragraph" w:customStyle="1" w:styleId="MELegal2">
    <w:name w:val="ME Legal 2"/>
    <w:basedOn w:val="Normal"/>
    <w:qFormat/>
    <w:rsid w:val="008D247A"/>
    <w:pPr>
      <w:spacing w:after="200" w:line="240" w:lineRule="auto"/>
      <w:outlineLvl w:val="1"/>
    </w:pPr>
    <w:rPr>
      <w:rFonts w:ascii="Arial" w:eastAsiaTheme="minorEastAsia" w:hAnsi="Arial" w:cs="Times New Roman"/>
      <w:sz w:val="20"/>
      <w:szCs w:val="20"/>
      <w:lang w:eastAsia="zh-CN"/>
    </w:rPr>
  </w:style>
  <w:style w:type="paragraph" w:customStyle="1" w:styleId="MELegal3">
    <w:name w:val="ME Legal 3"/>
    <w:basedOn w:val="Normal"/>
    <w:qFormat/>
    <w:rsid w:val="008D247A"/>
    <w:pPr>
      <w:spacing w:after="200" w:line="240" w:lineRule="auto"/>
      <w:outlineLvl w:val="2"/>
    </w:pPr>
    <w:rPr>
      <w:rFonts w:ascii="Arial" w:eastAsiaTheme="minorEastAsia" w:hAnsi="Arial" w:cs="Times New Roman"/>
      <w:sz w:val="20"/>
      <w:szCs w:val="20"/>
      <w:lang w:eastAsia="zh-CN"/>
    </w:rPr>
  </w:style>
  <w:style w:type="character" w:styleId="Emphasis">
    <w:name w:val="Emphasis"/>
    <w:basedOn w:val="DefaultParagraphFont"/>
    <w:uiPriority w:val="20"/>
    <w:qFormat/>
    <w:rsid w:val="008D247A"/>
    <w:rPr>
      <w:i/>
      <w:iCs/>
    </w:rPr>
  </w:style>
  <w:style w:type="character" w:customStyle="1" w:styleId="Heading8Char">
    <w:name w:val="Heading 8 Char"/>
    <w:basedOn w:val="DefaultParagraphFont"/>
    <w:link w:val="Heading8"/>
    <w:uiPriority w:val="9"/>
    <w:semiHidden/>
    <w:rsid w:val="008112B3"/>
    <w:rPr>
      <w:rFonts w:ascii="Aptos" w:eastAsiaTheme="majorEastAsia" w:hAnsi="Aptos" w:cstheme="majorBidi"/>
      <w:i/>
      <w:iCs/>
      <w:color w:val="272727" w:themeColor="text1" w:themeTint="D8"/>
      <w:sz w:val="24"/>
      <w:szCs w:val="24"/>
      <w14:ligatures w14:val="standardContextual"/>
    </w:rPr>
  </w:style>
  <w:style w:type="character" w:customStyle="1" w:styleId="Heading9Char">
    <w:name w:val="Heading 9 Char"/>
    <w:basedOn w:val="DefaultParagraphFont"/>
    <w:link w:val="Heading9"/>
    <w:uiPriority w:val="9"/>
    <w:semiHidden/>
    <w:rsid w:val="008112B3"/>
    <w:rPr>
      <w:rFonts w:ascii="Aptos" w:eastAsiaTheme="majorEastAsia" w:hAnsi="Aptos" w:cstheme="majorBidi"/>
      <w:color w:val="272727" w:themeColor="text1" w:themeTint="D8"/>
      <w:sz w:val="24"/>
      <w:szCs w:val="24"/>
      <w14:ligatures w14:val="standardContextual"/>
    </w:rPr>
  </w:style>
  <w:style w:type="character" w:styleId="FollowedHyperlink">
    <w:name w:val="FollowedHyperlink"/>
    <w:basedOn w:val="DefaultParagraphFont"/>
    <w:uiPriority w:val="99"/>
    <w:semiHidden/>
    <w:unhideWhenUsed/>
    <w:rsid w:val="008112B3"/>
    <w:rPr>
      <w:color w:val="CE372F" w:themeColor="followedHyperlink"/>
      <w:u w:val="single"/>
    </w:rPr>
  </w:style>
  <w:style w:type="paragraph" w:customStyle="1" w:styleId="msonormal0">
    <w:name w:val="msonormal"/>
    <w:basedOn w:val="Normal"/>
    <w:rsid w:val="008112B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CommentText">
    <w:name w:val="annotation text"/>
    <w:basedOn w:val="Normal"/>
    <w:link w:val="CommentTextChar"/>
    <w:uiPriority w:val="99"/>
    <w:semiHidden/>
    <w:unhideWhenUsed/>
    <w:rsid w:val="008112B3"/>
    <w:pPr>
      <w:spacing w:after="0" w:line="240" w:lineRule="auto"/>
    </w:pPr>
    <w:rPr>
      <w:rFonts w:ascii="Aptos" w:hAnsi="Aptos" w:cs="Aptos"/>
      <w:sz w:val="20"/>
      <w:szCs w:val="20"/>
      <w14:ligatures w14:val="standardContextual"/>
    </w:rPr>
  </w:style>
  <w:style w:type="character" w:customStyle="1" w:styleId="CommentTextChar">
    <w:name w:val="Comment Text Char"/>
    <w:basedOn w:val="DefaultParagraphFont"/>
    <w:link w:val="CommentText"/>
    <w:uiPriority w:val="99"/>
    <w:semiHidden/>
    <w:rsid w:val="008112B3"/>
    <w:rPr>
      <w:rFonts w:ascii="Aptos" w:hAnsi="Aptos" w:cs="Aptos"/>
      <w:sz w:val="20"/>
      <w:szCs w:val="20"/>
      <w14:ligatures w14:val="standardContextual"/>
    </w:rPr>
  </w:style>
  <w:style w:type="paragraph" w:styleId="Title">
    <w:name w:val="Title"/>
    <w:basedOn w:val="Normal"/>
    <w:next w:val="Normal"/>
    <w:link w:val="TitleChar"/>
    <w:uiPriority w:val="10"/>
    <w:qFormat/>
    <w:rsid w:val="008112B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112B3"/>
    <w:rPr>
      <w:rFonts w:asciiTheme="majorHAnsi" w:eastAsiaTheme="majorEastAsia" w:hAnsiTheme="majorHAnsi" w:cstheme="majorBidi"/>
      <w:spacing w:val="-10"/>
      <w:kern w:val="28"/>
      <w:sz w:val="56"/>
      <w:szCs w:val="56"/>
      <w14:ligatures w14:val="standardContextual"/>
    </w:rPr>
  </w:style>
  <w:style w:type="paragraph" w:styleId="CommentSubject">
    <w:name w:val="annotation subject"/>
    <w:basedOn w:val="CommentText"/>
    <w:next w:val="CommentText"/>
    <w:link w:val="CommentSubjectChar"/>
    <w:uiPriority w:val="99"/>
    <w:semiHidden/>
    <w:unhideWhenUsed/>
    <w:rsid w:val="008112B3"/>
    <w:rPr>
      <w:b/>
      <w:bCs/>
    </w:rPr>
  </w:style>
  <w:style w:type="character" w:customStyle="1" w:styleId="CommentSubjectChar">
    <w:name w:val="Comment Subject Char"/>
    <w:basedOn w:val="CommentTextChar"/>
    <w:link w:val="CommentSubject"/>
    <w:uiPriority w:val="99"/>
    <w:semiHidden/>
    <w:rsid w:val="008112B3"/>
    <w:rPr>
      <w:rFonts w:ascii="Aptos" w:hAnsi="Aptos" w:cs="Aptos"/>
      <w:b/>
      <w:bCs/>
      <w:sz w:val="20"/>
      <w:szCs w:val="20"/>
      <w14:ligatures w14:val="standardContextual"/>
    </w:rPr>
  </w:style>
  <w:style w:type="paragraph" w:styleId="Revision">
    <w:name w:val="Revision"/>
    <w:uiPriority w:val="99"/>
    <w:semiHidden/>
    <w:rsid w:val="008112B3"/>
    <w:pPr>
      <w:spacing w:after="0" w:line="240" w:lineRule="auto"/>
    </w:pPr>
    <w:rPr>
      <w:rFonts w:ascii="Aptos" w:hAnsi="Aptos" w:cs="Aptos"/>
      <w:sz w:val="24"/>
      <w:szCs w:val="24"/>
      <w14:ligatures w14:val="standardContextual"/>
    </w:rPr>
  </w:style>
  <w:style w:type="paragraph" w:styleId="IntenseQuote">
    <w:name w:val="Intense Quote"/>
    <w:basedOn w:val="Normal"/>
    <w:next w:val="Normal"/>
    <w:link w:val="IntenseQuoteChar"/>
    <w:uiPriority w:val="30"/>
    <w:qFormat/>
    <w:rsid w:val="008112B3"/>
    <w:pPr>
      <w:pBdr>
        <w:top w:val="single" w:sz="4" w:space="10" w:color="006372" w:themeColor="accent1" w:themeShade="BF"/>
        <w:bottom w:val="single" w:sz="4" w:space="10" w:color="006372" w:themeColor="accent1" w:themeShade="BF"/>
      </w:pBdr>
      <w:spacing w:before="360" w:after="360" w:line="240" w:lineRule="auto"/>
      <w:ind w:left="864" w:right="864"/>
      <w:jc w:val="center"/>
    </w:pPr>
    <w:rPr>
      <w:rFonts w:ascii="Aptos" w:hAnsi="Aptos" w:cs="Aptos"/>
      <w:i/>
      <w:iCs/>
      <w:color w:val="006372" w:themeColor="accent1" w:themeShade="BF"/>
      <w:sz w:val="24"/>
      <w:szCs w:val="24"/>
      <w14:ligatures w14:val="standardContextual"/>
    </w:rPr>
  </w:style>
  <w:style w:type="character" w:customStyle="1" w:styleId="IntenseQuoteChar">
    <w:name w:val="Intense Quote Char"/>
    <w:basedOn w:val="DefaultParagraphFont"/>
    <w:link w:val="IntenseQuote"/>
    <w:uiPriority w:val="30"/>
    <w:rsid w:val="008112B3"/>
    <w:rPr>
      <w:rFonts w:ascii="Aptos" w:hAnsi="Aptos" w:cs="Aptos"/>
      <w:i/>
      <w:iCs/>
      <w:color w:val="006372" w:themeColor="accent1" w:themeShade="BF"/>
      <w:sz w:val="24"/>
      <w:szCs w:val="24"/>
      <w14:ligatures w14:val="standardContextual"/>
    </w:rPr>
  </w:style>
  <w:style w:type="paragraph" w:customStyle="1" w:styleId="MELegal4">
    <w:name w:val="ME Legal 4"/>
    <w:basedOn w:val="Normal"/>
    <w:qFormat/>
    <w:rsid w:val="008112B3"/>
    <w:pPr>
      <w:spacing w:after="200" w:line="240" w:lineRule="auto"/>
      <w:outlineLvl w:val="3"/>
    </w:pPr>
    <w:rPr>
      <w:rFonts w:ascii="Arial" w:eastAsiaTheme="minorEastAsia" w:hAnsi="Arial" w:cs="Times New Roman"/>
      <w:sz w:val="20"/>
      <w:szCs w:val="20"/>
      <w:lang w:eastAsia="zh-CN"/>
    </w:rPr>
  </w:style>
  <w:style w:type="paragraph" w:customStyle="1" w:styleId="MELegal6">
    <w:name w:val="ME Legal 6"/>
    <w:basedOn w:val="Normal"/>
    <w:qFormat/>
    <w:rsid w:val="008112B3"/>
    <w:pPr>
      <w:spacing w:after="200" w:line="240" w:lineRule="auto"/>
      <w:outlineLvl w:val="5"/>
    </w:pPr>
    <w:rPr>
      <w:rFonts w:ascii="Arial" w:eastAsiaTheme="minorEastAsia" w:hAnsi="Arial" w:cs="Times New Roman"/>
      <w:sz w:val="20"/>
      <w:szCs w:val="20"/>
      <w:lang w:eastAsia="zh-CN"/>
    </w:rPr>
  </w:style>
  <w:style w:type="character" w:styleId="CommentReference">
    <w:name w:val="annotation reference"/>
    <w:basedOn w:val="DefaultParagraphFont"/>
    <w:uiPriority w:val="99"/>
    <w:semiHidden/>
    <w:unhideWhenUsed/>
    <w:rsid w:val="008112B3"/>
    <w:rPr>
      <w:sz w:val="16"/>
      <w:szCs w:val="16"/>
    </w:rPr>
  </w:style>
  <w:style w:type="character" w:styleId="IntenseEmphasis">
    <w:name w:val="Intense Emphasis"/>
    <w:basedOn w:val="DefaultParagraphFont"/>
    <w:uiPriority w:val="21"/>
    <w:qFormat/>
    <w:rsid w:val="008112B3"/>
    <w:rPr>
      <w:i/>
      <w:iCs/>
      <w:color w:val="006372" w:themeColor="accent1" w:themeShade="BF"/>
    </w:rPr>
  </w:style>
  <w:style w:type="character" w:styleId="IntenseReference">
    <w:name w:val="Intense Reference"/>
    <w:basedOn w:val="DefaultParagraphFont"/>
    <w:uiPriority w:val="32"/>
    <w:qFormat/>
    <w:rsid w:val="008112B3"/>
    <w:rPr>
      <w:b/>
      <w:bCs/>
      <w:smallCaps/>
      <w:color w:val="006372"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40526">
      <w:bodyDiv w:val="1"/>
      <w:marLeft w:val="0"/>
      <w:marRight w:val="0"/>
      <w:marTop w:val="0"/>
      <w:marBottom w:val="0"/>
      <w:divBdr>
        <w:top w:val="none" w:sz="0" w:space="0" w:color="auto"/>
        <w:left w:val="none" w:sz="0" w:space="0" w:color="auto"/>
        <w:bottom w:val="none" w:sz="0" w:space="0" w:color="auto"/>
        <w:right w:val="none" w:sz="0" w:space="0" w:color="auto"/>
      </w:divBdr>
    </w:div>
    <w:div w:id="1173566951">
      <w:bodyDiv w:val="1"/>
      <w:marLeft w:val="0"/>
      <w:marRight w:val="0"/>
      <w:marTop w:val="0"/>
      <w:marBottom w:val="0"/>
      <w:divBdr>
        <w:top w:val="none" w:sz="0" w:space="0" w:color="auto"/>
        <w:left w:val="none" w:sz="0" w:space="0" w:color="auto"/>
        <w:bottom w:val="none" w:sz="0" w:space="0" w:color="auto"/>
        <w:right w:val="none" w:sz="0" w:space="0" w:color="auto"/>
      </w:divBdr>
    </w:div>
    <w:div w:id="1938783131">
      <w:bodyDiv w:val="1"/>
      <w:marLeft w:val="0"/>
      <w:marRight w:val="0"/>
      <w:marTop w:val="0"/>
      <w:marBottom w:val="0"/>
      <w:divBdr>
        <w:top w:val="none" w:sz="0" w:space="0" w:color="auto"/>
        <w:left w:val="none" w:sz="0" w:space="0" w:color="auto"/>
        <w:bottom w:val="none" w:sz="0" w:space="0" w:color="auto"/>
        <w:right w:val="none" w:sz="0" w:space="0" w:color="auto"/>
      </w:divBdr>
    </w:div>
    <w:div w:id="194657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v.au/action-plan-addressing-genderbased-violence-higher-education/resources/proposed-national-higher-education-code-prevent-and-respond-genderbased-violence-202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96BF6"/>
    <w:rsid w:val="00105C50"/>
    <w:rsid w:val="00122E6B"/>
    <w:rsid w:val="00180445"/>
    <w:rsid w:val="00191B67"/>
    <w:rsid w:val="00265B9A"/>
    <w:rsid w:val="002B3ACA"/>
    <w:rsid w:val="003672D4"/>
    <w:rsid w:val="003D134F"/>
    <w:rsid w:val="00422D84"/>
    <w:rsid w:val="00494525"/>
    <w:rsid w:val="00671B4A"/>
    <w:rsid w:val="00785B1E"/>
    <w:rsid w:val="00805C5A"/>
    <w:rsid w:val="00813176"/>
    <w:rsid w:val="00A1695E"/>
    <w:rsid w:val="00B22D54"/>
    <w:rsid w:val="00B23F4C"/>
    <w:rsid w:val="00B355FD"/>
    <w:rsid w:val="00CA5F70"/>
    <w:rsid w:val="00CE4156"/>
    <w:rsid w:val="00D12C57"/>
    <w:rsid w:val="00D8758D"/>
    <w:rsid w:val="00E34090"/>
    <w:rsid w:val="00F43307"/>
    <w:rsid w:val="00F94189"/>
    <w:rsid w:val="00FA4403"/>
    <w:rsid w:val="00FF27A8"/>
    <w:rsid w:val="00FF2F8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563CAD241B44488945CF4C8D89F0B" ma:contentTypeVersion="23" ma:contentTypeDescription="Create a new document." ma:contentTypeScope="" ma:versionID="a89f41d3c98f44c91772043951b7082e">
  <xsd:schema xmlns:xsd="http://www.w3.org/2001/XMLSchema" xmlns:xs="http://www.w3.org/2001/XMLSchema" xmlns:p="http://schemas.microsoft.com/office/2006/metadata/properties" xmlns:ns2="c5964e1c-3c7d-43e4-89cb-156e908b8513" xmlns:ns3="c9626b16-7ee2-4fee-8073-c61099f7bc14" targetNamespace="http://schemas.microsoft.com/office/2006/metadata/properties" ma:root="true" ma:fieldsID="2a16fca3b0c0d58b38b768c9babc560b" ns2:_="" ns3:_="">
    <xsd:import namespace="c5964e1c-3c7d-43e4-89cb-156e908b8513"/>
    <xsd:import namespace="c9626b16-7ee2-4fee-8073-c61099f7bc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Barbara" minOccurs="0"/>
                <xsd:element ref="ns2:Location" minOccurs="0"/>
                <xsd:element ref="ns2:5446c00e-953c-43fc-bf95-a2638cbcd5e1CountryOrRegion" minOccurs="0"/>
                <xsd:element ref="ns2:5446c00e-953c-43fc-bf95-a2638cbcd5e1State" minOccurs="0"/>
                <xsd:element ref="ns2:5446c00e-953c-43fc-bf95-a2638cbcd5e1City" minOccurs="0"/>
                <xsd:element ref="ns2:5446c00e-953c-43fc-bf95-a2638cbcd5e1PostalCode" minOccurs="0"/>
                <xsd:element ref="ns2:5446c00e-953c-43fc-bf95-a2638cbcd5e1Street" minOccurs="0"/>
                <xsd:element ref="ns2:5446c00e-953c-43fc-bf95-a2638cbcd5e1GeoLoc" minOccurs="0"/>
                <xsd:element ref="ns2:5446c00e-953c-43fc-bf95-a2638cbcd5e1DispNam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64e1c-3c7d-43e4-89cb-156e908b8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Barbara" ma:index="21" nillable="true" ma:displayName="Barbara" ma:format="Dropdown" ma:list="UserInfo" ma:SharePointGroup="0" ma:internalName="Barbar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ocation" ma:index="22" nillable="true" ma:displayName="Location" ma:format="Dropdown" ma:internalName="Location">
      <xsd:simpleType>
        <xsd:restriction base="dms:Unknown"/>
      </xsd:simpleType>
    </xsd:element>
    <xsd:element name="5446c00e-953c-43fc-bf95-a2638cbcd5e1CountryOrRegion" ma:index="23" nillable="true" ma:displayName="Location: Country/Region" ma:internalName="CountryOrRegion" ma:readOnly="true">
      <xsd:simpleType>
        <xsd:restriction base="dms:Text"/>
      </xsd:simpleType>
    </xsd:element>
    <xsd:element name="5446c00e-953c-43fc-bf95-a2638cbcd5e1State" ma:index="24" nillable="true" ma:displayName="Location: State" ma:internalName="State" ma:readOnly="true">
      <xsd:simpleType>
        <xsd:restriction base="dms:Text"/>
      </xsd:simpleType>
    </xsd:element>
    <xsd:element name="5446c00e-953c-43fc-bf95-a2638cbcd5e1City" ma:index="25" nillable="true" ma:displayName="Location: City" ma:internalName="City" ma:readOnly="true">
      <xsd:simpleType>
        <xsd:restriction base="dms:Text"/>
      </xsd:simpleType>
    </xsd:element>
    <xsd:element name="5446c00e-953c-43fc-bf95-a2638cbcd5e1PostalCode" ma:index="26" nillable="true" ma:displayName="Location: Postal Code" ma:internalName="PostalCode" ma:readOnly="true">
      <xsd:simpleType>
        <xsd:restriction base="dms:Text"/>
      </xsd:simpleType>
    </xsd:element>
    <xsd:element name="5446c00e-953c-43fc-bf95-a2638cbcd5e1Street" ma:index="27" nillable="true" ma:displayName="Location: Street" ma:internalName="Street" ma:readOnly="true">
      <xsd:simpleType>
        <xsd:restriction base="dms:Text"/>
      </xsd:simpleType>
    </xsd:element>
    <xsd:element name="5446c00e-953c-43fc-bf95-a2638cbcd5e1GeoLoc" ma:index="28" nillable="true" ma:displayName="Location: Coordinates" ma:internalName="GeoLoc" ma:readOnly="true">
      <xsd:simpleType>
        <xsd:restriction base="dms:Unknown"/>
      </xsd:simpleType>
    </xsd:element>
    <xsd:element name="5446c00e-953c-43fc-bf95-a2638cbcd5e1DispName" ma:index="29" nillable="true" ma:displayName="Location: Name" ma:internalName="DispNam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626b16-7ee2-4fee-8073-c61099f7bc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53eb2c7-54be-48c2-9ad6-008ca686a042}" ma:internalName="TaxCatchAll" ma:showField="CatchAllData" ma:web="c9626b16-7ee2-4fee-8073-c61099f7bc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35adfce-f9b0-4566-a0fa-e4f70df87b41" xsi:nil="true"/>
    <lcf76f155ced4ddcb4097134ff3c332f xmlns="da72cac6-940c-4742-b333-53bc562b40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258B57-A54D-4443-B246-6DDE9BF9E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64e1c-3c7d-43e4-89cb-156e908b8513"/>
    <ds:schemaRef ds:uri="c9626b16-7ee2-4fee-8073-c61099f7bc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9E62BC-015C-4B5C-A9D8-CCF3948FD8A3}">
  <ds:schemaRefs>
    <ds:schemaRef ds:uri="http://schemas.microsoft.com/sharepoint/v3/contenttype/forms"/>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9AA4CAEC-1868-40C6-A0F1-C480A38CAD3C}">
  <ds:schemaRefs>
    <ds:schemaRef ds:uri="http://schemas.microsoft.com/office/2006/metadata/properties"/>
    <ds:schemaRef ds:uri="http://schemas.microsoft.com/office/infopath/2007/PartnerControls"/>
    <ds:schemaRef ds:uri="c35adfce-f9b0-4566-a0fa-e4f70df87b41"/>
    <ds:schemaRef ds:uri="da72cac6-940c-4742-b333-53bc562b405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5864</Words>
  <Characters>33429</Characters>
  <Application>Microsoft Office Word</Application>
  <DocSecurity>0</DocSecurity>
  <Lines>278</Lines>
  <Paragraphs>78</Paragraphs>
  <ScaleCrop>false</ScaleCrop>
  <Company/>
  <LinksUpToDate>false</LinksUpToDate>
  <CharactersWithSpaces>39215</CharactersWithSpaces>
  <SharedDoc>false</SharedDoc>
  <HLinks>
    <vt:vector size="6" baseType="variant">
      <vt:variant>
        <vt:i4>6029390</vt:i4>
      </vt:variant>
      <vt:variant>
        <vt:i4>0</vt:i4>
      </vt:variant>
      <vt:variant>
        <vt:i4>0</vt:i4>
      </vt:variant>
      <vt:variant>
        <vt:i4>5</vt:i4>
      </vt:variant>
      <vt:variant>
        <vt:lpwstr>https://www.education.gov.au/action-plan-addressing-genderbased-violence-higher-education/resources/proposed-national-higher-education-code-prevent-and-respond-genderbased-violence-2025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Higher Education Code to Prevent and Respond to Gender-based Violence</dc:title>
  <dc:subject/>
  <dc:creator>PACEY,Robert</dc:creator>
  <cp:keywords/>
  <dc:description/>
  <cp:lastModifiedBy>GREENTREE,Simone</cp:lastModifiedBy>
  <cp:revision>2</cp:revision>
  <dcterms:created xsi:type="dcterms:W3CDTF">2026-06-15T02:36:00Z</dcterms:created>
  <dcterms:modified xsi:type="dcterms:W3CDTF">2026-06-15T02:36:00Z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0x010100271563CAD241B44488945CF4C8D89F0B</vt:lpwstr>
  </property>
  <property fmtid="{D5CDD505-2E9C-101B-9397-08002B2CF9AE}" pid="10" name="MediaServiceImageTags">
    <vt:lpwstr/>
  </property>
</Properties>
</file>