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BDA7F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7EBA9489" wp14:editId="56E13DA9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1A0759D5" wp14:editId="270E0743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BEF2B" w14:textId="522A1DCC" w:rsidR="00716F30" w:rsidRPr="00A065A5" w:rsidRDefault="00716F30" w:rsidP="00A065A5">
      <w:pPr>
        <w:pStyle w:val="Heading1"/>
        <w:rPr>
          <w:sz w:val="40"/>
          <w:szCs w:val="18"/>
        </w:rPr>
      </w:pPr>
      <w:r w:rsidRPr="00A065A5">
        <w:rPr>
          <w:sz w:val="40"/>
          <w:szCs w:val="18"/>
        </w:rPr>
        <w:t>National School Resourcing Board’s review of state and territory compliance with section 22A of the Australian Education Act for the 202</w:t>
      </w:r>
      <w:r w:rsidR="00ED64CF">
        <w:rPr>
          <w:sz w:val="40"/>
          <w:szCs w:val="18"/>
        </w:rPr>
        <w:t>3</w:t>
      </w:r>
      <w:r w:rsidRPr="00A065A5">
        <w:rPr>
          <w:sz w:val="40"/>
          <w:szCs w:val="18"/>
        </w:rPr>
        <w:t xml:space="preserve"> funding year</w:t>
      </w:r>
    </w:p>
    <w:p w14:paraId="6AFDDE39" w14:textId="77777777" w:rsidR="00716F30" w:rsidRPr="00A065A5" w:rsidRDefault="00716F30" w:rsidP="00A065A5">
      <w:pPr>
        <w:pStyle w:val="Heading2"/>
        <w:rPr>
          <w:rFonts w:eastAsia="Calibri"/>
          <w:color w:val="008599" w:themeColor="accent1"/>
          <w:sz w:val="32"/>
          <w:szCs w:val="20"/>
        </w:rPr>
      </w:pPr>
      <w:r w:rsidRPr="00A065A5">
        <w:rPr>
          <w:rFonts w:eastAsia="Calibri"/>
          <w:color w:val="008599" w:themeColor="accent1"/>
          <w:sz w:val="32"/>
          <w:szCs w:val="20"/>
        </w:rPr>
        <w:t>Australian Government Response</w:t>
      </w:r>
    </w:p>
    <w:p w14:paraId="28430DD8" w14:textId="3CFF843B" w:rsidR="00716F30" w:rsidRDefault="00716F30" w:rsidP="00716F30">
      <w:pPr>
        <w:spacing w:before="249" w:line="288" w:lineRule="exact"/>
        <w:ind w:right="216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The Australian Government welcomes the National School Resourcing Board’s review of state and territory compliance with section 22A of the </w:t>
      </w:r>
      <w:r>
        <w:rPr>
          <w:rFonts w:ascii="Calibri" w:eastAsia="Calibri" w:hAnsi="Calibri"/>
          <w:i/>
          <w:color w:val="000000"/>
        </w:rPr>
        <w:t xml:space="preserve">Australian Education Act 2013 </w:t>
      </w:r>
      <w:r>
        <w:rPr>
          <w:rFonts w:ascii="Calibri" w:eastAsia="Calibri" w:hAnsi="Calibri"/>
          <w:color w:val="000000"/>
        </w:rPr>
        <w:t>for the 202</w:t>
      </w:r>
      <w:r w:rsidR="00ED64CF">
        <w:rPr>
          <w:rFonts w:ascii="Calibri" w:eastAsia="Calibri" w:hAnsi="Calibri"/>
          <w:color w:val="000000"/>
        </w:rPr>
        <w:t>3</w:t>
      </w:r>
      <w:r>
        <w:rPr>
          <w:rFonts w:ascii="Calibri" w:eastAsia="Calibri" w:hAnsi="Calibri"/>
          <w:color w:val="000000"/>
        </w:rPr>
        <w:t xml:space="preserve"> funding year.</w:t>
      </w:r>
    </w:p>
    <w:p w14:paraId="2F76E8EB" w14:textId="5196818D" w:rsidR="00716F30" w:rsidRDefault="00716F30" w:rsidP="00716F30">
      <w:pPr>
        <w:spacing w:before="246" w:line="289" w:lineRule="exact"/>
        <w:ind w:right="72"/>
        <w:textAlignment w:val="baseline"/>
        <w:rPr>
          <w:rFonts w:ascii="Calibri" w:eastAsia="Calibri" w:hAnsi="Calibri"/>
          <w:color w:val="000000"/>
        </w:rPr>
      </w:pPr>
      <w:r w:rsidRPr="00A02B2F">
        <w:rPr>
          <w:rFonts w:ascii="Calibri" w:eastAsia="Calibri" w:hAnsi="Calibri"/>
          <w:color w:val="000000"/>
        </w:rPr>
        <w:t xml:space="preserve">The Government welcomes the Board’s findings </w:t>
      </w:r>
      <w:r w:rsidR="000E43C2">
        <w:rPr>
          <w:rFonts w:ascii="Calibri" w:eastAsia="Calibri" w:hAnsi="Calibri"/>
          <w:color w:val="000000"/>
        </w:rPr>
        <w:t xml:space="preserve">that </w:t>
      </w:r>
      <w:r w:rsidRPr="00A02B2F">
        <w:rPr>
          <w:rFonts w:ascii="Calibri" w:eastAsia="Calibri" w:hAnsi="Calibri"/>
          <w:color w:val="000000"/>
        </w:rPr>
        <w:t xml:space="preserve">all jurisdictions were compliant with their requirements for non-government school funding and </w:t>
      </w:r>
      <w:r w:rsidR="001C21A5">
        <w:rPr>
          <w:rFonts w:ascii="Calibri" w:eastAsia="Calibri" w:hAnsi="Calibri"/>
          <w:color w:val="000000"/>
        </w:rPr>
        <w:t>six</w:t>
      </w:r>
      <w:r w:rsidRPr="00A02B2F">
        <w:rPr>
          <w:rFonts w:ascii="Calibri" w:eastAsia="Calibri" w:hAnsi="Calibri"/>
          <w:color w:val="000000"/>
        </w:rPr>
        <w:t xml:space="preserve"> states and territories (New South Wales, </w:t>
      </w:r>
      <w:r>
        <w:rPr>
          <w:rFonts w:ascii="Calibri" w:eastAsia="Calibri" w:hAnsi="Calibri"/>
          <w:color w:val="000000"/>
        </w:rPr>
        <w:t xml:space="preserve">Queensland, </w:t>
      </w:r>
      <w:r w:rsidRPr="00A02B2F">
        <w:rPr>
          <w:rFonts w:ascii="Calibri" w:eastAsia="Calibri" w:hAnsi="Calibri"/>
          <w:color w:val="000000"/>
        </w:rPr>
        <w:t>South Australia, Tasmania, Western Australia, and the Australian Capital Territory) were compliant with their requirements for government school funding in 202</w:t>
      </w:r>
      <w:r w:rsidR="00A35139">
        <w:rPr>
          <w:rFonts w:ascii="Calibri" w:eastAsia="Calibri" w:hAnsi="Calibri"/>
          <w:color w:val="000000"/>
        </w:rPr>
        <w:t>3</w:t>
      </w:r>
      <w:r w:rsidRPr="00A02B2F">
        <w:rPr>
          <w:rFonts w:ascii="Calibri" w:eastAsia="Calibri" w:hAnsi="Calibri"/>
          <w:color w:val="000000"/>
        </w:rPr>
        <w:t>.</w:t>
      </w:r>
    </w:p>
    <w:p w14:paraId="116E0D47" w14:textId="1A23A205" w:rsidR="00A35139" w:rsidRDefault="00716F30" w:rsidP="00716F30">
      <w:pPr>
        <w:spacing w:before="239" w:line="290" w:lineRule="exact"/>
        <w:ind w:right="72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The Government notes</w:t>
      </w:r>
      <w:r w:rsidR="001C21A5">
        <w:rPr>
          <w:rFonts w:ascii="Calibri" w:eastAsia="Calibri" w:hAnsi="Calibri"/>
          <w:color w:val="000000"/>
        </w:rPr>
        <w:t xml:space="preserve"> the Board’s findings </w:t>
      </w:r>
      <w:r w:rsidR="00FB2E47">
        <w:rPr>
          <w:rFonts w:ascii="Calibri" w:eastAsia="Calibri" w:hAnsi="Calibri"/>
          <w:color w:val="000000"/>
        </w:rPr>
        <w:t>that</w:t>
      </w:r>
      <w:r w:rsidR="001C21A5">
        <w:rPr>
          <w:rFonts w:ascii="Calibri" w:eastAsia="Calibri" w:hAnsi="Calibri"/>
          <w:color w:val="000000"/>
        </w:rPr>
        <w:t xml:space="preserve"> Victoria and the Northern Territory </w:t>
      </w:r>
      <w:r w:rsidR="00A35139">
        <w:rPr>
          <w:rFonts w:ascii="Calibri" w:eastAsia="Calibri" w:hAnsi="Calibri"/>
          <w:color w:val="000000"/>
        </w:rPr>
        <w:t>were not compliant with required funding contributions for their government sector</w:t>
      </w:r>
      <w:r w:rsidR="00A64D7D">
        <w:rPr>
          <w:rFonts w:ascii="Calibri" w:eastAsia="Calibri" w:hAnsi="Calibri"/>
          <w:color w:val="000000"/>
        </w:rPr>
        <w:t>s, and that Victoria’s mitigating circumstances were</w:t>
      </w:r>
      <w:r w:rsidR="00C201DB">
        <w:rPr>
          <w:rFonts w:ascii="Calibri" w:eastAsia="Calibri" w:hAnsi="Calibri"/>
          <w:color w:val="000000"/>
        </w:rPr>
        <w:t xml:space="preserve"> considered </w:t>
      </w:r>
      <w:r w:rsidR="00A64D7D">
        <w:rPr>
          <w:rFonts w:ascii="Calibri" w:eastAsia="Calibri" w:hAnsi="Calibri"/>
          <w:color w:val="000000"/>
        </w:rPr>
        <w:t>reasonable.</w:t>
      </w:r>
    </w:p>
    <w:p w14:paraId="70779B59" w14:textId="01F4F51C" w:rsidR="00A35139" w:rsidRPr="00D91FD8" w:rsidRDefault="00A35139" w:rsidP="00A35139">
      <w:pPr>
        <w:spacing w:before="239" w:line="290" w:lineRule="exact"/>
        <w:ind w:right="72"/>
        <w:textAlignment w:val="baseline"/>
        <w:rPr>
          <w:b/>
          <w:bCs/>
          <w:i/>
          <w:iCs/>
        </w:rPr>
      </w:pPr>
      <w:r w:rsidRPr="00D91FD8">
        <w:rPr>
          <w:b/>
          <w:bCs/>
          <w:i/>
          <w:iCs/>
        </w:rPr>
        <w:t>Victoria</w:t>
      </w:r>
    </w:p>
    <w:p w14:paraId="105A0086" w14:textId="132A1B70" w:rsidR="00A35139" w:rsidRDefault="00A35139" w:rsidP="00A35139">
      <w:pPr>
        <w:spacing w:before="239" w:line="290" w:lineRule="exact"/>
        <w:ind w:right="72"/>
        <w:textAlignment w:val="baseline"/>
      </w:pPr>
      <w:r>
        <w:t xml:space="preserve">Victoria reported a shortfall of </w:t>
      </w:r>
      <w:r w:rsidR="004C58A7">
        <w:t>1.67</w:t>
      </w:r>
      <w:r>
        <w:t xml:space="preserve"> </w:t>
      </w:r>
      <w:r w:rsidR="008B1963">
        <w:t>per cent of the Schooling Resource Standard (SRS)</w:t>
      </w:r>
      <w:r w:rsidR="00975E3C">
        <w:t xml:space="preserve">, or approximately $219 million, </w:t>
      </w:r>
      <w:r w:rsidR="008B1963">
        <w:t xml:space="preserve">for its government sector </w:t>
      </w:r>
      <w:r>
        <w:t>result</w:t>
      </w:r>
      <w:r w:rsidR="008351A7">
        <w:t>ing from t</w:t>
      </w:r>
      <w:r>
        <w:t xml:space="preserve">he difference between expected and actual </w:t>
      </w:r>
      <w:r w:rsidRPr="00194778">
        <w:t>student enrolments and demographics</w:t>
      </w:r>
      <w:r>
        <w:t xml:space="preserve">. </w:t>
      </w:r>
      <w:r w:rsidR="00167BC2">
        <w:t xml:space="preserve">The Board found </w:t>
      </w:r>
      <w:r w:rsidR="00D32125">
        <w:t xml:space="preserve">Victoria’s mitigating factors reasonable. </w:t>
      </w:r>
      <w:r w:rsidR="00013BEA">
        <w:t xml:space="preserve"> </w:t>
      </w:r>
      <w:r w:rsidRPr="00194778">
        <w:t xml:space="preserve"> </w:t>
      </w:r>
    </w:p>
    <w:p w14:paraId="120A0585" w14:textId="3FA43D99" w:rsidR="00CF5F21" w:rsidRDefault="00CF5F21" w:rsidP="00A35139">
      <w:pPr>
        <w:spacing w:before="239" w:line="290" w:lineRule="exact"/>
        <w:ind w:right="72"/>
        <w:textAlignment w:val="baseline"/>
      </w:pPr>
      <w:r>
        <w:t>T</w:t>
      </w:r>
      <w:r w:rsidRPr="00CF5F21">
        <w:t>he Government considers no compliance action is required in relation to Victoria for the 2023 funding year.</w:t>
      </w:r>
    </w:p>
    <w:p w14:paraId="3F9E62B0" w14:textId="7E84995E" w:rsidR="00A35139" w:rsidRPr="00D91FD8" w:rsidRDefault="00A35139" w:rsidP="00716F30">
      <w:pPr>
        <w:spacing w:before="239" w:line="290" w:lineRule="exact"/>
        <w:ind w:right="72"/>
        <w:textAlignment w:val="baseline"/>
        <w:rPr>
          <w:rFonts w:ascii="Calibri" w:eastAsia="Calibri" w:hAnsi="Calibri"/>
          <w:b/>
          <w:bCs/>
          <w:i/>
          <w:iCs/>
          <w:color w:val="000000"/>
          <w:spacing w:val="-1"/>
        </w:rPr>
      </w:pPr>
      <w:r w:rsidRPr="00D91FD8">
        <w:rPr>
          <w:rFonts w:ascii="Calibri" w:eastAsia="Calibri" w:hAnsi="Calibri"/>
          <w:b/>
          <w:bCs/>
          <w:i/>
          <w:iCs/>
          <w:color w:val="000000"/>
          <w:spacing w:val="-1"/>
        </w:rPr>
        <w:t xml:space="preserve">The Northern Territory </w:t>
      </w:r>
    </w:p>
    <w:p w14:paraId="42A161D0" w14:textId="61BD0B3E" w:rsidR="00233A89" w:rsidRDefault="00716F30" w:rsidP="00716F30">
      <w:pPr>
        <w:spacing w:before="239" w:line="290" w:lineRule="exact"/>
        <w:ind w:right="72"/>
        <w:textAlignment w:val="baseline"/>
        <w:rPr>
          <w:rFonts w:ascii="Calibri" w:eastAsia="Calibri" w:hAnsi="Calibri"/>
          <w:color w:val="000000"/>
          <w:spacing w:val="-1"/>
        </w:rPr>
      </w:pPr>
      <w:r>
        <w:rPr>
          <w:rFonts w:ascii="Calibri" w:eastAsia="Calibri" w:hAnsi="Calibri"/>
          <w:color w:val="000000"/>
          <w:spacing w:val="-1"/>
        </w:rPr>
        <w:t xml:space="preserve">The Northern Territory reported a funding shortfall of </w:t>
      </w:r>
      <w:r w:rsidR="004C58A7">
        <w:rPr>
          <w:rFonts w:ascii="Calibri" w:eastAsia="Calibri" w:hAnsi="Calibri"/>
          <w:color w:val="000000"/>
          <w:spacing w:val="-1"/>
        </w:rPr>
        <w:t xml:space="preserve">1.64 per cent </w:t>
      </w:r>
      <w:r w:rsidR="00AA003B">
        <w:rPr>
          <w:rFonts w:ascii="Calibri" w:eastAsia="Calibri" w:hAnsi="Calibri"/>
          <w:color w:val="000000"/>
          <w:spacing w:val="-1"/>
        </w:rPr>
        <w:t>of the SRS</w:t>
      </w:r>
      <w:r w:rsidR="00975E3C">
        <w:rPr>
          <w:rFonts w:ascii="Calibri" w:eastAsia="Calibri" w:hAnsi="Calibri"/>
          <w:color w:val="000000"/>
          <w:spacing w:val="-1"/>
        </w:rPr>
        <w:t>, or approximately $16</w:t>
      </w:r>
      <w:r w:rsidR="00471F90">
        <w:rPr>
          <w:rFonts w:ascii="Calibri" w:eastAsia="Calibri" w:hAnsi="Calibri"/>
          <w:color w:val="000000"/>
          <w:spacing w:val="-1"/>
        </w:rPr>
        <w:t> </w:t>
      </w:r>
      <w:r w:rsidR="00975E3C">
        <w:rPr>
          <w:rFonts w:ascii="Calibri" w:eastAsia="Calibri" w:hAnsi="Calibri"/>
          <w:color w:val="000000"/>
          <w:spacing w:val="-1"/>
        </w:rPr>
        <w:t xml:space="preserve">million, </w:t>
      </w:r>
      <w:r>
        <w:rPr>
          <w:rFonts w:ascii="Calibri" w:eastAsia="Calibri" w:hAnsi="Calibri"/>
          <w:color w:val="000000"/>
          <w:spacing w:val="-1"/>
        </w:rPr>
        <w:t xml:space="preserve">for the government sector, </w:t>
      </w:r>
      <w:r w:rsidR="00767B8F">
        <w:rPr>
          <w:rFonts w:ascii="Calibri" w:eastAsia="Calibri" w:hAnsi="Calibri"/>
          <w:color w:val="000000"/>
          <w:spacing w:val="-1"/>
        </w:rPr>
        <w:t xml:space="preserve">from underspends due to acute </w:t>
      </w:r>
      <w:r w:rsidR="0061595A">
        <w:rPr>
          <w:rFonts w:ascii="Calibri" w:eastAsia="Calibri" w:hAnsi="Calibri"/>
          <w:color w:val="000000"/>
          <w:spacing w:val="-1"/>
        </w:rPr>
        <w:t>teacher shortages</w:t>
      </w:r>
      <w:r w:rsidRPr="00BB0E49">
        <w:rPr>
          <w:rFonts w:ascii="Calibri" w:eastAsia="Calibri" w:hAnsi="Calibri"/>
          <w:color w:val="000000"/>
          <w:spacing w:val="-1"/>
        </w:rPr>
        <w:t>.</w:t>
      </w:r>
      <w:r w:rsidR="0097018E">
        <w:rPr>
          <w:rFonts w:ascii="Calibri" w:eastAsia="Calibri" w:hAnsi="Calibri"/>
          <w:color w:val="000000"/>
          <w:spacing w:val="-1"/>
        </w:rPr>
        <w:t xml:space="preserve"> </w:t>
      </w:r>
      <w:r w:rsidR="00975E3C">
        <w:rPr>
          <w:rFonts w:ascii="Calibri" w:eastAsia="Calibri" w:hAnsi="Calibri"/>
          <w:color w:val="000000"/>
          <w:spacing w:val="-1"/>
        </w:rPr>
        <w:t>The</w:t>
      </w:r>
      <w:r w:rsidR="00FE3D90">
        <w:rPr>
          <w:rFonts w:ascii="Calibri" w:eastAsia="Calibri" w:hAnsi="Calibri"/>
          <w:color w:val="000000"/>
          <w:spacing w:val="-1"/>
        </w:rPr>
        <w:t> </w:t>
      </w:r>
      <w:r w:rsidR="00975E3C">
        <w:rPr>
          <w:rFonts w:ascii="Calibri" w:eastAsia="Calibri" w:hAnsi="Calibri"/>
          <w:color w:val="000000"/>
          <w:spacing w:val="-1"/>
        </w:rPr>
        <w:t xml:space="preserve">Board acknowledged </w:t>
      </w:r>
      <w:r w:rsidR="00FE3D90">
        <w:rPr>
          <w:rFonts w:ascii="Calibri" w:eastAsia="Calibri" w:hAnsi="Calibri"/>
          <w:color w:val="000000"/>
          <w:spacing w:val="-1"/>
        </w:rPr>
        <w:t>the</w:t>
      </w:r>
      <w:r w:rsidR="00975E3C">
        <w:rPr>
          <w:rFonts w:ascii="Calibri" w:eastAsia="Calibri" w:hAnsi="Calibri"/>
          <w:color w:val="000000"/>
          <w:spacing w:val="-1"/>
        </w:rPr>
        <w:t xml:space="preserve"> Northern Territory had set aside funding </w:t>
      </w:r>
      <w:r w:rsidR="00843C4D">
        <w:rPr>
          <w:rFonts w:ascii="Calibri" w:eastAsia="Calibri" w:hAnsi="Calibri"/>
          <w:color w:val="000000"/>
          <w:spacing w:val="-1"/>
        </w:rPr>
        <w:t>for staffing costs, which could then not be expended</w:t>
      </w:r>
      <w:r w:rsidR="00046DBD">
        <w:rPr>
          <w:rFonts w:ascii="Calibri" w:eastAsia="Calibri" w:hAnsi="Calibri"/>
          <w:color w:val="000000"/>
          <w:spacing w:val="-1"/>
        </w:rPr>
        <w:t xml:space="preserve">, and efforts to </w:t>
      </w:r>
      <w:r w:rsidR="00046DBD" w:rsidRPr="00046DBD">
        <w:rPr>
          <w:rFonts w:ascii="Calibri" w:eastAsia="Calibri" w:hAnsi="Calibri"/>
          <w:color w:val="000000"/>
          <w:spacing w:val="-1"/>
        </w:rPr>
        <w:t xml:space="preserve">explore </w:t>
      </w:r>
      <w:r w:rsidR="00233A89">
        <w:rPr>
          <w:rFonts w:ascii="Calibri" w:eastAsia="Calibri" w:hAnsi="Calibri"/>
          <w:color w:val="000000"/>
          <w:spacing w:val="-1"/>
        </w:rPr>
        <w:t xml:space="preserve">different workforce models to address critical shortages. This includes the role of teaching support and allied health professionals in the future. </w:t>
      </w:r>
    </w:p>
    <w:p w14:paraId="7FD243DA" w14:textId="68027DCF" w:rsidR="00716F30" w:rsidRDefault="00046DBD" w:rsidP="00716F30">
      <w:pPr>
        <w:spacing w:before="239" w:line="290" w:lineRule="exact"/>
        <w:ind w:right="72"/>
        <w:textAlignment w:val="baseline"/>
        <w:rPr>
          <w:rFonts w:ascii="Calibri" w:eastAsia="Calibri" w:hAnsi="Calibri"/>
          <w:color w:val="000000"/>
          <w:spacing w:val="-1"/>
        </w:rPr>
      </w:pPr>
      <w:r w:rsidRPr="00046DBD">
        <w:rPr>
          <w:rFonts w:ascii="Calibri" w:eastAsia="Calibri" w:hAnsi="Calibri"/>
          <w:color w:val="000000"/>
          <w:spacing w:val="-1"/>
        </w:rPr>
        <w:lastRenderedPageBreak/>
        <w:t>The Government notes</w:t>
      </w:r>
      <w:r>
        <w:rPr>
          <w:rFonts w:ascii="Calibri" w:eastAsia="Calibri" w:hAnsi="Calibri"/>
          <w:color w:val="000000"/>
          <w:spacing w:val="-1"/>
        </w:rPr>
        <w:t xml:space="preserve"> </w:t>
      </w:r>
      <w:r w:rsidR="0051346B">
        <w:rPr>
          <w:rFonts w:ascii="Calibri" w:eastAsia="Calibri" w:hAnsi="Calibri"/>
          <w:color w:val="000000"/>
          <w:spacing w:val="-1"/>
        </w:rPr>
        <w:t>t</w:t>
      </w:r>
      <w:r w:rsidR="00716F30" w:rsidRPr="00BB0E49">
        <w:rPr>
          <w:rFonts w:ascii="Calibri" w:eastAsia="Calibri" w:hAnsi="Calibri"/>
          <w:color w:val="000000"/>
          <w:spacing w:val="-1"/>
        </w:rPr>
        <w:t>he</w:t>
      </w:r>
      <w:r w:rsidR="0097018E">
        <w:rPr>
          <w:rFonts w:ascii="Calibri" w:eastAsia="Calibri" w:hAnsi="Calibri"/>
          <w:color w:val="000000"/>
          <w:spacing w:val="-1"/>
        </w:rPr>
        <w:t> </w:t>
      </w:r>
      <w:r w:rsidR="00716F30" w:rsidRPr="00BB0E49">
        <w:rPr>
          <w:rFonts w:ascii="Calibri" w:eastAsia="Calibri" w:hAnsi="Calibri"/>
          <w:color w:val="000000"/>
          <w:spacing w:val="-1"/>
        </w:rPr>
        <w:t xml:space="preserve">Board </w:t>
      </w:r>
      <w:r w:rsidRPr="00046DBD">
        <w:rPr>
          <w:rFonts w:ascii="Calibri" w:eastAsia="Calibri" w:hAnsi="Calibri"/>
          <w:color w:val="000000"/>
          <w:spacing w:val="-1"/>
        </w:rPr>
        <w:t xml:space="preserve">identified an ongoing trend of shortfalls over the last 4 years </w:t>
      </w:r>
      <w:r w:rsidR="0051346B">
        <w:rPr>
          <w:rFonts w:ascii="Calibri" w:eastAsia="Calibri" w:hAnsi="Calibri"/>
          <w:color w:val="000000"/>
          <w:spacing w:val="-1"/>
        </w:rPr>
        <w:t xml:space="preserve">and </w:t>
      </w:r>
      <w:r w:rsidR="00762866">
        <w:rPr>
          <w:rFonts w:ascii="Calibri" w:eastAsia="Calibri" w:hAnsi="Calibri"/>
          <w:color w:val="000000"/>
          <w:spacing w:val="-1"/>
        </w:rPr>
        <w:t xml:space="preserve">recommended </w:t>
      </w:r>
      <w:r w:rsidR="00762866" w:rsidRPr="00762866">
        <w:rPr>
          <w:rFonts w:ascii="Calibri" w:eastAsia="Calibri" w:hAnsi="Calibri"/>
          <w:color w:val="000000"/>
          <w:spacing w:val="-1"/>
        </w:rPr>
        <w:t xml:space="preserve">further action to ensure the </w:t>
      </w:r>
      <w:r w:rsidR="00762866">
        <w:rPr>
          <w:rFonts w:ascii="Calibri" w:eastAsia="Calibri" w:hAnsi="Calibri"/>
          <w:color w:val="000000"/>
          <w:spacing w:val="-1"/>
        </w:rPr>
        <w:t>Northern Territory</w:t>
      </w:r>
      <w:r w:rsidR="00762866" w:rsidRPr="00762866">
        <w:rPr>
          <w:rFonts w:ascii="Calibri" w:eastAsia="Calibri" w:hAnsi="Calibri"/>
          <w:color w:val="000000"/>
          <w:spacing w:val="-1"/>
        </w:rPr>
        <w:t xml:space="preserve"> can demonstrate measurable progress towards consistently meeting its funding obligations</w:t>
      </w:r>
      <w:r w:rsidR="00762866">
        <w:rPr>
          <w:rFonts w:ascii="Calibri" w:eastAsia="Calibri" w:hAnsi="Calibri"/>
          <w:color w:val="000000"/>
          <w:spacing w:val="-1"/>
        </w:rPr>
        <w:t>.</w:t>
      </w:r>
    </w:p>
    <w:p w14:paraId="67FF4CD5" w14:textId="4A5FBC0B" w:rsidR="00945A22" w:rsidRDefault="00945A22" w:rsidP="00716F30">
      <w:pPr>
        <w:spacing w:before="239" w:line="290" w:lineRule="exact"/>
        <w:ind w:right="72"/>
        <w:textAlignment w:val="baseline"/>
        <w:rPr>
          <w:rFonts w:ascii="Calibri" w:eastAsia="Calibri" w:hAnsi="Calibri"/>
          <w:color w:val="000000"/>
          <w:spacing w:val="-1"/>
        </w:rPr>
      </w:pPr>
      <w:r>
        <w:rPr>
          <w:rFonts w:ascii="Calibri" w:eastAsia="Calibri" w:hAnsi="Calibri"/>
          <w:color w:val="000000"/>
          <w:spacing w:val="-1"/>
        </w:rPr>
        <w:t xml:space="preserve">The Government also recognises the unique circumstances of the Northern Territory, as reflected in the </w:t>
      </w:r>
      <w:r>
        <w:rPr>
          <w:rFonts w:ascii="Calibri" w:eastAsia="Calibri" w:hAnsi="Calibri"/>
          <w:color w:val="000000"/>
        </w:rPr>
        <w:t>C</w:t>
      </w:r>
      <w:r w:rsidRPr="00046DBD">
        <w:rPr>
          <w:rFonts w:ascii="Calibri" w:eastAsia="Calibri" w:hAnsi="Calibri"/>
          <w:color w:val="000000"/>
        </w:rPr>
        <w:t>ommonwealth’s additional investment in the Northern Territory through the Better and Fairer Schools Agreement (BFSA)</w:t>
      </w:r>
      <w:r>
        <w:rPr>
          <w:rFonts w:ascii="Calibri" w:eastAsia="Calibri" w:hAnsi="Calibri"/>
          <w:color w:val="000000"/>
        </w:rPr>
        <w:t>.</w:t>
      </w:r>
    </w:p>
    <w:p w14:paraId="56BF9382" w14:textId="71EF3161" w:rsidR="00716F30" w:rsidRDefault="00762866" w:rsidP="00716F30">
      <w:pPr>
        <w:spacing w:before="240" w:line="288" w:lineRule="exact"/>
        <w:ind w:right="72"/>
        <w:textAlignment w:val="baseline"/>
        <w:rPr>
          <w:rFonts w:ascii="Calibri" w:eastAsia="Calibri" w:hAnsi="Calibri"/>
          <w:color w:val="000000"/>
        </w:rPr>
      </w:pPr>
      <w:r w:rsidRPr="002C5D0E">
        <w:rPr>
          <w:rFonts w:ascii="Calibri" w:eastAsia="Calibri" w:hAnsi="Calibri"/>
          <w:color w:val="000000"/>
        </w:rPr>
        <w:t xml:space="preserve">The </w:t>
      </w:r>
      <w:r w:rsidR="00046DBD">
        <w:rPr>
          <w:rFonts w:ascii="Calibri" w:eastAsia="Calibri" w:hAnsi="Calibri"/>
          <w:color w:val="000000"/>
        </w:rPr>
        <w:t>Australian Government Department of Education</w:t>
      </w:r>
      <w:r w:rsidRPr="002C5D0E">
        <w:rPr>
          <w:rFonts w:ascii="Calibri" w:eastAsia="Calibri" w:hAnsi="Calibri"/>
          <w:color w:val="000000"/>
        </w:rPr>
        <w:t xml:space="preserve"> will work with the Northern Territory to </w:t>
      </w:r>
      <w:r w:rsidR="00046DBD" w:rsidRPr="00046DBD">
        <w:rPr>
          <w:rFonts w:ascii="Calibri" w:eastAsia="Calibri" w:hAnsi="Calibri"/>
          <w:color w:val="000000"/>
        </w:rPr>
        <w:t xml:space="preserve">improve </w:t>
      </w:r>
      <w:r w:rsidR="00346855">
        <w:rPr>
          <w:rFonts w:ascii="Calibri" w:eastAsia="Calibri" w:hAnsi="Calibri"/>
          <w:color w:val="000000"/>
        </w:rPr>
        <w:t>its</w:t>
      </w:r>
      <w:r w:rsidR="00046DBD" w:rsidRPr="00046DBD">
        <w:rPr>
          <w:rFonts w:ascii="Calibri" w:eastAsia="Calibri" w:hAnsi="Calibri"/>
          <w:color w:val="000000"/>
        </w:rPr>
        <w:t xml:space="preserve"> reporting to ensure full reporting of </w:t>
      </w:r>
      <w:r w:rsidR="00D11E03">
        <w:rPr>
          <w:rFonts w:ascii="Calibri" w:eastAsia="Calibri" w:hAnsi="Calibri"/>
          <w:color w:val="000000"/>
        </w:rPr>
        <w:t xml:space="preserve">eligible </w:t>
      </w:r>
      <w:r w:rsidR="00046DBD" w:rsidRPr="00046DBD">
        <w:rPr>
          <w:rFonts w:ascii="Calibri" w:eastAsia="Calibri" w:hAnsi="Calibri"/>
          <w:color w:val="000000"/>
        </w:rPr>
        <w:t>funding</w:t>
      </w:r>
      <w:r w:rsidR="00945A22">
        <w:rPr>
          <w:rFonts w:ascii="Calibri" w:eastAsia="Calibri" w:hAnsi="Calibri"/>
          <w:color w:val="000000"/>
        </w:rPr>
        <w:t xml:space="preserve"> and to support demonstration of measurable progress towards meeting its funding obligations</w:t>
      </w:r>
      <w:r w:rsidR="00046DBD" w:rsidRPr="00046DBD">
        <w:rPr>
          <w:rFonts w:ascii="Calibri" w:eastAsia="Calibri" w:hAnsi="Calibri"/>
          <w:color w:val="000000"/>
        </w:rPr>
        <w:t>.</w:t>
      </w:r>
    </w:p>
    <w:p w14:paraId="1452163D" w14:textId="77777777" w:rsidR="00451A6E" w:rsidRPr="00D91FD8" w:rsidRDefault="00A35139" w:rsidP="00451A6E">
      <w:pPr>
        <w:rPr>
          <w:rFonts w:cstheme="minorHAnsi"/>
          <w:b/>
          <w:bCs/>
          <w:i/>
          <w:iCs/>
        </w:rPr>
      </w:pPr>
      <w:r w:rsidRPr="00D91FD8">
        <w:rPr>
          <w:rFonts w:ascii="Calibri" w:eastAsia="Calibri" w:hAnsi="Calibri"/>
          <w:b/>
          <w:bCs/>
          <w:i/>
          <w:iCs/>
          <w:color w:val="000000"/>
          <w:spacing w:val="-1"/>
        </w:rPr>
        <w:t xml:space="preserve">Better </w:t>
      </w:r>
      <w:r w:rsidR="00451A6E" w:rsidRPr="00D91FD8">
        <w:rPr>
          <w:rFonts w:cstheme="minorHAnsi"/>
          <w:b/>
          <w:bCs/>
          <w:i/>
          <w:iCs/>
        </w:rPr>
        <w:t>and Fairer Schools Agreements (BFSA) and BSFA - Full and Fair Funding</w:t>
      </w:r>
    </w:p>
    <w:p w14:paraId="7C645DEC" w14:textId="77777777" w:rsidR="00E34724" w:rsidRDefault="00451A6E" w:rsidP="00E34724">
      <w:pPr>
        <w:spacing w:before="239" w:line="290" w:lineRule="exact"/>
        <w:ind w:right="72"/>
        <w:textAlignment w:val="baseline"/>
        <w:rPr>
          <w:rFonts w:eastAsia="Calibri"/>
          <w:color w:val="000000"/>
          <w:spacing w:val="-1"/>
        </w:rPr>
      </w:pPr>
      <w:r w:rsidRPr="00D91FD8">
        <w:rPr>
          <w:rFonts w:eastAsia="Calibri"/>
          <w:color w:val="000000"/>
          <w:spacing w:val="-1"/>
        </w:rPr>
        <w:t xml:space="preserve">The Australian Government </w:t>
      </w:r>
      <w:r w:rsidR="00F92DDA" w:rsidRPr="00D91FD8">
        <w:rPr>
          <w:rFonts w:eastAsia="Calibri"/>
          <w:color w:val="000000"/>
          <w:spacing w:val="-1"/>
        </w:rPr>
        <w:t xml:space="preserve">has </w:t>
      </w:r>
      <w:r w:rsidRPr="00D91FD8">
        <w:rPr>
          <w:rFonts w:eastAsia="Calibri"/>
          <w:color w:val="000000"/>
          <w:spacing w:val="-1"/>
        </w:rPr>
        <w:t xml:space="preserve">reached agreements with every all state and territory to put all government schools on a pathway to 100 per cent of the SRS through the Better and Fairer Schools Agreement (BFSA) and the </w:t>
      </w:r>
      <w:r w:rsidRPr="00D91FD8">
        <w:rPr>
          <w:rFonts w:eastAsia="Calibri"/>
          <w:spacing w:val="-1"/>
        </w:rPr>
        <w:t>BFSA – Full and Fair Funding 2025-2034</w:t>
      </w:r>
      <w:r w:rsidRPr="00D91FD8">
        <w:rPr>
          <w:rFonts w:eastAsia="Calibri"/>
          <w:color w:val="000000"/>
          <w:spacing w:val="-1"/>
        </w:rPr>
        <w:t>.  </w:t>
      </w:r>
      <w:r w:rsidR="00121591" w:rsidRPr="00D91FD8">
        <w:rPr>
          <w:rFonts w:eastAsia="Calibri"/>
          <w:color w:val="000000"/>
          <w:spacing w:val="-1"/>
        </w:rPr>
        <w:t xml:space="preserve">These </w:t>
      </w:r>
      <w:r w:rsidR="00843C4D">
        <w:rPr>
          <w:rFonts w:eastAsia="Calibri"/>
          <w:color w:val="000000"/>
          <w:spacing w:val="-1"/>
        </w:rPr>
        <w:t>A</w:t>
      </w:r>
      <w:r w:rsidR="00121591" w:rsidRPr="00D91FD8">
        <w:rPr>
          <w:rFonts w:eastAsia="Calibri"/>
          <w:color w:val="000000"/>
          <w:spacing w:val="-1"/>
        </w:rPr>
        <w:t xml:space="preserve">greements replace current bilateral agreements used to support </w:t>
      </w:r>
      <w:r w:rsidR="00AE6F85">
        <w:rPr>
          <w:rFonts w:eastAsia="Calibri"/>
          <w:color w:val="000000"/>
          <w:spacing w:val="-1"/>
        </w:rPr>
        <w:t>s</w:t>
      </w:r>
      <w:r w:rsidR="00D91FD8">
        <w:rPr>
          <w:rFonts w:eastAsia="Calibri"/>
          <w:color w:val="000000"/>
          <w:spacing w:val="-1"/>
        </w:rPr>
        <w:t xml:space="preserve">ection </w:t>
      </w:r>
      <w:r w:rsidR="00121591" w:rsidRPr="00D91FD8">
        <w:rPr>
          <w:rFonts w:eastAsia="Calibri"/>
          <w:color w:val="000000"/>
          <w:spacing w:val="-1"/>
        </w:rPr>
        <w:t>22</w:t>
      </w:r>
      <w:r w:rsidR="00AE6F85">
        <w:rPr>
          <w:rFonts w:eastAsia="Calibri"/>
          <w:color w:val="000000"/>
          <w:spacing w:val="-1"/>
        </w:rPr>
        <w:t>A</w:t>
      </w:r>
      <w:r w:rsidR="00121591" w:rsidRPr="00D91FD8">
        <w:rPr>
          <w:rFonts w:eastAsia="Calibri"/>
          <w:color w:val="000000"/>
          <w:spacing w:val="-1"/>
        </w:rPr>
        <w:t xml:space="preserve"> </w:t>
      </w:r>
      <w:r w:rsidR="00AE6F85">
        <w:rPr>
          <w:rFonts w:eastAsia="Calibri"/>
          <w:color w:val="000000"/>
          <w:spacing w:val="-1"/>
        </w:rPr>
        <w:t xml:space="preserve">compliance </w:t>
      </w:r>
      <w:r w:rsidR="00121591" w:rsidRPr="00D91FD8">
        <w:rPr>
          <w:rFonts w:eastAsia="Calibri"/>
          <w:color w:val="000000"/>
          <w:spacing w:val="-1"/>
        </w:rPr>
        <w:t>reporting</w:t>
      </w:r>
      <w:r w:rsidR="00121591">
        <w:rPr>
          <w:rFonts w:eastAsia="Calibri"/>
          <w:color w:val="000000"/>
          <w:spacing w:val="-1"/>
        </w:rPr>
        <w:t xml:space="preserve"> from 2025.</w:t>
      </w:r>
      <w:r w:rsidRPr="00451A6E">
        <w:rPr>
          <w:rFonts w:eastAsia="Calibri"/>
          <w:color w:val="000000"/>
          <w:spacing w:val="-1"/>
        </w:rPr>
        <w:t> </w:t>
      </w:r>
    </w:p>
    <w:p w14:paraId="3CCF50EA" w14:textId="08D5970E" w:rsidR="00E34724" w:rsidRPr="00293E87" w:rsidRDefault="00293E87" w:rsidP="00E34724">
      <w:pPr>
        <w:spacing w:before="239" w:line="290" w:lineRule="exact"/>
        <w:ind w:right="72"/>
        <w:textAlignment w:val="baseline"/>
        <w:rPr>
          <w:rFonts w:eastAsia="Calibri"/>
          <w:color w:val="000000"/>
          <w:spacing w:val="-1"/>
        </w:rPr>
      </w:pPr>
      <w:r>
        <w:rPr>
          <w:rFonts w:eastAsia="Calibri"/>
          <w:color w:val="000000"/>
          <w:spacing w:val="-1"/>
        </w:rPr>
        <w:t>T</w:t>
      </w:r>
      <w:r w:rsidR="00AE6F85" w:rsidRPr="00986C22">
        <w:rPr>
          <w:rFonts w:eastAsia="Calibri"/>
          <w:color w:val="000000"/>
          <w:spacing w:val="-1"/>
        </w:rPr>
        <w:t xml:space="preserve">he </w:t>
      </w:r>
      <w:r w:rsidR="00234F82" w:rsidRPr="00986C22">
        <w:rPr>
          <w:rFonts w:eastAsia="Calibri"/>
          <w:color w:val="000000"/>
          <w:spacing w:val="-1"/>
        </w:rPr>
        <w:t xml:space="preserve">2024 funding year will be the </w:t>
      </w:r>
      <w:r w:rsidR="00AE6F85" w:rsidRPr="00986C22">
        <w:rPr>
          <w:rFonts w:eastAsia="Calibri"/>
          <w:color w:val="000000"/>
          <w:spacing w:val="-1"/>
        </w:rPr>
        <w:t xml:space="preserve">final </w:t>
      </w:r>
      <w:r w:rsidR="00234F82" w:rsidRPr="00986C22">
        <w:rPr>
          <w:rFonts w:eastAsia="Calibri"/>
          <w:color w:val="000000"/>
          <w:spacing w:val="-1"/>
        </w:rPr>
        <w:t xml:space="preserve">year of reporting </w:t>
      </w:r>
      <w:r w:rsidR="00E34724" w:rsidRPr="00986C22">
        <w:rPr>
          <w:rFonts w:eastAsia="Calibri"/>
          <w:color w:val="000000"/>
          <w:spacing w:val="-1"/>
        </w:rPr>
        <w:t>using bilateral agreements</w:t>
      </w:r>
      <w:r>
        <w:rPr>
          <w:rFonts w:eastAsia="Calibri"/>
          <w:color w:val="000000"/>
          <w:spacing w:val="-1"/>
        </w:rPr>
        <w:t xml:space="preserve"> under the previous National School Reform Agreement</w:t>
      </w:r>
      <w:r w:rsidR="00E34724" w:rsidRPr="00986C22">
        <w:rPr>
          <w:rFonts w:eastAsia="Calibri"/>
          <w:color w:val="000000"/>
          <w:spacing w:val="-1"/>
        </w:rPr>
        <w:t xml:space="preserve">. </w:t>
      </w:r>
    </w:p>
    <w:p w14:paraId="3C5407C3" w14:textId="091EC28C" w:rsidR="0017134D" w:rsidRPr="00A065A5" w:rsidRDefault="00716F30" w:rsidP="00E34724">
      <w:pPr>
        <w:spacing w:before="239" w:line="290" w:lineRule="exact"/>
        <w:ind w:right="72"/>
        <w:textAlignment w:val="baseline"/>
        <w:rPr>
          <w:rFonts w:cstheme="minorHAnsi"/>
        </w:rPr>
      </w:pPr>
      <w:r w:rsidRPr="00753AF5">
        <w:rPr>
          <w:rFonts w:cstheme="minorHAnsi"/>
        </w:rPr>
        <w:t>The Government would like t</w:t>
      </w:r>
      <w:r w:rsidR="00AE6F85">
        <w:rPr>
          <w:rFonts w:cstheme="minorHAnsi"/>
        </w:rPr>
        <w:t>o</w:t>
      </w:r>
      <w:r w:rsidRPr="00753AF5">
        <w:rPr>
          <w:rFonts w:cstheme="minorHAnsi"/>
        </w:rPr>
        <w:t xml:space="preserve"> thank all those who contributed to the Review, with particular </w:t>
      </w:r>
      <w:r w:rsidRPr="00D501DB">
        <w:rPr>
          <w:rFonts w:cstheme="minorHAnsi"/>
        </w:rPr>
        <w:t xml:space="preserve">thanks </w:t>
      </w:r>
      <w:r w:rsidRPr="00D501DB">
        <w:rPr>
          <w:rFonts w:cstheme="minorHAnsi"/>
          <w:color w:val="000000"/>
        </w:rPr>
        <w:t>to the</w:t>
      </w:r>
      <w:r w:rsidR="00767141">
        <w:rPr>
          <w:rFonts w:cstheme="minorHAnsi"/>
          <w:color w:val="000000"/>
        </w:rPr>
        <w:t xml:space="preserve"> </w:t>
      </w:r>
      <w:r w:rsidRPr="00D501DB">
        <w:rPr>
          <w:rFonts w:cstheme="minorHAnsi"/>
          <w:color w:val="000000"/>
        </w:rPr>
        <w:t>Board</w:t>
      </w:r>
      <w:r>
        <w:rPr>
          <w:rFonts w:cstheme="minorHAnsi"/>
          <w:color w:val="000000"/>
        </w:rPr>
        <w:t xml:space="preserve"> </w:t>
      </w:r>
      <w:r w:rsidR="00217FC5">
        <w:rPr>
          <w:rFonts w:cstheme="minorHAnsi"/>
          <w:color w:val="000000"/>
        </w:rPr>
        <w:t xml:space="preserve">Deputy </w:t>
      </w:r>
      <w:r>
        <w:rPr>
          <w:rFonts w:cstheme="minorHAnsi"/>
          <w:color w:val="000000"/>
        </w:rPr>
        <w:t>Chair</w:t>
      </w:r>
      <w:r w:rsidRPr="00D501DB">
        <w:rPr>
          <w:rFonts w:cstheme="minorHAnsi"/>
          <w:color w:val="000000"/>
        </w:rPr>
        <w:t xml:space="preserve">, Professor Bronwyn Fredericks, and </w:t>
      </w:r>
      <w:r>
        <w:rPr>
          <w:rFonts w:cstheme="minorHAnsi"/>
          <w:color w:val="000000"/>
        </w:rPr>
        <w:t>B</w:t>
      </w:r>
      <w:r w:rsidRPr="00D501DB">
        <w:rPr>
          <w:rFonts w:cstheme="minorHAnsi"/>
          <w:color w:val="000000"/>
        </w:rPr>
        <w:t>oard members</w:t>
      </w:r>
      <w:r>
        <w:rPr>
          <w:rFonts w:cstheme="minorHAnsi"/>
          <w:color w:val="000000"/>
        </w:rPr>
        <w:t>,</w:t>
      </w:r>
      <w:r w:rsidRPr="00D501DB">
        <w:rPr>
          <w:rFonts w:cstheme="minorHAnsi"/>
          <w:color w:val="000000"/>
        </w:rPr>
        <w:t xml:space="preserve"> Professor</w:t>
      </w:r>
      <w:r>
        <w:rPr>
          <w:rFonts w:cstheme="minorHAnsi"/>
          <w:color w:val="000000"/>
        </w:rPr>
        <w:t> </w:t>
      </w:r>
      <w:r w:rsidRPr="00D501DB">
        <w:rPr>
          <w:rFonts w:cstheme="minorHAnsi"/>
          <w:color w:val="000000"/>
        </w:rPr>
        <w:t>Janet</w:t>
      </w:r>
      <w:r>
        <w:rPr>
          <w:rFonts w:cstheme="minorHAnsi"/>
          <w:color w:val="000000"/>
        </w:rPr>
        <w:t> </w:t>
      </w:r>
      <w:r w:rsidRPr="00D501DB">
        <w:rPr>
          <w:rFonts w:cstheme="minorHAnsi"/>
          <w:color w:val="000000"/>
        </w:rPr>
        <w:t xml:space="preserve">Clinton, Ms Valerie Gould, </w:t>
      </w:r>
      <w:r w:rsidR="00C634F3">
        <w:rPr>
          <w:rFonts w:cstheme="minorHAnsi"/>
          <w:color w:val="000000"/>
        </w:rPr>
        <w:t>Professor John Firth, P</w:t>
      </w:r>
      <w:r w:rsidRPr="00D501DB">
        <w:rPr>
          <w:rFonts w:cstheme="minorHAnsi"/>
          <w:color w:val="000000"/>
        </w:rPr>
        <w:t xml:space="preserve">rofessor </w:t>
      </w:r>
      <w:r w:rsidR="00C634F3">
        <w:rPr>
          <w:rFonts w:cstheme="minorHAnsi"/>
          <w:color w:val="000000"/>
        </w:rPr>
        <w:t xml:space="preserve">Lee Anne Perry AM, and </w:t>
      </w:r>
      <w:r w:rsidRPr="00D501DB">
        <w:rPr>
          <w:rFonts w:cstheme="minorHAnsi"/>
          <w:color w:val="000000"/>
        </w:rPr>
        <w:t>Professor</w:t>
      </w:r>
      <w:r>
        <w:rPr>
          <w:rFonts w:cstheme="minorHAnsi"/>
          <w:color w:val="000000"/>
        </w:rPr>
        <w:t> </w:t>
      </w:r>
      <w:r w:rsidRPr="00D501DB">
        <w:rPr>
          <w:rFonts w:cstheme="minorHAnsi"/>
          <w:color w:val="000000"/>
        </w:rPr>
        <w:t>Andrew</w:t>
      </w:r>
      <w:r>
        <w:rPr>
          <w:rFonts w:cstheme="minorHAnsi"/>
          <w:color w:val="000000"/>
        </w:rPr>
        <w:t> </w:t>
      </w:r>
      <w:r w:rsidRPr="00D501DB">
        <w:rPr>
          <w:rFonts w:cstheme="minorHAnsi"/>
          <w:color w:val="000000"/>
        </w:rPr>
        <w:t>Whitehouse</w:t>
      </w:r>
      <w:r w:rsidR="00C634F3">
        <w:rPr>
          <w:rFonts w:cstheme="minorHAnsi"/>
          <w:color w:val="000000"/>
        </w:rPr>
        <w:t>.</w:t>
      </w:r>
    </w:p>
    <w:sectPr w:rsidR="0017134D" w:rsidRPr="00A065A5" w:rsidSect="007B56E2">
      <w:footerReference w:type="default" r:id="rId14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E9005" w14:textId="77777777" w:rsidR="00A11E39" w:rsidRDefault="00A11E39" w:rsidP="000A6228">
      <w:pPr>
        <w:spacing w:after="0" w:line="240" w:lineRule="auto"/>
      </w:pPr>
      <w:r>
        <w:separator/>
      </w:r>
    </w:p>
  </w:endnote>
  <w:endnote w:type="continuationSeparator" w:id="0">
    <w:p w14:paraId="1E266CA5" w14:textId="77777777" w:rsidR="00A11E39" w:rsidRDefault="00A11E39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3D41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0894761" wp14:editId="7D841C2A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3F0A3" w14:textId="77777777" w:rsidR="00A11E39" w:rsidRDefault="00A11E39" w:rsidP="000A6228">
      <w:pPr>
        <w:spacing w:after="0" w:line="240" w:lineRule="auto"/>
      </w:pPr>
      <w:r>
        <w:separator/>
      </w:r>
    </w:p>
  </w:footnote>
  <w:footnote w:type="continuationSeparator" w:id="0">
    <w:p w14:paraId="5FF69696" w14:textId="77777777" w:rsidR="00A11E39" w:rsidRDefault="00A11E39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2AE6256"/>
    <w:multiLevelType w:val="multilevel"/>
    <w:tmpl w:val="8AAE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BC02278"/>
    <w:multiLevelType w:val="multilevel"/>
    <w:tmpl w:val="11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9EA2C72"/>
    <w:multiLevelType w:val="multilevel"/>
    <w:tmpl w:val="9678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7A13C2C"/>
    <w:multiLevelType w:val="multilevel"/>
    <w:tmpl w:val="5474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0803065">
    <w:abstractNumId w:val="12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5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4"/>
  </w:num>
  <w:num w:numId="10" w16cid:durableId="1599946406">
    <w:abstractNumId w:val="7"/>
  </w:num>
  <w:num w:numId="11" w16cid:durableId="714038629">
    <w:abstractNumId w:val="19"/>
  </w:num>
  <w:num w:numId="12" w16cid:durableId="1728914001">
    <w:abstractNumId w:val="11"/>
  </w:num>
  <w:num w:numId="13" w16cid:durableId="17856119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9"/>
  </w:num>
  <w:num w:numId="15" w16cid:durableId="268391646">
    <w:abstractNumId w:val="6"/>
  </w:num>
  <w:num w:numId="16" w16cid:durableId="1261833621">
    <w:abstractNumId w:val="20"/>
  </w:num>
  <w:num w:numId="17" w16cid:durableId="2029670193">
    <w:abstractNumId w:val="16"/>
  </w:num>
  <w:num w:numId="18" w16cid:durableId="887570554">
    <w:abstractNumId w:val="8"/>
  </w:num>
  <w:num w:numId="19" w16cid:durableId="147789394">
    <w:abstractNumId w:val="18"/>
  </w:num>
  <w:num w:numId="20" w16cid:durableId="1387755407">
    <w:abstractNumId w:val="13"/>
  </w:num>
  <w:num w:numId="21" w16cid:durableId="1669166046">
    <w:abstractNumId w:val="17"/>
  </w:num>
  <w:num w:numId="22" w16cid:durableId="1878814410">
    <w:abstractNumId w:val="21"/>
  </w:num>
  <w:num w:numId="23" w16cid:durableId="1507015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FB"/>
    <w:rsid w:val="00012366"/>
    <w:rsid w:val="00013BEA"/>
    <w:rsid w:val="00021FBE"/>
    <w:rsid w:val="00046DBD"/>
    <w:rsid w:val="000521D7"/>
    <w:rsid w:val="00055866"/>
    <w:rsid w:val="0007109A"/>
    <w:rsid w:val="000A0B58"/>
    <w:rsid w:val="000A6228"/>
    <w:rsid w:val="000B41EF"/>
    <w:rsid w:val="000B5D40"/>
    <w:rsid w:val="000B7EC6"/>
    <w:rsid w:val="000D33B1"/>
    <w:rsid w:val="000E43C2"/>
    <w:rsid w:val="00107D87"/>
    <w:rsid w:val="00107DD5"/>
    <w:rsid w:val="00121591"/>
    <w:rsid w:val="0012343A"/>
    <w:rsid w:val="00133B8D"/>
    <w:rsid w:val="0013611E"/>
    <w:rsid w:val="00147800"/>
    <w:rsid w:val="001515BF"/>
    <w:rsid w:val="00167BC2"/>
    <w:rsid w:val="0017134D"/>
    <w:rsid w:val="00181259"/>
    <w:rsid w:val="001C1523"/>
    <w:rsid w:val="001C21A5"/>
    <w:rsid w:val="001E1BBD"/>
    <w:rsid w:val="00217FC5"/>
    <w:rsid w:val="00221D8F"/>
    <w:rsid w:val="002272DB"/>
    <w:rsid w:val="00233A89"/>
    <w:rsid w:val="00234F82"/>
    <w:rsid w:val="00276047"/>
    <w:rsid w:val="00293E87"/>
    <w:rsid w:val="002A4458"/>
    <w:rsid w:val="002C5D0E"/>
    <w:rsid w:val="002D589A"/>
    <w:rsid w:val="002E491A"/>
    <w:rsid w:val="0030452F"/>
    <w:rsid w:val="00346855"/>
    <w:rsid w:val="00367979"/>
    <w:rsid w:val="003832D9"/>
    <w:rsid w:val="003B5F7C"/>
    <w:rsid w:val="003E5E4C"/>
    <w:rsid w:val="0040155D"/>
    <w:rsid w:val="004168CC"/>
    <w:rsid w:val="0041713E"/>
    <w:rsid w:val="00421D3F"/>
    <w:rsid w:val="00423785"/>
    <w:rsid w:val="00451A6E"/>
    <w:rsid w:val="00452D26"/>
    <w:rsid w:val="00471F90"/>
    <w:rsid w:val="004A06CD"/>
    <w:rsid w:val="004A4B6F"/>
    <w:rsid w:val="004A4CF9"/>
    <w:rsid w:val="004B67F8"/>
    <w:rsid w:val="004C58A7"/>
    <w:rsid w:val="004D2965"/>
    <w:rsid w:val="004D2D9D"/>
    <w:rsid w:val="005038D2"/>
    <w:rsid w:val="0051346B"/>
    <w:rsid w:val="005468A2"/>
    <w:rsid w:val="00555F31"/>
    <w:rsid w:val="00572042"/>
    <w:rsid w:val="005905BC"/>
    <w:rsid w:val="005A75C9"/>
    <w:rsid w:val="005B187D"/>
    <w:rsid w:val="005B5726"/>
    <w:rsid w:val="005F7C68"/>
    <w:rsid w:val="00601166"/>
    <w:rsid w:val="00614ABF"/>
    <w:rsid w:val="0061595A"/>
    <w:rsid w:val="006232DC"/>
    <w:rsid w:val="0063094F"/>
    <w:rsid w:val="00635A23"/>
    <w:rsid w:val="006418FB"/>
    <w:rsid w:val="006D67F3"/>
    <w:rsid w:val="006F1FFF"/>
    <w:rsid w:val="006F6D10"/>
    <w:rsid w:val="00712B94"/>
    <w:rsid w:val="00716F30"/>
    <w:rsid w:val="00762866"/>
    <w:rsid w:val="007663A1"/>
    <w:rsid w:val="00766EA1"/>
    <w:rsid w:val="00767141"/>
    <w:rsid w:val="00767B8F"/>
    <w:rsid w:val="007B2CA1"/>
    <w:rsid w:val="007B4F2B"/>
    <w:rsid w:val="007B56E2"/>
    <w:rsid w:val="007D0ABC"/>
    <w:rsid w:val="007F2A37"/>
    <w:rsid w:val="008042F5"/>
    <w:rsid w:val="008351A7"/>
    <w:rsid w:val="00843C4D"/>
    <w:rsid w:val="00872585"/>
    <w:rsid w:val="008726CF"/>
    <w:rsid w:val="00886959"/>
    <w:rsid w:val="00893A34"/>
    <w:rsid w:val="008A36E1"/>
    <w:rsid w:val="008A37A7"/>
    <w:rsid w:val="008B0736"/>
    <w:rsid w:val="008B1963"/>
    <w:rsid w:val="008E70F5"/>
    <w:rsid w:val="009316EA"/>
    <w:rsid w:val="00945A22"/>
    <w:rsid w:val="00950B06"/>
    <w:rsid w:val="00970069"/>
    <w:rsid w:val="0097018E"/>
    <w:rsid w:val="009721EB"/>
    <w:rsid w:val="00975E3C"/>
    <w:rsid w:val="00986C22"/>
    <w:rsid w:val="009A1326"/>
    <w:rsid w:val="009A28A9"/>
    <w:rsid w:val="009B5CF2"/>
    <w:rsid w:val="009B706E"/>
    <w:rsid w:val="009C423A"/>
    <w:rsid w:val="009E79ED"/>
    <w:rsid w:val="00A065A5"/>
    <w:rsid w:val="00A07596"/>
    <w:rsid w:val="00A11E39"/>
    <w:rsid w:val="00A17A08"/>
    <w:rsid w:val="00A25DFA"/>
    <w:rsid w:val="00A35139"/>
    <w:rsid w:val="00A60673"/>
    <w:rsid w:val="00A64D7D"/>
    <w:rsid w:val="00A70AED"/>
    <w:rsid w:val="00A72B7A"/>
    <w:rsid w:val="00AA003B"/>
    <w:rsid w:val="00AB5900"/>
    <w:rsid w:val="00AB6AB5"/>
    <w:rsid w:val="00AC1872"/>
    <w:rsid w:val="00AC56B3"/>
    <w:rsid w:val="00AD631F"/>
    <w:rsid w:val="00AE21FF"/>
    <w:rsid w:val="00AE6F85"/>
    <w:rsid w:val="00AF1F18"/>
    <w:rsid w:val="00B0726E"/>
    <w:rsid w:val="00B207C8"/>
    <w:rsid w:val="00B219D1"/>
    <w:rsid w:val="00B32947"/>
    <w:rsid w:val="00B7224C"/>
    <w:rsid w:val="00B81FA4"/>
    <w:rsid w:val="00B8794C"/>
    <w:rsid w:val="00B95EF4"/>
    <w:rsid w:val="00BB6509"/>
    <w:rsid w:val="00BC248C"/>
    <w:rsid w:val="00C01EC0"/>
    <w:rsid w:val="00C201DB"/>
    <w:rsid w:val="00C244EE"/>
    <w:rsid w:val="00C27175"/>
    <w:rsid w:val="00C37CB8"/>
    <w:rsid w:val="00C634F3"/>
    <w:rsid w:val="00C72224"/>
    <w:rsid w:val="00C75706"/>
    <w:rsid w:val="00CA4815"/>
    <w:rsid w:val="00CD2969"/>
    <w:rsid w:val="00CF5F21"/>
    <w:rsid w:val="00CF6562"/>
    <w:rsid w:val="00D1156E"/>
    <w:rsid w:val="00D11E03"/>
    <w:rsid w:val="00D32125"/>
    <w:rsid w:val="00D5688A"/>
    <w:rsid w:val="00D770F9"/>
    <w:rsid w:val="00D86284"/>
    <w:rsid w:val="00D91FD8"/>
    <w:rsid w:val="00DA315A"/>
    <w:rsid w:val="00DC5980"/>
    <w:rsid w:val="00DD2B46"/>
    <w:rsid w:val="00E03ED3"/>
    <w:rsid w:val="00E06ED6"/>
    <w:rsid w:val="00E27CE1"/>
    <w:rsid w:val="00E34724"/>
    <w:rsid w:val="00E529E5"/>
    <w:rsid w:val="00EB3F6D"/>
    <w:rsid w:val="00EB4C2F"/>
    <w:rsid w:val="00ED0DDF"/>
    <w:rsid w:val="00ED64CF"/>
    <w:rsid w:val="00F1000D"/>
    <w:rsid w:val="00F311A4"/>
    <w:rsid w:val="00F45E4C"/>
    <w:rsid w:val="00F75DF8"/>
    <w:rsid w:val="00F82C2C"/>
    <w:rsid w:val="00F85913"/>
    <w:rsid w:val="00F92DDA"/>
    <w:rsid w:val="00FB2E47"/>
    <w:rsid w:val="00FB3866"/>
    <w:rsid w:val="00FD4D6E"/>
    <w:rsid w:val="00FD6383"/>
    <w:rsid w:val="00FE308A"/>
    <w:rsid w:val="00FE3D90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0A2C8"/>
  <w15:chartTrackingRefBased/>
  <w15:docId w15:val="{72F6544C-CAE9-4FB2-8BAB-BD4B98D6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customStyle="1" w:styleId="paragraph">
    <w:name w:val="paragraph"/>
    <w:basedOn w:val="Normal"/>
    <w:rsid w:val="00451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451A6E"/>
  </w:style>
  <w:style w:type="character" w:customStyle="1" w:styleId="eop">
    <w:name w:val="eop"/>
    <w:basedOn w:val="DefaultParagraphFont"/>
    <w:rsid w:val="00451A6E"/>
  </w:style>
  <w:style w:type="paragraph" w:styleId="Revision">
    <w:name w:val="Revision"/>
    <w:hidden/>
    <w:uiPriority w:val="99"/>
    <w:semiHidden/>
    <w:rsid w:val="00046D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72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B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B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B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0617\Downloads\A4%20portrait%20fact%20sheet%20-%20dark%20(1).dotx" TargetMode="External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01C9C4D09768249BA20E07681DAC419" ma:contentTypeVersion="" ma:contentTypeDescription="PDMS Document Site Content Type" ma:contentTypeScope="" ma:versionID="0b86b9512f9453f02f103c24226f6096">
  <xsd:schema xmlns:xsd="http://www.w3.org/2001/XMLSchema" xmlns:xs="http://www.w3.org/2001/XMLSchema" xmlns:p="http://schemas.microsoft.com/office/2006/metadata/properties" xmlns:ns2="85BE0CA9-3FE5-4DB8-A344-3EDDF2D97C2E" targetNamespace="http://schemas.microsoft.com/office/2006/metadata/properties" ma:root="true" ma:fieldsID="baee44b5d391d70b73975a9a0fa88b9c" ns2:_="">
    <xsd:import namespace="85BE0CA9-3FE5-4DB8-A344-3EDDF2D97C2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E0CA9-3FE5-4DB8-A344-3EDDF2D97C2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5BE0CA9-3FE5-4DB8-A344-3EDDF2D97C2E" xsi:nil="true"/>
  </documentManagement>
</p:properties>
</file>

<file path=customXml/itemProps1.xml><?xml version="1.0" encoding="utf-8"?>
<ds:datastoreItem xmlns:ds="http://schemas.openxmlformats.org/officeDocument/2006/customXml" ds:itemID="{BD1C3C2E-A515-472E-882F-E756B5F9BD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46E50-31BB-4C27-AACE-F95DF8276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E0CA9-3FE5-4DB8-A344-3EDDF2D97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23D9E4-32DC-4084-B08A-28A0DE6BBCF8}">
  <ds:schemaRefs>
    <ds:schemaRef ds:uri="http://schemas.microsoft.com/office/2006/metadata/properties"/>
    <ds:schemaRef ds:uri="http://schemas.microsoft.com/office/infopath/2007/PartnerControls"/>
    <ds:schemaRef ds:uri="85BE0CA9-3FE5-4DB8-A344-3EDDF2D97C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fact sheet - dark (1)</Template>
  <TotalTime>4</TotalTime>
  <Pages>2</Pages>
  <Words>506</Words>
  <Characters>3006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 portrait fact sheet - dark</vt:lpstr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Response - NSRB s22A report for the 2023 funding year</dc:title>
  <dc:subject/>
  <dc:creator>MACKINDER,Jean</dc:creator>
  <cp:keywords/>
  <dc:description/>
  <cp:lastModifiedBy>TOOHEY,Karen</cp:lastModifiedBy>
  <cp:revision>4</cp:revision>
  <cp:lastPrinted>2025-10-09T00:37:00Z</cp:lastPrinted>
  <dcterms:created xsi:type="dcterms:W3CDTF">2025-10-08T04:50:00Z</dcterms:created>
  <dcterms:modified xsi:type="dcterms:W3CDTF">2025-10-09T00:37:00Z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0x010100266966F133664895A6EE3632470D45F500501C9C4D09768249BA20E07681DAC419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