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C9E1C" w14:textId="4231DD12" w:rsidR="007722A4" w:rsidRPr="00991062" w:rsidRDefault="007722A4" w:rsidP="00A7279D">
      <w:r>
        <w:rPr>
          <w:noProof/>
          <w:lang w:eastAsia="en-AU"/>
        </w:rPr>
        <w:drawing>
          <wp:anchor distT="0" distB="0" distL="114300" distR="114300" simplePos="0" relativeHeight="251658241" behindDoc="1" locked="1" layoutInCell="1" allowOverlap="1" wp14:anchorId="112B20B2" wp14:editId="37AE1737">
            <wp:simplePos x="0" y="0"/>
            <wp:positionH relativeFrom="page">
              <wp:align>left</wp:align>
            </wp:positionH>
            <wp:positionV relativeFrom="page">
              <wp:posOffset>34925</wp:posOffset>
            </wp:positionV>
            <wp:extent cx="7545070" cy="1066990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5070" cy="10669905"/>
                    </a:xfrm>
                    <a:prstGeom prst="rect">
                      <a:avLst/>
                    </a:prstGeom>
                  </pic:spPr>
                </pic:pic>
              </a:graphicData>
            </a:graphic>
            <wp14:sizeRelH relativeFrom="page">
              <wp14:pctWidth>0</wp14:pctWidth>
            </wp14:sizeRelH>
            <wp14:sizeRelV relativeFrom="page">
              <wp14:pctHeight>0</wp14:pctHeight>
            </wp14:sizeRelV>
          </wp:anchor>
        </w:drawing>
      </w:r>
      <w:r w:rsidR="00292AD0">
        <w:softHyphen/>
      </w:r>
      <w:r w:rsidRPr="00991062">
        <w:rPr>
          <w:noProof/>
          <w:lang w:eastAsia="en-AU"/>
        </w:rPr>
        <w:drawing>
          <wp:inline distT="0" distB="0" distL="0" distR="0" wp14:anchorId="01D17A1E" wp14:editId="2CBD62A3">
            <wp:extent cx="2280920" cy="574040"/>
            <wp:effectExtent l="0" t="0" r="508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280920" cy="574040"/>
                    </a:xfrm>
                    <a:prstGeom prst="rect">
                      <a:avLst/>
                    </a:prstGeom>
                  </pic:spPr>
                </pic:pic>
              </a:graphicData>
            </a:graphic>
          </wp:inline>
        </w:drawing>
      </w:r>
    </w:p>
    <w:bookmarkStart w:id="0" w:name="_Toc160180286"/>
    <w:bookmarkStart w:id="1" w:name="_Toc160634354"/>
    <w:bookmarkStart w:id="2" w:name="_Toc160634401"/>
    <w:bookmarkStart w:id="3" w:name="_Toc161909355"/>
    <w:bookmarkStart w:id="4" w:name="_Toc184816193"/>
    <w:bookmarkStart w:id="5" w:name="_Toc188365463"/>
    <w:bookmarkStart w:id="6" w:name="_Toc190164405"/>
    <w:bookmarkStart w:id="7" w:name="_Toc190442393"/>
    <w:bookmarkStart w:id="8" w:name="_Toc200636909"/>
    <w:bookmarkStart w:id="9" w:name="_Toc210306593"/>
    <w:bookmarkStart w:id="10" w:name="_Toc210317419"/>
    <w:bookmarkStart w:id="11" w:name="_Toc210815573"/>
    <w:p w14:paraId="00C9B20E" w14:textId="22BDDD5A" w:rsidR="00E6206E" w:rsidRDefault="00A96180" w:rsidP="421ADA8C">
      <w:pPr>
        <w:pStyle w:val="Title"/>
        <w:rPr>
          <w:rStyle w:val="Subtitle-White"/>
        </w:rPr>
      </w:pPr>
      <w:r>
        <w:rPr>
          <w:noProof/>
          <w:lang w:eastAsia="en-AU"/>
        </w:rPr>
        <mc:AlternateContent>
          <mc:Choice Requires="wps">
            <w:drawing>
              <wp:anchor distT="0" distB="0" distL="114300" distR="114300" simplePos="0" relativeHeight="251658240" behindDoc="0" locked="0" layoutInCell="1" allowOverlap="1" wp14:anchorId="170F3709" wp14:editId="30C51FD6">
                <wp:simplePos x="0" y="0"/>
                <wp:positionH relativeFrom="margin">
                  <wp:posOffset>1607820</wp:posOffset>
                </wp:positionH>
                <wp:positionV relativeFrom="paragraph">
                  <wp:posOffset>1720660</wp:posOffset>
                </wp:positionV>
                <wp:extent cx="4512310" cy="0"/>
                <wp:effectExtent l="0" t="0" r="0" b="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512310" cy="0"/>
                        </a:xfrm>
                        <a:prstGeom prst="line">
                          <a:avLst/>
                        </a:prstGeom>
                        <a:ln>
                          <a:solidFill>
                            <a:srgbClr val="32375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xmlns:a16="http://schemas.microsoft.com/office/drawing/2014/main" xmlns:c="http://schemas.openxmlformats.org/drawingml/2006/chart" xmlns:arto="http://schemas.microsoft.com/office/word/2006/arto">
            <w:pict w14:anchorId="657ED1C7">
              <v:line id="Straight Connector 19" style="position:absolute;flip:x;z-index:251658240;visibility:visible;mso-wrap-style:square;mso-wrap-distance-left:9pt;mso-wrap-distance-top:0;mso-wrap-distance-right:9pt;mso-wrap-distance-bottom:0;mso-position-horizontal:absolute;mso-position-horizontal-relative:margin;mso-position-vertical:absolute;mso-position-vertical-relative:text" alt="&quot;&quot;" o:spid="_x0000_s1026" strokecolor="#32375d" strokeweight="1pt" from="126.6pt,135.5pt" to="481.9pt,135.5pt" w14:anchorId="268CC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nmYxAEAAN8DAAAOAAAAZHJzL2Uyb0RvYy54bWysU01v1DAQvSPxHyzfWSdZClW02R66Kj0g&#10;qGj5AV5nvLHkL9lmk/33jJ3dtIIKJMTFytjz3sx7M9ncTEaTI4SonO1ovaooAStcr+yho9+f7t5d&#10;UxITtz3XzkJHTxDpzfbtm83oW2jc4HQPgSCJje3oOzqk5FvGohjA8LhyHiw+ShcMTxiGA+sDH5Hd&#10;aNZU1Qc2utD74ATEiLe7+ZFuC7+UINJXKSMkojuKvaVyhnLu88m2G94eAveDEuc2+D90YbiyWHSh&#10;2vHEyY+gfqMySgQXnUwr4QxzUioBRQOqqatf1DwO3EPRguZEv9gU/x+t+HK8tQ8BbRh9bKN/CFnF&#10;JIMhUit/jzMturBTMhXbTottMCUi8PL9Vd2sa3RXXN7YTJGpfIjpEzhD8kdHtbJZEW/58XNMWBZT&#10;Lyn5Wtt8RqdVf6e0LkE47G91IEeOM1w3649Xuzw2BL5IwyhD2bOK8pVOGmbabyCJ6rHbppQvCwYL&#10;LRcCbKrPvNpidoZJbGEBVn8HnvMzFMryLeDZxT9WXRClsrNpARtlXXitepouLcs5/+LArDtbsHf9&#10;qcy3WINbVJw7b3xe05dxgT//l9ufAAAA//8DAFBLAwQUAAYACAAAACEAKbRY+uEAAAALAQAADwAA&#10;AGRycy9kb3ducmV2LnhtbEyPQUsDMRCF74L/IYzgRWy2W2zrutlSFEG8FNce2lu6STeLyWTZZNv4&#10;7x2hoLeZeY833ytXyVl20kPoPAqYTjJgGhuvOmwFbD9f75fAQpSopPWoBXzrAKvq+qqUhfJn/NCn&#10;OraMQjAUUoCJsS84D43RToaJ7zWSdvSDk5HWoeVqkGcKd5bnWTbnTnZIH4zs9bPRzVc9OgGLcePu&#10;zNu2fT+u671NZrd5STshbm/S+glY1Cn+meEXn9ChIqaDH1EFZgXkD7OcrDQsplSKHI/zGZU5XC68&#10;Kvn/DtUPAAAA//8DAFBLAQItABQABgAIAAAAIQC2gziS/gAAAOEBAAATAAAAAAAAAAAAAAAAAAAA&#10;AABbQ29udGVudF9UeXBlc10ueG1sUEsBAi0AFAAGAAgAAAAhADj9If/WAAAAlAEAAAsAAAAAAAAA&#10;AAAAAAAALwEAAF9yZWxzLy5yZWxzUEsBAi0AFAAGAAgAAAAhAIa+eZjEAQAA3wMAAA4AAAAAAAAA&#10;AAAAAAAALgIAAGRycy9lMm9Eb2MueG1sUEsBAi0AFAAGAAgAAAAhACm0WPrhAAAACwEAAA8AAAAA&#10;AAAAAAAAAAAAHgQAAGRycy9kb3ducmV2LnhtbFBLBQYAAAAABAAEAPMAAAAsBQAAAAA=&#10;">
                <v:stroke joinstyle="miter"/>
                <w10:wrap anchorx="margin"/>
              </v:line>
            </w:pict>
          </mc:Fallback>
        </mc:AlternateContent>
      </w:r>
      <w:r w:rsidR="007722A4" w:rsidRPr="0035553C">
        <w:t>National School Resourcin</w:t>
      </w:r>
      <w:r w:rsidR="007722A4" w:rsidRPr="000936DC">
        <w:rPr>
          <w:color w:val="32375D"/>
        </w:rPr>
        <w:t xml:space="preserve">g </w:t>
      </w:r>
      <w:r w:rsidR="007722A4" w:rsidRPr="00A96180">
        <w:t>Board</w:t>
      </w:r>
      <w:r w:rsidR="00E921FD">
        <w:br/>
      </w:r>
      <w:r w:rsidRPr="00A96180">
        <w:rPr>
          <w:rStyle w:val="Subtitle-SmallSpace"/>
        </w:rPr>
        <w:t>,</w:t>
      </w:r>
      <w:r w:rsidRPr="00A96180">
        <w:rPr>
          <w:rStyle w:val="Subtitle-Blue"/>
        </w:rPr>
        <w:br/>
      </w:r>
      <w:r w:rsidR="0035553C" w:rsidRPr="0035553C">
        <w:rPr>
          <w:rStyle w:val="Subtitle-Blue"/>
        </w:rPr>
        <w:t xml:space="preserve">Annual review of state and territory </w:t>
      </w:r>
      <w:r w:rsidR="0035553C" w:rsidRPr="000936DC">
        <w:rPr>
          <w:rStyle w:val="Subtitle-Blue"/>
        </w:rPr>
        <w:t>compliance</w:t>
      </w:r>
      <w:r w:rsidR="0035553C" w:rsidRPr="0035553C">
        <w:rPr>
          <w:rStyle w:val="Subtitle-Blue"/>
        </w:rPr>
        <w:t xml:space="preserve"> </w:t>
      </w:r>
      <w:r w:rsidR="0035553C" w:rsidRPr="00A96180">
        <w:rPr>
          <w:rStyle w:val="Subtitle-Blue"/>
        </w:rPr>
        <w:t xml:space="preserve">with </w:t>
      </w:r>
      <w:r w:rsidR="0035553C" w:rsidRPr="00A96180">
        <w:rPr>
          <w:rStyle w:val="Subtitle-Blue"/>
        </w:rPr>
        <w:br/>
      </w:r>
      <w:r w:rsidR="0035553C" w:rsidRPr="0035553C">
        <w:rPr>
          <w:rStyle w:val="Subtitle-Blue"/>
        </w:rPr>
        <w:t xml:space="preserve">section 22A of the </w:t>
      </w:r>
      <w:r w:rsidR="0035553C" w:rsidRPr="000936DC">
        <w:rPr>
          <w:rStyle w:val="Subtitle-BlueItalic"/>
        </w:rPr>
        <w:t>Australian Education Act 2013</w:t>
      </w:r>
      <w:bookmarkEnd w:id="0"/>
      <w:bookmarkEnd w:id="1"/>
      <w:bookmarkEnd w:id="2"/>
      <w:bookmarkEnd w:id="3"/>
      <w:bookmarkEnd w:id="4"/>
      <w:bookmarkEnd w:id="5"/>
      <w:bookmarkEnd w:id="6"/>
      <w:bookmarkEnd w:id="7"/>
      <w:bookmarkEnd w:id="8"/>
      <w:bookmarkEnd w:id="9"/>
      <w:bookmarkEnd w:id="10"/>
      <w:bookmarkEnd w:id="11"/>
      <w:r>
        <w:br/>
      </w:r>
      <w:r>
        <w:br/>
      </w:r>
    </w:p>
    <w:p w14:paraId="7796D837" w14:textId="77777777" w:rsidR="00E6206E" w:rsidRDefault="00E6206E" w:rsidP="00C54C5D">
      <w:pPr>
        <w:pStyle w:val="Title"/>
        <w:rPr>
          <w:rStyle w:val="Subtitle-WhiteBold"/>
        </w:rPr>
      </w:pPr>
    </w:p>
    <w:p w14:paraId="01185B28" w14:textId="77777777" w:rsidR="00E6206E" w:rsidRDefault="00E6206E" w:rsidP="00C54C5D">
      <w:pPr>
        <w:pStyle w:val="Title"/>
        <w:rPr>
          <w:rStyle w:val="Subtitle-WhiteBold"/>
        </w:rPr>
      </w:pPr>
    </w:p>
    <w:p w14:paraId="73BA7996" w14:textId="77777777" w:rsidR="00E6206E" w:rsidRDefault="00E6206E" w:rsidP="00C54C5D">
      <w:pPr>
        <w:pStyle w:val="Title"/>
        <w:rPr>
          <w:rStyle w:val="Subtitle-WhiteBold"/>
        </w:rPr>
      </w:pPr>
    </w:p>
    <w:p w14:paraId="09A72FBE" w14:textId="77777777" w:rsidR="00E6206E" w:rsidRDefault="00E6206E" w:rsidP="00C54C5D">
      <w:pPr>
        <w:pStyle w:val="Title"/>
        <w:rPr>
          <w:rStyle w:val="Subtitle-WhiteBold"/>
        </w:rPr>
      </w:pPr>
    </w:p>
    <w:p w14:paraId="29547A82" w14:textId="77777777" w:rsidR="00E6206E" w:rsidRDefault="00E6206E" w:rsidP="00C54C5D">
      <w:pPr>
        <w:pStyle w:val="Title"/>
        <w:rPr>
          <w:rStyle w:val="Subtitle-WhiteBold"/>
        </w:rPr>
      </w:pPr>
    </w:p>
    <w:p w14:paraId="18A1568F" w14:textId="77777777" w:rsidR="00E6206E" w:rsidRDefault="00E6206E" w:rsidP="00C54C5D">
      <w:pPr>
        <w:pStyle w:val="Title"/>
        <w:rPr>
          <w:rStyle w:val="Subtitle-WhiteBold"/>
        </w:rPr>
      </w:pPr>
    </w:p>
    <w:p w14:paraId="26BB9171" w14:textId="77777777" w:rsidR="00E6206E" w:rsidRDefault="00E6206E" w:rsidP="00C54C5D">
      <w:pPr>
        <w:pStyle w:val="Title"/>
        <w:rPr>
          <w:rStyle w:val="Subtitle-WhiteBold"/>
        </w:rPr>
      </w:pPr>
    </w:p>
    <w:p w14:paraId="6F597329" w14:textId="77777777" w:rsidR="00E6206E" w:rsidRDefault="00E6206E" w:rsidP="00C54C5D">
      <w:pPr>
        <w:pStyle w:val="Title"/>
        <w:rPr>
          <w:rStyle w:val="Subtitle-WhiteBold"/>
        </w:rPr>
      </w:pPr>
    </w:p>
    <w:p w14:paraId="09230549" w14:textId="77777777" w:rsidR="00E6206E" w:rsidRDefault="00E6206E" w:rsidP="00C54C5D">
      <w:pPr>
        <w:pStyle w:val="Title"/>
        <w:rPr>
          <w:rStyle w:val="Subtitle-WhiteBold"/>
        </w:rPr>
      </w:pPr>
    </w:p>
    <w:p w14:paraId="36311790" w14:textId="77777777" w:rsidR="00E6206E" w:rsidRDefault="00E6206E" w:rsidP="00C54C5D">
      <w:pPr>
        <w:pStyle w:val="Title"/>
        <w:rPr>
          <w:rStyle w:val="Subtitle-WhiteBold"/>
        </w:rPr>
      </w:pPr>
    </w:p>
    <w:p w14:paraId="029A7AF2" w14:textId="600AE746" w:rsidR="00E6206E" w:rsidRPr="00F62CAE" w:rsidRDefault="00F62CAE" w:rsidP="00F62CAE">
      <w:pPr>
        <w:pStyle w:val="Title"/>
        <w:spacing w:before="1800"/>
        <w:rPr>
          <w:rStyle w:val="Subtitle-WhiteBold"/>
          <w:color w:val="FF0000"/>
        </w:rPr>
      </w:pPr>
      <w:bookmarkStart w:id="12" w:name="_Toc160180287"/>
      <w:bookmarkStart w:id="13" w:name="_Toc160634355"/>
      <w:bookmarkStart w:id="14" w:name="_Toc160634402"/>
      <w:bookmarkStart w:id="15" w:name="_Toc161909356"/>
      <w:bookmarkStart w:id="16" w:name="_Toc184816194"/>
      <w:bookmarkStart w:id="17" w:name="_Toc188365464"/>
      <w:bookmarkStart w:id="18" w:name="_Toc190164406"/>
      <w:bookmarkStart w:id="19" w:name="_Toc190442394"/>
      <w:bookmarkStart w:id="20" w:name="_Toc200636910"/>
      <w:bookmarkStart w:id="21" w:name="_Toc210306594"/>
      <w:bookmarkStart w:id="22" w:name="_Toc210317420"/>
      <w:bookmarkStart w:id="23" w:name="_Toc210815574"/>
      <w:r w:rsidRPr="6EFF90B0">
        <w:rPr>
          <w:rStyle w:val="Subtitle-WhiteBold"/>
        </w:rPr>
        <w:t>2023</w:t>
      </w:r>
      <w:r w:rsidRPr="6EFF90B0">
        <w:rPr>
          <w:rStyle w:val="Subtitle-White"/>
        </w:rPr>
        <w:t xml:space="preserve"> funding year</w:t>
      </w:r>
      <w:bookmarkEnd w:id="12"/>
      <w:bookmarkEnd w:id="13"/>
      <w:bookmarkEnd w:id="14"/>
      <w:bookmarkEnd w:id="15"/>
      <w:bookmarkEnd w:id="16"/>
      <w:bookmarkEnd w:id="17"/>
      <w:bookmarkEnd w:id="18"/>
      <w:bookmarkEnd w:id="19"/>
      <w:bookmarkEnd w:id="20"/>
      <w:bookmarkEnd w:id="21"/>
      <w:bookmarkEnd w:id="22"/>
      <w:bookmarkEnd w:id="23"/>
    </w:p>
    <w:p w14:paraId="5A9A46C7" w14:textId="2DC034E6" w:rsidR="007722A4" w:rsidRPr="00F62CAE" w:rsidRDefault="00A87EAF" w:rsidP="002F73B2">
      <w:pPr>
        <w:pStyle w:val="Title"/>
        <w:spacing w:before="1300"/>
        <w:rPr>
          <w:rStyle w:val="Subtitle-White"/>
          <w:color w:val="FF0000"/>
        </w:rPr>
      </w:pPr>
      <w:r w:rsidRPr="00F62CAE">
        <w:rPr>
          <w:rStyle w:val="Subtitle-White"/>
          <w:color w:val="FF0000"/>
        </w:rPr>
        <w:tab/>
      </w:r>
    </w:p>
    <w:p w14:paraId="11CC9D52" w14:textId="77777777" w:rsidR="007722A4" w:rsidRPr="00F62CAE" w:rsidRDefault="007722A4" w:rsidP="007722A4">
      <w:pPr>
        <w:rPr>
          <w:color w:val="FF0000"/>
        </w:rPr>
        <w:sectPr w:rsidR="007722A4" w:rsidRPr="00F62CAE" w:rsidSect="0035553C">
          <w:footerReference w:type="even" r:id="rId13"/>
          <w:footerReference w:type="default" r:id="rId14"/>
          <w:type w:val="continuous"/>
          <w:pgSz w:w="11906" w:h="16838"/>
          <w:pgMar w:top="1134" w:right="1134" w:bottom="1134" w:left="1134" w:header="709" w:footer="709" w:gutter="0"/>
          <w:cols w:space="708"/>
          <w:titlePg/>
          <w:docGrid w:linePitch="360"/>
        </w:sectPr>
      </w:pPr>
    </w:p>
    <w:p w14:paraId="71BC08A9" w14:textId="00D71B7A" w:rsidR="00042C0F" w:rsidRPr="00AB1983" w:rsidRDefault="00042C0F" w:rsidP="00AB1983">
      <w:pPr>
        <w:pStyle w:val="Normal-SingleParaSpacing"/>
        <w:rPr>
          <w:b/>
          <w:bCs/>
        </w:rPr>
      </w:pPr>
      <w:r w:rsidRPr="00AB1983">
        <w:rPr>
          <w:b/>
          <w:bCs/>
        </w:rPr>
        <w:lastRenderedPageBreak/>
        <w:t>Board</w:t>
      </w:r>
      <w:r w:rsidR="00480F76" w:rsidRPr="00AB1983">
        <w:rPr>
          <w:b/>
          <w:bCs/>
        </w:rPr>
        <w:t> </w:t>
      </w:r>
      <w:r w:rsidRPr="00AB1983">
        <w:rPr>
          <w:b/>
          <w:bCs/>
        </w:rPr>
        <w:t>members</w:t>
      </w:r>
    </w:p>
    <w:p w14:paraId="1D00F468" w14:textId="67DC65F7" w:rsidR="0011702E" w:rsidRDefault="00BE7CC2" w:rsidP="00411B6B">
      <w:pPr>
        <w:pStyle w:val="Normal-AfterTableFigure"/>
      </w:pPr>
      <w:r>
        <w:t xml:space="preserve">Professor Bronwyn Fredericks </w:t>
      </w:r>
      <w:r w:rsidR="00C77BE2">
        <w:t>(</w:t>
      </w:r>
      <w:r w:rsidR="009405EE">
        <w:t xml:space="preserve">Deputy </w:t>
      </w:r>
      <w:r>
        <w:t>Chair)</w:t>
      </w:r>
      <w:r>
        <w:br/>
        <w:t>Professor Janet Clinton</w:t>
      </w:r>
      <w:r>
        <w:br/>
        <w:t>Ms Valerie Gould</w:t>
      </w:r>
      <w:r>
        <w:br/>
      </w:r>
      <w:r w:rsidR="00F27367">
        <w:t>Professor John Firth</w:t>
      </w:r>
      <w:r>
        <w:br/>
      </w:r>
      <w:r w:rsidR="00E05BB6">
        <w:t xml:space="preserve">Professor Lee Anne Perry AM </w:t>
      </w:r>
      <w:r w:rsidR="00E05BB6">
        <w:br/>
      </w:r>
      <w:r w:rsidR="00F27367">
        <w:t>Professor Andrew Whitehouse</w:t>
      </w:r>
      <w:r>
        <w:br/>
      </w:r>
    </w:p>
    <w:p w14:paraId="3C9EE8EB" w14:textId="0D40AD38" w:rsidR="006779CC" w:rsidRPr="00484A44" w:rsidRDefault="006779CC" w:rsidP="004D4968">
      <w:pPr>
        <w:pStyle w:val="BoardMembers"/>
        <w:spacing w:after="480"/>
      </w:pPr>
      <w:r w:rsidRPr="00EE26A5">
        <w:rPr>
          <w:sz w:val="20"/>
          <w:szCs w:val="20"/>
        </w:rPr>
        <w:t xml:space="preserve">Annual review of state and territory compliance with section 22A of the </w:t>
      </w:r>
      <w:r w:rsidRPr="00EE26A5">
        <w:rPr>
          <w:i/>
          <w:sz w:val="20"/>
          <w:szCs w:val="20"/>
        </w:rPr>
        <w:t>Australian Education Act 2013</w:t>
      </w:r>
      <w:r w:rsidRPr="00EE26A5">
        <w:rPr>
          <w:sz w:val="20"/>
          <w:szCs w:val="20"/>
        </w:rPr>
        <w:t> </w:t>
      </w:r>
      <w:r w:rsidRPr="0084647A">
        <w:br/>
        <w:t xml:space="preserve">© </w:t>
      </w:r>
      <w:r w:rsidRPr="0062459E">
        <w:t xml:space="preserve">Commonwealth of Australia </w:t>
      </w:r>
      <w:r w:rsidR="000801C6" w:rsidRPr="0062459E">
        <w:t>202</w:t>
      </w:r>
      <w:r w:rsidR="0011702E">
        <w:t>5</w:t>
      </w:r>
    </w:p>
    <w:p w14:paraId="375A4129" w14:textId="6EE6E072" w:rsidR="006779CC" w:rsidRPr="00484A44" w:rsidRDefault="00803AB5" w:rsidP="004D4968">
      <w:pPr>
        <w:autoSpaceDE w:val="0"/>
        <w:autoSpaceDN w:val="0"/>
        <w:spacing w:before="0" w:after="0"/>
      </w:pPr>
      <w:r w:rsidRPr="2D93CE81">
        <w:rPr>
          <w:b/>
          <w:color w:val="000000" w:themeColor="text1"/>
          <w:lang w:eastAsia="en-AU"/>
        </w:rPr>
        <w:t>ISSN 2652-</w:t>
      </w:r>
      <w:r w:rsidR="0076356A" w:rsidRPr="2D93CE81">
        <w:rPr>
          <w:b/>
          <w:color w:val="000000" w:themeColor="text1"/>
          <w:lang w:eastAsia="en-AU"/>
        </w:rPr>
        <w:t>5887</w:t>
      </w:r>
      <w:r w:rsidR="0076356A" w:rsidRPr="00484A44">
        <w:t xml:space="preserve"> [</w:t>
      </w:r>
      <w:r w:rsidR="006779CC" w:rsidRPr="00484A44">
        <w:t xml:space="preserve">PRINT] </w:t>
      </w:r>
      <w:r w:rsidR="006779CC" w:rsidRPr="00125156">
        <w:t xml:space="preserve">Annual review of state and territory compliance with section 22A of the </w:t>
      </w:r>
      <w:r w:rsidR="006779CC" w:rsidRPr="004F73E2">
        <w:rPr>
          <w:rStyle w:val="Emphasis"/>
        </w:rPr>
        <w:t>Australian Education Act 2013 </w:t>
      </w:r>
      <w:r w:rsidR="006779CC" w:rsidRPr="00484A44">
        <w:br/>
      </w:r>
      <w:r w:rsidRPr="2D93CE81">
        <w:rPr>
          <w:b/>
          <w:color w:val="000000" w:themeColor="text1"/>
          <w:lang w:eastAsia="en-AU"/>
        </w:rPr>
        <w:t>ISSN 2652-5895</w:t>
      </w:r>
      <w:r w:rsidR="006779CC" w:rsidRPr="00484A44">
        <w:t xml:space="preserve"> [PDF]</w:t>
      </w:r>
      <w:r w:rsidR="006779CC">
        <w:t xml:space="preserve"> </w:t>
      </w:r>
      <w:r w:rsidR="006779CC" w:rsidRPr="00125156">
        <w:t xml:space="preserve">Annual review of state and territory compliance with section 22A of the </w:t>
      </w:r>
      <w:r w:rsidR="006779CC" w:rsidRPr="004F73E2">
        <w:rPr>
          <w:rStyle w:val="Emphasis"/>
        </w:rPr>
        <w:t>Australian Education Act 201</w:t>
      </w:r>
      <w:r w:rsidR="006779CC" w:rsidRPr="00B976D8">
        <w:rPr>
          <w:i/>
        </w:rPr>
        <w:t>3</w:t>
      </w:r>
      <w:r w:rsidR="006779CC" w:rsidRPr="00125156">
        <w:t> </w:t>
      </w:r>
      <w:r w:rsidR="006779CC" w:rsidRPr="00484A44">
        <w:br/>
      </w:r>
      <w:r w:rsidRPr="2D93CE81">
        <w:rPr>
          <w:b/>
          <w:color w:val="000000" w:themeColor="text1"/>
          <w:lang w:eastAsia="en-AU"/>
        </w:rPr>
        <w:t>ISSN 2652-5895</w:t>
      </w:r>
      <w:r w:rsidR="006779CC" w:rsidRPr="00484A44">
        <w:t> [DOCX]</w:t>
      </w:r>
      <w:r w:rsidR="006779CC">
        <w:t xml:space="preserve"> </w:t>
      </w:r>
      <w:r w:rsidR="006779CC" w:rsidRPr="00125156">
        <w:t xml:space="preserve">Annual review of state and territory compliance with section 22A of the </w:t>
      </w:r>
      <w:r w:rsidR="006779CC" w:rsidRPr="004F73E2">
        <w:rPr>
          <w:rStyle w:val="Emphasis"/>
        </w:rPr>
        <w:t>Australian Education Act 2013</w:t>
      </w:r>
      <w:r w:rsidR="006779CC" w:rsidRPr="00125156">
        <w:t> </w:t>
      </w:r>
    </w:p>
    <w:p w14:paraId="1C8287CE" w14:textId="77777777" w:rsidR="007722A4" w:rsidRDefault="007722A4" w:rsidP="007722A4">
      <w:r>
        <w:rPr>
          <w:noProof/>
          <w:lang w:eastAsia="en-AU"/>
        </w:rPr>
        <w:drawing>
          <wp:inline distT="0" distB="0" distL="0" distR="0" wp14:anchorId="6828330F" wp14:editId="693BC42D">
            <wp:extent cx="847725" cy="285750"/>
            <wp:effectExtent l="0" t="0" r="9525" b="0"/>
            <wp:docPr id="5" name="Picture 5"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56A0AF5E" w14:textId="1247025D" w:rsidR="006779CC" w:rsidRPr="00484A44" w:rsidRDefault="08CC78E7" w:rsidP="421ADA8C">
      <w:pPr>
        <w:pStyle w:val="Copyright"/>
      </w:pPr>
      <w:proofErr w:type="gramStart"/>
      <w:r w:rsidRPr="3A93DC59">
        <w:t>With the exception of</w:t>
      </w:r>
      <w:proofErr w:type="gramEnd"/>
      <w:r w:rsidRPr="3A93DC59">
        <w:t xml:space="preserve"> the Commonwealth Coat of Arms, the department's logo, any material protected by a </w:t>
      </w:r>
      <w:r w:rsidR="0A1966F6" w:rsidRPr="3A93DC59">
        <w:t>trademark</w:t>
      </w:r>
      <w:r w:rsidRPr="3A93DC59">
        <w:t xml:space="preserve"> and where otherwise noted, all material presented in this document is provided under a Creative Commons Attribution 4.0 International licence.</w:t>
      </w:r>
    </w:p>
    <w:p w14:paraId="6D749890" w14:textId="402CD1F3" w:rsidR="006779CC" w:rsidRPr="00484A44" w:rsidRDefault="006779CC" w:rsidP="006779CC">
      <w:pPr>
        <w:pStyle w:val="Copyright"/>
      </w:pPr>
      <w:r>
        <w:t>The details of the relevant licence conditions are available on the Creative Commons website (</w:t>
      </w:r>
      <w:hyperlink r:id="rId17">
        <w:r w:rsidRPr="1AEC6B10">
          <w:rPr>
            <w:rStyle w:val="Hyperlink"/>
          </w:rPr>
          <w:t>https://creativecommons.Org/licenses/by/4.0/</w:t>
        </w:r>
      </w:hyperlink>
      <w:r>
        <w:t>) as is the full legal code (</w:t>
      </w:r>
      <w:hyperlink r:id="rId18">
        <w:r w:rsidRPr="1AEC6B10">
          <w:rPr>
            <w:rStyle w:val="Hyperlink"/>
          </w:rPr>
          <w:t>https://creativecommons.org/licenses/by/4.0/legalcode</w:t>
        </w:r>
      </w:hyperlink>
      <w:r>
        <w:t>)</w:t>
      </w:r>
    </w:p>
    <w:p w14:paraId="2D0DD056" w14:textId="77777777" w:rsidR="006779CC" w:rsidRPr="00484A44" w:rsidRDefault="08CC78E7" w:rsidP="421ADA8C">
      <w:pPr>
        <w:pStyle w:val="Copyright"/>
      </w:pPr>
      <w:r w:rsidRPr="3A93DC59">
        <w:t>As far as practicable, material for which the copyright is owned by a third party will be clearly labelled. The National School Resourcing Board has made all reasonable efforts to ensure that this material has been reproduced in this document with the full consent of the copyright owners.</w:t>
      </w:r>
    </w:p>
    <w:p w14:paraId="05FE4F2F" w14:textId="77777777" w:rsidR="006779CC" w:rsidRPr="00484A44" w:rsidRDefault="006779CC" w:rsidP="006779CC">
      <w:pPr>
        <w:pStyle w:val="Copyright"/>
      </w:pPr>
      <w:r w:rsidRPr="00484A44">
        <w:t>Copyright requests and enquiries concerning further authorisation should be addressed to:</w:t>
      </w:r>
    </w:p>
    <w:p w14:paraId="08306CAF" w14:textId="27143763" w:rsidR="006779CC" w:rsidRPr="00484A44" w:rsidRDefault="006779CC" w:rsidP="00B853CE">
      <w:pPr>
        <w:pStyle w:val="Copyright-Indent"/>
        <w:ind w:left="0"/>
      </w:pPr>
      <w:r w:rsidRPr="00D352E8">
        <w:t>The Copyright Officer</w:t>
      </w:r>
      <w:r w:rsidR="0036723A">
        <w:br/>
      </w:r>
      <w:r w:rsidRPr="00D352E8">
        <w:t>Department of Education</w:t>
      </w:r>
      <w:r w:rsidR="00B06B19" w:rsidRPr="00D352E8">
        <w:t xml:space="preserve"> </w:t>
      </w:r>
      <w:r w:rsidRPr="00D352E8">
        <w:br/>
        <w:t xml:space="preserve">GPO Box 9880 Canberra ACT 2601 </w:t>
      </w:r>
      <w:r w:rsidR="00F12487">
        <w:br/>
      </w:r>
      <w:r w:rsidRPr="00D352E8">
        <w:t xml:space="preserve">or emailed to </w:t>
      </w:r>
      <w:hyperlink r:id="rId19" w:history="1">
        <w:r w:rsidR="00B06B19" w:rsidRPr="00D352E8">
          <w:rPr>
            <w:rStyle w:val="Hyperlink"/>
          </w:rPr>
          <w:t>copyright@education.gov.au</w:t>
        </w:r>
      </w:hyperlink>
      <w:r w:rsidRPr="00D352E8">
        <w:t>.</w:t>
      </w:r>
    </w:p>
    <w:p w14:paraId="44C6284D" w14:textId="77777777" w:rsidR="006779CC" w:rsidRPr="00484A44" w:rsidRDefault="006779CC" w:rsidP="006779CC">
      <w:pPr>
        <w:pStyle w:val="Copyright"/>
      </w:pPr>
      <w:r w:rsidRPr="00484A44">
        <w:t>Where a copyright owner, other than the Commonwealth, is identified with respect to this material, please contact that third party copyright owner directly to seek permission.</w:t>
      </w:r>
    </w:p>
    <w:p w14:paraId="0104EAB1" w14:textId="77777777" w:rsidR="007722A4" w:rsidRPr="008E4AB5" w:rsidRDefault="007722A4" w:rsidP="006779CC">
      <w:pPr>
        <w:pStyle w:val="Copyright"/>
        <w:rPr>
          <w:rStyle w:val="Strong"/>
        </w:rPr>
      </w:pPr>
      <w:r w:rsidRPr="008E4AB5">
        <w:rPr>
          <w:rStyle w:val="Strong"/>
        </w:rPr>
        <w:t>Disclaimer</w:t>
      </w:r>
    </w:p>
    <w:p w14:paraId="34AC3E2D" w14:textId="77777777" w:rsidR="006779CC" w:rsidRDefault="006779CC" w:rsidP="006779CC">
      <w:pPr>
        <w:pStyle w:val="Copyright"/>
      </w:pPr>
      <w:r w:rsidRPr="00484A44">
        <w:t>As this is an independent review authored by the National School Resourcing Board, the report does not necessarily reflect the vie</w:t>
      </w:r>
      <w:r>
        <w:t>ws of the Australian Government.</w:t>
      </w:r>
    </w:p>
    <w:p w14:paraId="4EDA0ED4" w14:textId="156DA234" w:rsidR="004212F5" w:rsidRDefault="006779CC" w:rsidP="006779CC">
      <w:pPr>
        <w:pStyle w:val="Copyright"/>
        <w:rPr>
          <w:rStyle w:val="Emphasis"/>
          <w:highlight w:val="yellow"/>
        </w:rPr>
        <w:sectPr w:rsidR="004212F5" w:rsidSect="008B5C32">
          <w:headerReference w:type="even" r:id="rId20"/>
          <w:headerReference w:type="default" r:id="rId21"/>
          <w:footerReference w:type="even" r:id="rId22"/>
          <w:footerReference w:type="default" r:id="rId23"/>
          <w:headerReference w:type="first" r:id="rId24"/>
          <w:pgSz w:w="11906" w:h="16838"/>
          <w:pgMar w:top="1985" w:right="1418" w:bottom="1134" w:left="1418" w:header="680" w:footer="0" w:gutter="0"/>
          <w:pgNumType w:fmt="lowerRoman"/>
          <w:cols w:space="708"/>
          <w:docGrid w:linePitch="360"/>
        </w:sectPr>
      </w:pPr>
      <w:r w:rsidRPr="0060076A">
        <w:t>This document, when attributed, must be titled as</w:t>
      </w:r>
      <w:r w:rsidR="007E754C">
        <w:t>:</w:t>
      </w:r>
      <w:r w:rsidRPr="0060076A">
        <w:t xml:space="preserve"> Annual review of state and territory compliance with section 22A of the </w:t>
      </w:r>
      <w:r w:rsidRPr="004F73E2">
        <w:rPr>
          <w:rStyle w:val="Emphasis"/>
        </w:rPr>
        <w:t>Australian Education Act 2013</w:t>
      </w:r>
      <w:r w:rsidR="005D45EE">
        <w:rPr>
          <w:rStyle w:val="Emphasis"/>
        </w:rPr>
        <w:t xml:space="preserve"> </w:t>
      </w:r>
      <w:r w:rsidR="005D45EE" w:rsidRPr="0094781D">
        <w:t>– 20</w:t>
      </w:r>
      <w:r w:rsidR="001A70F6">
        <w:t>2</w:t>
      </w:r>
      <w:r w:rsidR="0011702E">
        <w:t>3</w:t>
      </w:r>
      <w:r w:rsidR="005D45EE" w:rsidRPr="0094781D">
        <w:t xml:space="preserve"> </w:t>
      </w:r>
      <w:r w:rsidR="00EA69F3">
        <w:t>f</w:t>
      </w:r>
      <w:r w:rsidR="00EA69F3" w:rsidRPr="0094781D">
        <w:t xml:space="preserve">unding </w:t>
      </w:r>
      <w:r w:rsidR="005D45EE" w:rsidRPr="0094781D">
        <w:t>year</w:t>
      </w:r>
      <w:r w:rsidR="00606068">
        <w:t>.</w:t>
      </w:r>
    </w:p>
    <w:p w14:paraId="4412D01B" w14:textId="7240E162" w:rsidR="00A62682" w:rsidRDefault="00572528">
      <w:pPr>
        <w:spacing w:before="0" w:after="160"/>
        <w:rPr>
          <w:rFonts w:eastAsiaTheme="majorEastAsia" w:cstheme="majorBidi"/>
          <w:color w:val="0F294C"/>
          <w:sz w:val="60"/>
          <w:szCs w:val="32"/>
        </w:rPr>
      </w:pPr>
      <w:bookmarkStart w:id="24" w:name="_Toc188365465"/>
      <w:r w:rsidRPr="0028172A">
        <w:rPr>
          <w:noProof/>
        </w:rPr>
        <w:lastRenderedPageBreak/>
        <w:drawing>
          <wp:inline distT="0" distB="0" distL="0" distR="0" wp14:anchorId="14234AD7" wp14:editId="44B49083">
            <wp:extent cx="5995631" cy="8129174"/>
            <wp:effectExtent l="0" t="0" r="5715" b="5715"/>
            <wp:docPr id="1115522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522922" name=""/>
                    <pic:cNvPicPr/>
                  </pic:nvPicPr>
                  <pic:blipFill>
                    <a:blip r:embed="rId25"/>
                    <a:stretch>
                      <a:fillRect/>
                    </a:stretch>
                  </pic:blipFill>
                  <pic:spPr>
                    <a:xfrm>
                      <a:off x="0" y="0"/>
                      <a:ext cx="6002297" cy="8138212"/>
                    </a:xfrm>
                    <a:prstGeom prst="rect">
                      <a:avLst/>
                    </a:prstGeom>
                  </pic:spPr>
                </pic:pic>
              </a:graphicData>
            </a:graphic>
          </wp:inline>
        </w:drawing>
      </w:r>
      <w:bookmarkEnd w:id="24"/>
      <w:r w:rsidR="00A62682">
        <w:br w:type="page"/>
      </w:r>
    </w:p>
    <w:bookmarkStart w:id="25" w:name="_Toc210306595" w:displacedByCustomXml="next"/>
    <w:bookmarkStart w:id="26" w:name="_Toc210317421" w:displacedByCustomXml="next"/>
    <w:bookmarkStart w:id="27" w:name="_Toc210815575" w:displacedByCustomXml="next"/>
    <w:bookmarkStart w:id="28" w:name="_Toc23857230" w:displacedByCustomXml="next"/>
    <w:bookmarkStart w:id="29" w:name="_Toc23856988" w:displacedByCustomXml="next"/>
    <w:sdt>
      <w:sdtPr>
        <w:rPr>
          <w:rFonts w:eastAsiaTheme="minorHAnsi" w:cstheme="minorBidi"/>
          <w:color w:val="32375D"/>
          <w:sz w:val="28"/>
          <w:szCs w:val="22"/>
        </w:rPr>
        <w:id w:val="1258862085"/>
        <w:docPartObj>
          <w:docPartGallery w:val="Table of Contents"/>
          <w:docPartUnique/>
        </w:docPartObj>
      </w:sdtPr>
      <w:sdtContent>
        <w:p w14:paraId="501B0B61" w14:textId="418F34C7" w:rsidR="00AA0344" w:rsidRDefault="00AA0344">
          <w:pPr>
            <w:pStyle w:val="TOCHeading"/>
          </w:pPr>
          <w:r>
            <w:t>Contents</w:t>
          </w:r>
          <w:bookmarkEnd w:id="27"/>
          <w:bookmarkEnd w:id="26"/>
          <w:bookmarkEnd w:id="25"/>
        </w:p>
        <w:p w14:paraId="205B149D" w14:textId="7895F1EE" w:rsidR="00FE5D23" w:rsidRDefault="6EFF90B0">
          <w:pPr>
            <w:pStyle w:val="TOC1"/>
            <w:rPr>
              <w:rFonts w:asciiTheme="minorHAnsi" w:eastAsiaTheme="minorEastAsia" w:hAnsiTheme="minorHAnsi"/>
              <w:noProof/>
              <w:color w:val="auto"/>
              <w:kern w:val="2"/>
              <w:sz w:val="24"/>
              <w:szCs w:val="24"/>
              <w:lang w:eastAsia="en-AU"/>
              <w14:ligatures w14:val="standardContextual"/>
            </w:rPr>
          </w:pPr>
          <w:r>
            <w:fldChar w:fldCharType="begin"/>
          </w:r>
          <w:r w:rsidR="00AA0344">
            <w:instrText>TOC \o "1-3" \z \u \h</w:instrText>
          </w:r>
          <w:r>
            <w:fldChar w:fldCharType="separate"/>
          </w:r>
          <w:hyperlink w:anchor="_Toc210815576" w:history="1">
            <w:r w:rsidR="00FE5D23" w:rsidRPr="00A6408E">
              <w:rPr>
                <w:rStyle w:val="Hyperlink"/>
              </w:rPr>
              <w:t>List of figures</w:t>
            </w:r>
            <w:r w:rsidR="00FE5D23">
              <w:rPr>
                <w:noProof/>
                <w:webHidden/>
              </w:rPr>
              <w:tab/>
            </w:r>
            <w:r w:rsidR="00B50E73">
              <w:rPr>
                <w:noProof/>
                <w:webHidden/>
              </w:rPr>
              <w:t>III</w:t>
            </w:r>
          </w:hyperlink>
        </w:p>
        <w:p w14:paraId="61327C69" w14:textId="735C9D9D"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577" w:history="1">
            <w:r w:rsidRPr="00A6408E">
              <w:rPr>
                <w:rStyle w:val="Hyperlink"/>
              </w:rPr>
              <w:t>List of tables</w:t>
            </w:r>
            <w:r>
              <w:rPr>
                <w:noProof/>
                <w:webHidden/>
              </w:rPr>
              <w:tab/>
            </w:r>
            <w:r w:rsidR="00B50E73">
              <w:rPr>
                <w:noProof/>
                <w:webHidden/>
              </w:rPr>
              <w:t>III</w:t>
            </w:r>
          </w:hyperlink>
        </w:p>
        <w:p w14:paraId="68DBBCE1" w14:textId="0BA37CD3"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578" w:history="1">
            <w:r w:rsidRPr="00A6408E">
              <w:rPr>
                <w:rStyle w:val="Hyperlink"/>
              </w:rPr>
              <w:t>Glossary</w:t>
            </w:r>
            <w:r>
              <w:rPr>
                <w:noProof/>
                <w:webHidden/>
              </w:rPr>
              <w:tab/>
            </w:r>
            <w:r w:rsidR="00B50E73">
              <w:rPr>
                <w:noProof/>
                <w:webHidden/>
              </w:rPr>
              <w:t>I</w:t>
            </w:r>
            <w:r>
              <w:rPr>
                <w:noProof/>
                <w:webHidden/>
              </w:rPr>
              <w:fldChar w:fldCharType="begin"/>
            </w:r>
            <w:r>
              <w:rPr>
                <w:noProof/>
                <w:webHidden/>
              </w:rPr>
              <w:instrText xml:space="preserve"> PAGEREF _Toc210815578 \h </w:instrText>
            </w:r>
            <w:r>
              <w:rPr>
                <w:noProof/>
                <w:webHidden/>
              </w:rPr>
            </w:r>
            <w:r>
              <w:rPr>
                <w:noProof/>
                <w:webHidden/>
              </w:rPr>
              <w:fldChar w:fldCharType="separate"/>
            </w:r>
            <w:r w:rsidR="00587C96">
              <w:rPr>
                <w:noProof/>
                <w:webHidden/>
              </w:rPr>
              <w:t>IV</w:t>
            </w:r>
            <w:r>
              <w:rPr>
                <w:noProof/>
                <w:webHidden/>
              </w:rPr>
              <w:fldChar w:fldCharType="end"/>
            </w:r>
          </w:hyperlink>
        </w:p>
        <w:p w14:paraId="50EA03CA" w14:textId="14CC1C7F"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579" w:history="1">
            <w:r w:rsidRPr="00A6408E">
              <w:rPr>
                <w:rStyle w:val="Hyperlink"/>
              </w:rPr>
              <w:t>Executive summary</w:t>
            </w:r>
            <w:r>
              <w:rPr>
                <w:noProof/>
                <w:webHidden/>
              </w:rPr>
              <w:tab/>
            </w:r>
            <w:r>
              <w:rPr>
                <w:noProof/>
                <w:webHidden/>
              </w:rPr>
              <w:fldChar w:fldCharType="begin"/>
            </w:r>
            <w:r>
              <w:rPr>
                <w:noProof/>
                <w:webHidden/>
              </w:rPr>
              <w:instrText xml:space="preserve"> PAGEREF _Toc210815579 \h </w:instrText>
            </w:r>
            <w:r>
              <w:rPr>
                <w:noProof/>
                <w:webHidden/>
              </w:rPr>
            </w:r>
            <w:r>
              <w:rPr>
                <w:noProof/>
                <w:webHidden/>
              </w:rPr>
              <w:fldChar w:fldCharType="separate"/>
            </w:r>
            <w:r w:rsidR="00587C96">
              <w:rPr>
                <w:noProof/>
                <w:webHidden/>
              </w:rPr>
              <w:t>VI</w:t>
            </w:r>
            <w:r>
              <w:rPr>
                <w:noProof/>
                <w:webHidden/>
              </w:rPr>
              <w:fldChar w:fldCharType="end"/>
            </w:r>
          </w:hyperlink>
        </w:p>
        <w:p w14:paraId="3CA0467B" w14:textId="525F3E5C"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580" w:history="1">
            <w:r w:rsidRPr="00A6408E">
              <w:rPr>
                <w:rStyle w:val="Hyperlink"/>
              </w:rPr>
              <w:t>Findings</w:t>
            </w:r>
            <w:r>
              <w:rPr>
                <w:noProof/>
                <w:webHidden/>
              </w:rPr>
              <w:tab/>
            </w:r>
            <w:r w:rsidR="000467B6">
              <w:rPr>
                <w:noProof/>
                <w:webHidden/>
              </w:rPr>
              <w:t>V</w:t>
            </w:r>
            <w:r w:rsidR="00644627">
              <w:rPr>
                <w:noProof/>
                <w:webHidden/>
              </w:rPr>
              <w:t>III</w:t>
            </w:r>
          </w:hyperlink>
        </w:p>
        <w:p w14:paraId="7783CA2E" w14:textId="1660AC6E"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589" w:history="1">
            <w:r w:rsidRPr="00A6408E">
              <w:rPr>
                <w:rStyle w:val="Hyperlink"/>
              </w:rPr>
              <w:t>Part 1: Introduction</w:t>
            </w:r>
            <w:r>
              <w:rPr>
                <w:noProof/>
                <w:webHidden/>
              </w:rPr>
              <w:tab/>
            </w:r>
            <w:r>
              <w:rPr>
                <w:noProof/>
                <w:webHidden/>
              </w:rPr>
              <w:fldChar w:fldCharType="begin"/>
            </w:r>
            <w:r>
              <w:rPr>
                <w:noProof/>
                <w:webHidden/>
              </w:rPr>
              <w:instrText xml:space="preserve"> PAGEREF _Toc210815589 \h </w:instrText>
            </w:r>
            <w:r>
              <w:rPr>
                <w:noProof/>
                <w:webHidden/>
              </w:rPr>
            </w:r>
            <w:r>
              <w:rPr>
                <w:noProof/>
                <w:webHidden/>
              </w:rPr>
              <w:fldChar w:fldCharType="separate"/>
            </w:r>
            <w:r w:rsidR="00587C96">
              <w:rPr>
                <w:noProof/>
                <w:webHidden/>
              </w:rPr>
              <w:t>1</w:t>
            </w:r>
            <w:r>
              <w:rPr>
                <w:noProof/>
                <w:webHidden/>
              </w:rPr>
              <w:fldChar w:fldCharType="end"/>
            </w:r>
          </w:hyperlink>
        </w:p>
        <w:p w14:paraId="15F046C4" w14:textId="125A8DE9" w:rsidR="00FE5D23" w:rsidRDefault="00FE5D23">
          <w:pPr>
            <w:pStyle w:val="TOC2"/>
            <w:rPr>
              <w:rFonts w:asciiTheme="minorHAnsi" w:eastAsiaTheme="minorEastAsia" w:hAnsiTheme="minorHAnsi"/>
              <w:kern w:val="2"/>
              <w:sz w:val="24"/>
              <w:szCs w:val="24"/>
              <w:lang w:val="en-AU" w:eastAsia="en-AU"/>
              <w14:ligatures w14:val="standardContextual"/>
            </w:rPr>
          </w:pPr>
          <w:hyperlink w:anchor="_Toc210815590" w:history="1">
            <w:r w:rsidRPr="00A6408E">
              <w:rPr>
                <w:rStyle w:val="Hyperlink"/>
              </w:rPr>
              <w:t>1.1</w:t>
            </w:r>
            <w:r>
              <w:rPr>
                <w:rFonts w:asciiTheme="minorHAnsi" w:eastAsiaTheme="minorEastAsia" w:hAnsiTheme="minorHAnsi"/>
                <w:kern w:val="2"/>
                <w:sz w:val="24"/>
                <w:szCs w:val="24"/>
                <w:lang w:val="en-AU" w:eastAsia="en-AU"/>
                <w14:ligatures w14:val="standardContextual"/>
              </w:rPr>
              <w:tab/>
            </w:r>
            <w:r w:rsidRPr="00A6408E">
              <w:rPr>
                <w:rStyle w:val="Hyperlink"/>
              </w:rPr>
              <w:t>The task</w:t>
            </w:r>
            <w:r>
              <w:rPr>
                <w:webHidden/>
              </w:rPr>
              <w:tab/>
            </w:r>
            <w:r>
              <w:rPr>
                <w:webHidden/>
              </w:rPr>
              <w:fldChar w:fldCharType="begin"/>
            </w:r>
            <w:r>
              <w:rPr>
                <w:webHidden/>
              </w:rPr>
              <w:instrText xml:space="preserve"> PAGEREF _Toc210815590 \h </w:instrText>
            </w:r>
            <w:r>
              <w:rPr>
                <w:webHidden/>
              </w:rPr>
            </w:r>
            <w:r>
              <w:rPr>
                <w:webHidden/>
              </w:rPr>
              <w:fldChar w:fldCharType="separate"/>
            </w:r>
            <w:r w:rsidR="00587C96">
              <w:rPr>
                <w:webHidden/>
              </w:rPr>
              <w:t>1</w:t>
            </w:r>
            <w:r>
              <w:rPr>
                <w:webHidden/>
              </w:rPr>
              <w:fldChar w:fldCharType="end"/>
            </w:r>
          </w:hyperlink>
        </w:p>
        <w:p w14:paraId="3DD79104" w14:textId="026858EC" w:rsidR="00FE5D23" w:rsidRDefault="00FE5D23">
          <w:pPr>
            <w:pStyle w:val="TOC2"/>
            <w:rPr>
              <w:rFonts w:asciiTheme="minorHAnsi" w:eastAsiaTheme="minorEastAsia" w:hAnsiTheme="minorHAnsi"/>
              <w:kern w:val="2"/>
              <w:sz w:val="24"/>
              <w:szCs w:val="24"/>
              <w:lang w:val="en-AU" w:eastAsia="en-AU"/>
              <w14:ligatures w14:val="standardContextual"/>
            </w:rPr>
          </w:pPr>
          <w:hyperlink w:anchor="_Toc210815591" w:history="1">
            <w:r w:rsidRPr="00A6408E">
              <w:rPr>
                <w:rStyle w:val="Hyperlink"/>
              </w:rPr>
              <w:t>1.2</w:t>
            </w:r>
            <w:r>
              <w:rPr>
                <w:rFonts w:asciiTheme="minorHAnsi" w:eastAsiaTheme="minorEastAsia" w:hAnsiTheme="minorHAnsi"/>
                <w:kern w:val="2"/>
                <w:sz w:val="24"/>
                <w:szCs w:val="24"/>
                <w:lang w:val="en-AU" w:eastAsia="en-AU"/>
                <w14:ligatures w14:val="standardContextual"/>
              </w:rPr>
              <w:tab/>
            </w:r>
            <w:r w:rsidRPr="00A6408E">
              <w:rPr>
                <w:rStyle w:val="Hyperlink"/>
              </w:rPr>
              <w:t>The review process</w:t>
            </w:r>
            <w:r>
              <w:rPr>
                <w:webHidden/>
              </w:rPr>
              <w:tab/>
            </w:r>
            <w:r>
              <w:rPr>
                <w:webHidden/>
              </w:rPr>
              <w:fldChar w:fldCharType="begin"/>
            </w:r>
            <w:r>
              <w:rPr>
                <w:webHidden/>
              </w:rPr>
              <w:instrText xml:space="preserve"> PAGEREF _Toc210815591 \h </w:instrText>
            </w:r>
            <w:r>
              <w:rPr>
                <w:webHidden/>
              </w:rPr>
            </w:r>
            <w:r>
              <w:rPr>
                <w:webHidden/>
              </w:rPr>
              <w:fldChar w:fldCharType="separate"/>
            </w:r>
            <w:r w:rsidR="00587C96">
              <w:rPr>
                <w:webHidden/>
              </w:rPr>
              <w:t>1</w:t>
            </w:r>
            <w:r>
              <w:rPr>
                <w:webHidden/>
              </w:rPr>
              <w:fldChar w:fldCharType="end"/>
            </w:r>
          </w:hyperlink>
        </w:p>
        <w:p w14:paraId="11E308B1" w14:textId="31BFBC43" w:rsidR="00FE5D23" w:rsidRDefault="00FE5D23">
          <w:pPr>
            <w:pStyle w:val="TOC2"/>
            <w:rPr>
              <w:rFonts w:asciiTheme="minorHAnsi" w:eastAsiaTheme="minorEastAsia" w:hAnsiTheme="minorHAnsi"/>
              <w:kern w:val="2"/>
              <w:sz w:val="24"/>
              <w:szCs w:val="24"/>
              <w:lang w:val="en-AU" w:eastAsia="en-AU"/>
              <w14:ligatures w14:val="standardContextual"/>
            </w:rPr>
          </w:pPr>
          <w:hyperlink w:anchor="_Toc210815592" w:history="1">
            <w:r w:rsidRPr="00A6408E">
              <w:rPr>
                <w:rStyle w:val="Hyperlink"/>
              </w:rPr>
              <w:t>1.3</w:t>
            </w:r>
            <w:r>
              <w:rPr>
                <w:rFonts w:asciiTheme="minorHAnsi" w:eastAsiaTheme="minorEastAsia" w:hAnsiTheme="minorHAnsi"/>
                <w:kern w:val="2"/>
                <w:sz w:val="24"/>
                <w:szCs w:val="24"/>
                <w:lang w:val="en-AU" w:eastAsia="en-AU"/>
                <w14:ligatures w14:val="standardContextual"/>
              </w:rPr>
              <w:tab/>
            </w:r>
            <w:r w:rsidRPr="00A6408E">
              <w:rPr>
                <w:rStyle w:val="Hyperlink"/>
              </w:rPr>
              <w:t>Background on school funding in 2023</w:t>
            </w:r>
            <w:r>
              <w:rPr>
                <w:webHidden/>
              </w:rPr>
              <w:tab/>
            </w:r>
            <w:r>
              <w:rPr>
                <w:webHidden/>
              </w:rPr>
              <w:fldChar w:fldCharType="begin"/>
            </w:r>
            <w:r>
              <w:rPr>
                <w:webHidden/>
              </w:rPr>
              <w:instrText xml:space="preserve"> PAGEREF _Toc210815592 \h </w:instrText>
            </w:r>
            <w:r>
              <w:rPr>
                <w:webHidden/>
              </w:rPr>
            </w:r>
            <w:r>
              <w:rPr>
                <w:webHidden/>
              </w:rPr>
              <w:fldChar w:fldCharType="separate"/>
            </w:r>
            <w:r w:rsidR="00587C96">
              <w:rPr>
                <w:webHidden/>
              </w:rPr>
              <w:t>2</w:t>
            </w:r>
            <w:r>
              <w:rPr>
                <w:webHidden/>
              </w:rPr>
              <w:fldChar w:fldCharType="end"/>
            </w:r>
          </w:hyperlink>
        </w:p>
        <w:p w14:paraId="20807AC8" w14:textId="34ED1BED"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597" w:history="1">
            <w:r w:rsidRPr="00A6408E">
              <w:rPr>
                <w:rStyle w:val="Hyperlink"/>
              </w:rPr>
              <w:t>Part 2: Reporting requirements</w:t>
            </w:r>
            <w:r>
              <w:rPr>
                <w:noProof/>
                <w:webHidden/>
              </w:rPr>
              <w:tab/>
            </w:r>
            <w:r>
              <w:rPr>
                <w:noProof/>
                <w:webHidden/>
              </w:rPr>
              <w:fldChar w:fldCharType="begin"/>
            </w:r>
            <w:r>
              <w:rPr>
                <w:noProof/>
                <w:webHidden/>
              </w:rPr>
              <w:instrText xml:space="preserve"> PAGEREF _Toc210815597 \h </w:instrText>
            </w:r>
            <w:r>
              <w:rPr>
                <w:noProof/>
                <w:webHidden/>
              </w:rPr>
            </w:r>
            <w:r>
              <w:rPr>
                <w:noProof/>
                <w:webHidden/>
              </w:rPr>
              <w:fldChar w:fldCharType="separate"/>
            </w:r>
            <w:r w:rsidR="00587C96">
              <w:rPr>
                <w:noProof/>
                <w:webHidden/>
              </w:rPr>
              <w:t>5</w:t>
            </w:r>
            <w:r>
              <w:rPr>
                <w:noProof/>
                <w:webHidden/>
              </w:rPr>
              <w:fldChar w:fldCharType="end"/>
            </w:r>
          </w:hyperlink>
        </w:p>
        <w:p w14:paraId="7BF318CE" w14:textId="6690688D" w:rsidR="00FE5D23" w:rsidRDefault="00FE5D23">
          <w:pPr>
            <w:pStyle w:val="TOC2"/>
            <w:rPr>
              <w:rFonts w:asciiTheme="minorHAnsi" w:eastAsiaTheme="minorEastAsia" w:hAnsiTheme="minorHAnsi"/>
              <w:kern w:val="2"/>
              <w:sz w:val="24"/>
              <w:szCs w:val="24"/>
              <w:lang w:val="en-AU" w:eastAsia="en-AU"/>
              <w14:ligatures w14:val="standardContextual"/>
            </w:rPr>
          </w:pPr>
          <w:hyperlink w:anchor="_Toc210815598" w:history="1">
            <w:r w:rsidRPr="00A6408E">
              <w:rPr>
                <w:rStyle w:val="Hyperlink"/>
              </w:rPr>
              <w:t>2.1</w:t>
            </w:r>
            <w:r>
              <w:rPr>
                <w:rFonts w:asciiTheme="minorHAnsi" w:eastAsiaTheme="minorEastAsia" w:hAnsiTheme="minorHAnsi"/>
                <w:kern w:val="2"/>
                <w:sz w:val="24"/>
                <w:szCs w:val="24"/>
                <w:lang w:val="en-AU" w:eastAsia="en-AU"/>
                <w14:ligatures w14:val="standardContextual"/>
              </w:rPr>
              <w:tab/>
            </w:r>
            <w:r w:rsidRPr="00A6408E">
              <w:rPr>
                <w:rStyle w:val="Hyperlink"/>
              </w:rPr>
              <w:t>Compliance with reporting timeframes</w:t>
            </w:r>
            <w:r>
              <w:rPr>
                <w:webHidden/>
              </w:rPr>
              <w:tab/>
            </w:r>
            <w:r>
              <w:rPr>
                <w:webHidden/>
              </w:rPr>
              <w:fldChar w:fldCharType="begin"/>
            </w:r>
            <w:r>
              <w:rPr>
                <w:webHidden/>
              </w:rPr>
              <w:instrText xml:space="preserve"> PAGEREF _Toc210815598 \h </w:instrText>
            </w:r>
            <w:r>
              <w:rPr>
                <w:webHidden/>
              </w:rPr>
            </w:r>
            <w:r>
              <w:rPr>
                <w:webHidden/>
              </w:rPr>
              <w:fldChar w:fldCharType="separate"/>
            </w:r>
            <w:r w:rsidR="00587C96">
              <w:rPr>
                <w:webHidden/>
              </w:rPr>
              <w:t>6</w:t>
            </w:r>
            <w:r>
              <w:rPr>
                <w:webHidden/>
              </w:rPr>
              <w:fldChar w:fldCharType="end"/>
            </w:r>
          </w:hyperlink>
        </w:p>
        <w:p w14:paraId="380B81FC" w14:textId="417C2453" w:rsidR="00FE5D23" w:rsidRDefault="00FE5D23">
          <w:pPr>
            <w:pStyle w:val="TOC2"/>
            <w:rPr>
              <w:rFonts w:asciiTheme="minorHAnsi" w:eastAsiaTheme="minorEastAsia" w:hAnsiTheme="minorHAnsi"/>
              <w:kern w:val="2"/>
              <w:sz w:val="24"/>
              <w:szCs w:val="24"/>
              <w:lang w:val="en-AU" w:eastAsia="en-AU"/>
              <w14:ligatures w14:val="standardContextual"/>
            </w:rPr>
          </w:pPr>
          <w:hyperlink w:anchor="_Toc210815599" w:history="1">
            <w:r w:rsidRPr="00A6408E">
              <w:rPr>
                <w:rStyle w:val="Hyperlink"/>
              </w:rPr>
              <w:t>2.2</w:t>
            </w:r>
            <w:r>
              <w:rPr>
                <w:rFonts w:asciiTheme="minorHAnsi" w:eastAsiaTheme="minorEastAsia" w:hAnsiTheme="minorHAnsi"/>
                <w:kern w:val="2"/>
                <w:sz w:val="24"/>
                <w:szCs w:val="24"/>
                <w:lang w:val="en-AU" w:eastAsia="en-AU"/>
                <w14:ligatures w14:val="standardContextual"/>
              </w:rPr>
              <w:tab/>
            </w:r>
            <w:r w:rsidRPr="00A6408E">
              <w:rPr>
                <w:rStyle w:val="Hyperlink"/>
              </w:rPr>
              <w:t>Annual report contents and pro forma</w:t>
            </w:r>
            <w:r>
              <w:rPr>
                <w:webHidden/>
              </w:rPr>
              <w:tab/>
            </w:r>
            <w:r>
              <w:rPr>
                <w:webHidden/>
              </w:rPr>
              <w:fldChar w:fldCharType="begin"/>
            </w:r>
            <w:r>
              <w:rPr>
                <w:webHidden/>
              </w:rPr>
              <w:instrText xml:space="preserve"> PAGEREF _Toc210815599 \h </w:instrText>
            </w:r>
            <w:r>
              <w:rPr>
                <w:webHidden/>
              </w:rPr>
            </w:r>
            <w:r>
              <w:rPr>
                <w:webHidden/>
              </w:rPr>
              <w:fldChar w:fldCharType="separate"/>
            </w:r>
            <w:r w:rsidR="00587C96">
              <w:rPr>
                <w:webHidden/>
              </w:rPr>
              <w:t>6</w:t>
            </w:r>
            <w:r>
              <w:rPr>
                <w:webHidden/>
              </w:rPr>
              <w:fldChar w:fldCharType="end"/>
            </w:r>
          </w:hyperlink>
        </w:p>
        <w:p w14:paraId="2C8670CC" w14:textId="2116AD04"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600" w:history="1">
            <w:r w:rsidRPr="00A6408E">
              <w:rPr>
                <w:rStyle w:val="Hyperlink"/>
              </w:rPr>
              <w:t>Part 3: Assurance</w:t>
            </w:r>
            <w:r>
              <w:rPr>
                <w:noProof/>
                <w:webHidden/>
              </w:rPr>
              <w:tab/>
            </w:r>
            <w:r>
              <w:rPr>
                <w:noProof/>
                <w:webHidden/>
              </w:rPr>
              <w:fldChar w:fldCharType="begin"/>
            </w:r>
            <w:r>
              <w:rPr>
                <w:noProof/>
                <w:webHidden/>
              </w:rPr>
              <w:instrText xml:space="preserve"> PAGEREF _Toc210815600 \h </w:instrText>
            </w:r>
            <w:r>
              <w:rPr>
                <w:noProof/>
                <w:webHidden/>
              </w:rPr>
            </w:r>
            <w:r>
              <w:rPr>
                <w:noProof/>
                <w:webHidden/>
              </w:rPr>
              <w:fldChar w:fldCharType="separate"/>
            </w:r>
            <w:r w:rsidR="00587C96">
              <w:rPr>
                <w:noProof/>
                <w:webHidden/>
              </w:rPr>
              <w:t>8</w:t>
            </w:r>
            <w:r>
              <w:rPr>
                <w:noProof/>
                <w:webHidden/>
              </w:rPr>
              <w:fldChar w:fldCharType="end"/>
            </w:r>
          </w:hyperlink>
        </w:p>
        <w:p w14:paraId="3CA20A31" w14:textId="37E47E51"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601" w:history="1">
            <w:r w:rsidRPr="00A6408E">
              <w:rPr>
                <w:rStyle w:val="Hyperlink"/>
              </w:rPr>
              <w:t>Part 4: Funding compliance</w:t>
            </w:r>
            <w:r>
              <w:rPr>
                <w:noProof/>
                <w:webHidden/>
              </w:rPr>
              <w:tab/>
            </w:r>
            <w:r>
              <w:rPr>
                <w:noProof/>
                <w:webHidden/>
              </w:rPr>
              <w:fldChar w:fldCharType="begin"/>
            </w:r>
            <w:r>
              <w:rPr>
                <w:noProof/>
                <w:webHidden/>
              </w:rPr>
              <w:instrText xml:space="preserve"> PAGEREF _Toc210815601 \h </w:instrText>
            </w:r>
            <w:r>
              <w:rPr>
                <w:noProof/>
                <w:webHidden/>
              </w:rPr>
            </w:r>
            <w:r>
              <w:rPr>
                <w:noProof/>
                <w:webHidden/>
              </w:rPr>
              <w:fldChar w:fldCharType="separate"/>
            </w:r>
            <w:r w:rsidR="00587C96">
              <w:rPr>
                <w:noProof/>
                <w:webHidden/>
              </w:rPr>
              <w:t>9</w:t>
            </w:r>
            <w:r>
              <w:rPr>
                <w:noProof/>
                <w:webHidden/>
              </w:rPr>
              <w:fldChar w:fldCharType="end"/>
            </w:r>
          </w:hyperlink>
        </w:p>
        <w:p w14:paraId="2F6DC99A" w14:textId="3EBB52A7" w:rsidR="00FE5D23" w:rsidRDefault="00FE5D23">
          <w:pPr>
            <w:pStyle w:val="TOC2"/>
            <w:rPr>
              <w:rFonts w:asciiTheme="minorHAnsi" w:eastAsiaTheme="minorEastAsia" w:hAnsiTheme="minorHAnsi"/>
              <w:kern w:val="2"/>
              <w:sz w:val="24"/>
              <w:szCs w:val="24"/>
              <w:lang w:val="en-AU" w:eastAsia="en-AU"/>
              <w14:ligatures w14:val="standardContextual"/>
            </w:rPr>
          </w:pPr>
          <w:hyperlink w:anchor="_Toc210815602" w:history="1">
            <w:r w:rsidRPr="00A6408E">
              <w:rPr>
                <w:rStyle w:val="Hyperlink"/>
              </w:rPr>
              <w:t>4.1</w:t>
            </w:r>
            <w:r>
              <w:rPr>
                <w:rFonts w:asciiTheme="minorHAnsi" w:eastAsiaTheme="minorEastAsia" w:hAnsiTheme="minorHAnsi"/>
                <w:kern w:val="2"/>
                <w:sz w:val="24"/>
                <w:szCs w:val="24"/>
                <w:lang w:val="en-AU" w:eastAsia="en-AU"/>
                <w14:ligatures w14:val="standardContextual"/>
              </w:rPr>
              <w:tab/>
            </w:r>
            <w:r w:rsidRPr="00A6408E">
              <w:rPr>
                <w:rStyle w:val="Hyperlink"/>
              </w:rPr>
              <w:t>Overview of the funding methodology</w:t>
            </w:r>
            <w:r>
              <w:rPr>
                <w:webHidden/>
              </w:rPr>
              <w:tab/>
            </w:r>
            <w:r>
              <w:rPr>
                <w:webHidden/>
              </w:rPr>
              <w:fldChar w:fldCharType="begin"/>
            </w:r>
            <w:r>
              <w:rPr>
                <w:webHidden/>
              </w:rPr>
              <w:instrText xml:space="preserve"> PAGEREF _Toc210815602 \h </w:instrText>
            </w:r>
            <w:r>
              <w:rPr>
                <w:webHidden/>
              </w:rPr>
            </w:r>
            <w:r>
              <w:rPr>
                <w:webHidden/>
              </w:rPr>
              <w:fldChar w:fldCharType="separate"/>
            </w:r>
            <w:r w:rsidR="00587C96">
              <w:rPr>
                <w:webHidden/>
              </w:rPr>
              <w:t>9</w:t>
            </w:r>
            <w:r>
              <w:rPr>
                <w:webHidden/>
              </w:rPr>
              <w:fldChar w:fldCharType="end"/>
            </w:r>
          </w:hyperlink>
        </w:p>
        <w:p w14:paraId="37745825" w14:textId="4E507679" w:rsidR="00FE5D23" w:rsidRDefault="00FE5D23">
          <w:pPr>
            <w:pStyle w:val="TOC2"/>
            <w:rPr>
              <w:rFonts w:asciiTheme="minorHAnsi" w:eastAsiaTheme="minorEastAsia" w:hAnsiTheme="minorHAnsi"/>
              <w:kern w:val="2"/>
              <w:sz w:val="24"/>
              <w:szCs w:val="24"/>
              <w:lang w:val="en-AU" w:eastAsia="en-AU"/>
              <w14:ligatures w14:val="standardContextual"/>
            </w:rPr>
          </w:pPr>
          <w:hyperlink w:anchor="_Toc210815606" w:history="1">
            <w:r w:rsidRPr="00A6408E">
              <w:rPr>
                <w:rStyle w:val="Hyperlink"/>
              </w:rPr>
              <w:t>4.2</w:t>
            </w:r>
            <w:r>
              <w:rPr>
                <w:rFonts w:asciiTheme="minorHAnsi" w:eastAsiaTheme="minorEastAsia" w:hAnsiTheme="minorHAnsi"/>
                <w:kern w:val="2"/>
                <w:sz w:val="24"/>
                <w:szCs w:val="24"/>
                <w:lang w:val="en-AU" w:eastAsia="en-AU"/>
                <w14:ligatures w14:val="standardContextual"/>
              </w:rPr>
              <w:tab/>
            </w:r>
            <w:r w:rsidRPr="00A6408E">
              <w:rPr>
                <w:rStyle w:val="Hyperlink"/>
              </w:rPr>
              <w:t>Compliance with funding obligations</w:t>
            </w:r>
            <w:r>
              <w:rPr>
                <w:webHidden/>
              </w:rPr>
              <w:tab/>
            </w:r>
            <w:r>
              <w:rPr>
                <w:webHidden/>
              </w:rPr>
              <w:fldChar w:fldCharType="begin"/>
            </w:r>
            <w:r>
              <w:rPr>
                <w:webHidden/>
              </w:rPr>
              <w:instrText xml:space="preserve"> PAGEREF _Toc210815606 \h </w:instrText>
            </w:r>
            <w:r>
              <w:rPr>
                <w:webHidden/>
              </w:rPr>
            </w:r>
            <w:r>
              <w:rPr>
                <w:webHidden/>
              </w:rPr>
              <w:fldChar w:fldCharType="separate"/>
            </w:r>
            <w:r w:rsidR="00587C96">
              <w:rPr>
                <w:webHidden/>
              </w:rPr>
              <w:t>10</w:t>
            </w:r>
            <w:r>
              <w:rPr>
                <w:webHidden/>
              </w:rPr>
              <w:fldChar w:fldCharType="end"/>
            </w:r>
          </w:hyperlink>
        </w:p>
        <w:p w14:paraId="5C540C0D" w14:textId="7C2A4217" w:rsidR="00FE5D23" w:rsidRDefault="00FE5D23">
          <w:pPr>
            <w:pStyle w:val="TOC2"/>
            <w:rPr>
              <w:rFonts w:asciiTheme="minorHAnsi" w:eastAsiaTheme="minorEastAsia" w:hAnsiTheme="minorHAnsi"/>
              <w:kern w:val="2"/>
              <w:sz w:val="24"/>
              <w:szCs w:val="24"/>
              <w:lang w:val="en-AU" w:eastAsia="en-AU"/>
              <w14:ligatures w14:val="standardContextual"/>
            </w:rPr>
          </w:pPr>
          <w:hyperlink w:anchor="_Toc210815609" w:history="1">
            <w:r w:rsidRPr="00A6408E">
              <w:rPr>
                <w:rStyle w:val="Hyperlink"/>
              </w:rPr>
              <w:t>4.3</w:t>
            </w:r>
            <w:r>
              <w:rPr>
                <w:rFonts w:asciiTheme="minorHAnsi" w:eastAsiaTheme="minorEastAsia" w:hAnsiTheme="minorHAnsi"/>
                <w:kern w:val="2"/>
                <w:sz w:val="24"/>
                <w:szCs w:val="24"/>
                <w:lang w:val="en-AU" w:eastAsia="en-AU"/>
                <w14:ligatures w14:val="standardContextual"/>
              </w:rPr>
              <w:tab/>
            </w:r>
            <w:r w:rsidRPr="00A6408E">
              <w:rPr>
                <w:rStyle w:val="Hyperlink"/>
              </w:rPr>
              <w:t>Immaterial shortfalls</w:t>
            </w:r>
            <w:r>
              <w:rPr>
                <w:webHidden/>
              </w:rPr>
              <w:tab/>
            </w:r>
            <w:r>
              <w:rPr>
                <w:webHidden/>
              </w:rPr>
              <w:fldChar w:fldCharType="begin"/>
            </w:r>
            <w:r>
              <w:rPr>
                <w:webHidden/>
              </w:rPr>
              <w:instrText xml:space="preserve"> PAGEREF _Toc210815609 \h </w:instrText>
            </w:r>
            <w:r>
              <w:rPr>
                <w:webHidden/>
              </w:rPr>
            </w:r>
            <w:r>
              <w:rPr>
                <w:webHidden/>
              </w:rPr>
              <w:fldChar w:fldCharType="separate"/>
            </w:r>
            <w:r w:rsidR="00587C96">
              <w:rPr>
                <w:webHidden/>
              </w:rPr>
              <w:t>12</w:t>
            </w:r>
            <w:r>
              <w:rPr>
                <w:webHidden/>
              </w:rPr>
              <w:fldChar w:fldCharType="end"/>
            </w:r>
          </w:hyperlink>
        </w:p>
        <w:p w14:paraId="02F805B3" w14:textId="4D5D0DCD" w:rsidR="00FE5D23" w:rsidRDefault="00FE5D23">
          <w:pPr>
            <w:pStyle w:val="TOC2"/>
            <w:rPr>
              <w:rFonts w:asciiTheme="minorHAnsi" w:eastAsiaTheme="minorEastAsia" w:hAnsiTheme="minorHAnsi"/>
              <w:kern w:val="2"/>
              <w:sz w:val="24"/>
              <w:szCs w:val="24"/>
              <w:lang w:val="en-AU" w:eastAsia="en-AU"/>
              <w14:ligatures w14:val="standardContextual"/>
            </w:rPr>
          </w:pPr>
          <w:hyperlink w:anchor="_Toc210815613" w:history="1">
            <w:r w:rsidRPr="00A6408E">
              <w:rPr>
                <w:rStyle w:val="Hyperlink"/>
              </w:rPr>
              <w:t>4.4</w:t>
            </w:r>
            <w:r>
              <w:rPr>
                <w:rFonts w:asciiTheme="minorHAnsi" w:eastAsiaTheme="minorEastAsia" w:hAnsiTheme="minorHAnsi"/>
                <w:kern w:val="2"/>
                <w:sz w:val="24"/>
                <w:szCs w:val="24"/>
                <w:lang w:val="en-AU" w:eastAsia="en-AU"/>
                <w14:ligatures w14:val="standardContextual"/>
              </w:rPr>
              <w:tab/>
            </w:r>
            <w:r w:rsidRPr="00A6408E">
              <w:rPr>
                <w:rStyle w:val="Hyperlink"/>
              </w:rPr>
              <w:t>Non-compliance with funding obligations</w:t>
            </w:r>
            <w:r>
              <w:rPr>
                <w:webHidden/>
              </w:rPr>
              <w:tab/>
            </w:r>
            <w:r>
              <w:rPr>
                <w:webHidden/>
              </w:rPr>
              <w:fldChar w:fldCharType="begin"/>
            </w:r>
            <w:r>
              <w:rPr>
                <w:webHidden/>
              </w:rPr>
              <w:instrText xml:space="preserve"> PAGEREF _Toc210815613 \h </w:instrText>
            </w:r>
            <w:r>
              <w:rPr>
                <w:webHidden/>
              </w:rPr>
            </w:r>
            <w:r>
              <w:rPr>
                <w:webHidden/>
              </w:rPr>
              <w:fldChar w:fldCharType="separate"/>
            </w:r>
            <w:r w:rsidR="00587C96">
              <w:rPr>
                <w:webHidden/>
              </w:rPr>
              <w:t>13</w:t>
            </w:r>
            <w:r>
              <w:rPr>
                <w:webHidden/>
              </w:rPr>
              <w:fldChar w:fldCharType="end"/>
            </w:r>
          </w:hyperlink>
        </w:p>
        <w:p w14:paraId="4AA68673" w14:textId="16777FC5"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617" w:history="1">
            <w:r w:rsidRPr="00A6408E">
              <w:rPr>
                <w:rStyle w:val="Hyperlink"/>
              </w:rPr>
              <w:t>Appendix A – Terms of reference</w:t>
            </w:r>
            <w:r>
              <w:rPr>
                <w:noProof/>
                <w:webHidden/>
              </w:rPr>
              <w:tab/>
            </w:r>
            <w:r>
              <w:rPr>
                <w:noProof/>
                <w:webHidden/>
              </w:rPr>
              <w:fldChar w:fldCharType="begin"/>
            </w:r>
            <w:r>
              <w:rPr>
                <w:noProof/>
                <w:webHidden/>
              </w:rPr>
              <w:instrText xml:space="preserve"> PAGEREF _Toc210815617 \h </w:instrText>
            </w:r>
            <w:r>
              <w:rPr>
                <w:noProof/>
                <w:webHidden/>
              </w:rPr>
            </w:r>
            <w:r>
              <w:rPr>
                <w:noProof/>
                <w:webHidden/>
              </w:rPr>
              <w:fldChar w:fldCharType="separate"/>
            </w:r>
            <w:r w:rsidR="00587C96">
              <w:rPr>
                <w:noProof/>
                <w:webHidden/>
              </w:rPr>
              <w:t>18</w:t>
            </w:r>
            <w:r>
              <w:rPr>
                <w:noProof/>
                <w:webHidden/>
              </w:rPr>
              <w:fldChar w:fldCharType="end"/>
            </w:r>
          </w:hyperlink>
        </w:p>
        <w:p w14:paraId="7180CCC1" w14:textId="5DAA0A0F"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618" w:history="1">
            <w:r w:rsidRPr="00A6408E">
              <w:rPr>
                <w:rStyle w:val="Hyperlink"/>
              </w:rPr>
              <w:t>Appendix B – Review process</w:t>
            </w:r>
            <w:r>
              <w:rPr>
                <w:noProof/>
                <w:webHidden/>
              </w:rPr>
              <w:tab/>
            </w:r>
            <w:r>
              <w:rPr>
                <w:noProof/>
                <w:webHidden/>
              </w:rPr>
              <w:fldChar w:fldCharType="begin"/>
            </w:r>
            <w:r>
              <w:rPr>
                <w:noProof/>
                <w:webHidden/>
              </w:rPr>
              <w:instrText xml:space="preserve"> PAGEREF _Toc210815618 \h </w:instrText>
            </w:r>
            <w:r>
              <w:rPr>
                <w:noProof/>
                <w:webHidden/>
              </w:rPr>
            </w:r>
            <w:r>
              <w:rPr>
                <w:noProof/>
                <w:webHidden/>
              </w:rPr>
              <w:fldChar w:fldCharType="separate"/>
            </w:r>
            <w:r w:rsidR="00587C96">
              <w:rPr>
                <w:noProof/>
                <w:webHidden/>
              </w:rPr>
              <w:t>21</w:t>
            </w:r>
            <w:r>
              <w:rPr>
                <w:noProof/>
                <w:webHidden/>
              </w:rPr>
              <w:fldChar w:fldCharType="end"/>
            </w:r>
          </w:hyperlink>
        </w:p>
        <w:p w14:paraId="54921794" w14:textId="3B4FB36D"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622" w:history="1">
            <w:r w:rsidRPr="00A6408E">
              <w:rPr>
                <w:rStyle w:val="Hyperlink"/>
              </w:rPr>
              <w:t>Appendix C – State and territory responses</w:t>
            </w:r>
            <w:r>
              <w:rPr>
                <w:noProof/>
                <w:webHidden/>
              </w:rPr>
              <w:tab/>
            </w:r>
            <w:r>
              <w:rPr>
                <w:noProof/>
                <w:webHidden/>
              </w:rPr>
              <w:fldChar w:fldCharType="begin"/>
            </w:r>
            <w:r>
              <w:rPr>
                <w:noProof/>
                <w:webHidden/>
              </w:rPr>
              <w:instrText xml:space="preserve"> PAGEREF _Toc210815622 \h </w:instrText>
            </w:r>
            <w:r>
              <w:rPr>
                <w:noProof/>
                <w:webHidden/>
              </w:rPr>
            </w:r>
            <w:r>
              <w:rPr>
                <w:noProof/>
                <w:webHidden/>
              </w:rPr>
              <w:fldChar w:fldCharType="separate"/>
            </w:r>
            <w:r w:rsidR="00587C96">
              <w:rPr>
                <w:noProof/>
                <w:webHidden/>
              </w:rPr>
              <w:t>22</w:t>
            </w:r>
            <w:r>
              <w:rPr>
                <w:noProof/>
                <w:webHidden/>
              </w:rPr>
              <w:fldChar w:fldCharType="end"/>
            </w:r>
          </w:hyperlink>
        </w:p>
        <w:p w14:paraId="4EF73B5B" w14:textId="40D947EF"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625" w:history="1">
            <w:r w:rsidRPr="00A6408E">
              <w:rPr>
                <w:rStyle w:val="Hyperlink"/>
              </w:rPr>
              <w:t>Appendix D – Guidance to reporting state and territory funding contribution requirements</w:t>
            </w:r>
            <w:r>
              <w:rPr>
                <w:noProof/>
                <w:webHidden/>
              </w:rPr>
              <w:tab/>
            </w:r>
            <w:r>
              <w:rPr>
                <w:noProof/>
                <w:webHidden/>
              </w:rPr>
              <w:fldChar w:fldCharType="begin"/>
            </w:r>
            <w:r>
              <w:rPr>
                <w:noProof/>
                <w:webHidden/>
              </w:rPr>
              <w:instrText xml:space="preserve"> PAGEREF _Toc210815625 \h </w:instrText>
            </w:r>
            <w:r>
              <w:rPr>
                <w:noProof/>
                <w:webHidden/>
              </w:rPr>
            </w:r>
            <w:r>
              <w:rPr>
                <w:noProof/>
                <w:webHidden/>
              </w:rPr>
              <w:fldChar w:fldCharType="separate"/>
            </w:r>
            <w:r w:rsidR="00587C96">
              <w:rPr>
                <w:noProof/>
                <w:webHidden/>
              </w:rPr>
              <w:t>25</w:t>
            </w:r>
            <w:r>
              <w:rPr>
                <w:noProof/>
                <w:webHidden/>
              </w:rPr>
              <w:fldChar w:fldCharType="end"/>
            </w:r>
          </w:hyperlink>
        </w:p>
        <w:p w14:paraId="7DACE108" w14:textId="0413756A"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626" w:history="1">
            <w:r w:rsidRPr="00A6408E">
              <w:rPr>
                <w:rStyle w:val="Hyperlink"/>
              </w:rPr>
              <w:t>Appendix E – Jurisdictions’ reporting</w:t>
            </w:r>
            <w:r>
              <w:rPr>
                <w:noProof/>
                <w:webHidden/>
              </w:rPr>
              <w:tab/>
            </w:r>
            <w:r>
              <w:rPr>
                <w:noProof/>
                <w:webHidden/>
              </w:rPr>
              <w:fldChar w:fldCharType="begin"/>
            </w:r>
            <w:r>
              <w:rPr>
                <w:noProof/>
                <w:webHidden/>
              </w:rPr>
              <w:instrText xml:space="preserve"> PAGEREF _Toc210815626 \h </w:instrText>
            </w:r>
            <w:r>
              <w:rPr>
                <w:noProof/>
                <w:webHidden/>
              </w:rPr>
            </w:r>
            <w:r>
              <w:rPr>
                <w:noProof/>
                <w:webHidden/>
              </w:rPr>
              <w:fldChar w:fldCharType="separate"/>
            </w:r>
            <w:r w:rsidR="00587C96">
              <w:rPr>
                <w:noProof/>
                <w:webHidden/>
              </w:rPr>
              <w:t>38</w:t>
            </w:r>
            <w:r>
              <w:rPr>
                <w:noProof/>
                <w:webHidden/>
              </w:rPr>
              <w:fldChar w:fldCharType="end"/>
            </w:r>
          </w:hyperlink>
        </w:p>
        <w:p w14:paraId="76F20053" w14:textId="0D971C04" w:rsidR="00FE5D23" w:rsidRDefault="00FE5D23">
          <w:pPr>
            <w:pStyle w:val="TOC1"/>
            <w:rPr>
              <w:rFonts w:asciiTheme="minorHAnsi" w:eastAsiaTheme="minorEastAsia" w:hAnsiTheme="minorHAnsi"/>
              <w:noProof/>
              <w:color w:val="auto"/>
              <w:kern w:val="2"/>
              <w:sz w:val="24"/>
              <w:szCs w:val="24"/>
              <w:lang w:eastAsia="en-AU"/>
              <w14:ligatures w14:val="standardContextual"/>
            </w:rPr>
          </w:pPr>
          <w:hyperlink w:anchor="_Toc210815635" w:history="1">
            <w:r w:rsidRPr="00A6408E">
              <w:rPr>
                <w:rStyle w:val="Hyperlink"/>
              </w:rPr>
              <w:t>Appendix F – References</w:t>
            </w:r>
            <w:r>
              <w:rPr>
                <w:noProof/>
                <w:webHidden/>
              </w:rPr>
              <w:tab/>
            </w:r>
            <w:r>
              <w:rPr>
                <w:noProof/>
                <w:webHidden/>
              </w:rPr>
              <w:fldChar w:fldCharType="begin"/>
            </w:r>
            <w:r>
              <w:rPr>
                <w:noProof/>
                <w:webHidden/>
              </w:rPr>
              <w:instrText xml:space="preserve"> PAGEREF _Toc210815635 \h </w:instrText>
            </w:r>
            <w:r>
              <w:rPr>
                <w:noProof/>
                <w:webHidden/>
              </w:rPr>
            </w:r>
            <w:r>
              <w:rPr>
                <w:noProof/>
                <w:webHidden/>
              </w:rPr>
              <w:fldChar w:fldCharType="separate"/>
            </w:r>
            <w:r w:rsidR="00587C96">
              <w:rPr>
                <w:noProof/>
                <w:webHidden/>
              </w:rPr>
              <w:t>42</w:t>
            </w:r>
            <w:r>
              <w:rPr>
                <w:noProof/>
                <w:webHidden/>
              </w:rPr>
              <w:fldChar w:fldCharType="end"/>
            </w:r>
          </w:hyperlink>
        </w:p>
        <w:p w14:paraId="5214D0A3" w14:textId="3D035E5F" w:rsidR="6EFF90B0" w:rsidRDefault="6EFF90B0" w:rsidP="00FE5D23">
          <w:pPr>
            <w:pStyle w:val="TOC1"/>
            <w:rPr>
              <w:rStyle w:val="Hyperlink"/>
            </w:rPr>
          </w:pPr>
          <w:r>
            <w:fldChar w:fldCharType="end"/>
          </w:r>
        </w:p>
      </w:sdtContent>
    </w:sdt>
    <w:p w14:paraId="38907A81" w14:textId="1925287E" w:rsidR="00AA0344" w:rsidRDefault="00AA0344"/>
    <w:p w14:paraId="3EA1E2E7" w14:textId="77777777" w:rsidR="00C13137" w:rsidRDefault="00C13137" w:rsidP="00C54C5D">
      <w:pPr>
        <w:sectPr w:rsidR="00C13137" w:rsidSect="00452579">
          <w:headerReference w:type="even" r:id="rId26"/>
          <w:headerReference w:type="default" r:id="rId27"/>
          <w:footerReference w:type="even" r:id="rId28"/>
          <w:footerReference w:type="default" r:id="rId29"/>
          <w:headerReference w:type="first" r:id="rId30"/>
          <w:pgSz w:w="11906" w:h="16838"/>
          <w:pgMar w:top="1134" w:right="1418" w:bottom="1701" w:left="1418" w:header="680" w:footer="357" w:gutter="0"/>
          <w:pgNumType w:fmt="upperRoman" w:start="1"/>
          <w:cols w:space="708"/>
          <w:docGrid w:linePitch="360"/>
        </w:sectPr>
      </w:pPr>
    </w:p>
    <w:p w14:paraId="65BC2C7D" w14:textId="0B64B49B" w:rsidR="00A67E45" w:rsidRDefault="00A67E45" w:rsidP="00C13137">
      <w:pPr>
        <w:pStyle w:val="Heading1"/>
      </w:pPr>
      <w:bookmarkStart w:id="30" w:name="_Toc210815576"/>
      <w:bookmarkStart w:id="31" w:name="_Toc160180095"/>
      <w:bookmarkStart w:id="32" w:name="Glossary"/>
      <w:r>
        <w:lastRenderedPageBreak/>
        <w:t>List of figures</w:t>
      </w:r>
      <w:bookmarkEnd w:id="30"/>
    </w:p>
    <w:p w14:paraId="56872CF7" w14:textId="2B88BD0E" w:rsidR="006F6A92" w:rsidRDefault="00045F0A">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fldChar w:fldCharType="begin"/>
      </w:r>
      <w:r>
        <w:instrText xml:space="preserve"> TOC \h \z \c "Figure" </w:instrText>
      </w:r>
      <w:r>
        <w:fldChar w:fldCharType="separate"/>
      </w:r>
      <w:hyperlink w:anchor="_Toc200636973" w:history="1">
        <w:r w:rsidR="006F6A92" w:rsidRPr="00DE517C">
          <w:rPr>
            <w:rStyle w:val="Hyperlink"/>
          </w:rPr>
          <w:t>Figure 1: The SRS determines total public funding for schooling</w:t>
        </w:r>
        <w:r w:rsidR="006F6A92">
          <w:rPr>
            <w:noProof/>
            <w:webHidden/>
          </w:rPr>
          <w:tab/>
        </w:r>
        <w:r w:rsidR="006F6A92">
          <w:rPr>
            <w:noProof/>
            <w:webHidden/>
          </w:rPr>
          <w:fldChar w:fldCharType="begin"/>
        </w:r>
        <w:r w:rsidR="006F6A92">
          <w:rPr>
            <w:noProof/>
            <w:webHidden/>
          </w:rPr>
          <w:instrText xml:space="preserve"> PAGEREF _Toc200636973 \h </w:instrText>
        </w:r>
        <w:r w:rsidR="006F6A92">
          <w:rPr>
            <w:noProof/>
            <w:webHidden/>
          </w:rPr>
        </w:r>
        <w:r w:rsidR="006F6A92">
          <w:rPr>
            <w:noProof/>
            <w:webHidden/>
          </w:rPr>
          <w:fldChar w:fldCharType="separate"/>
        </w:r>
        <w:r w:rsidR="00587C96">
          <w:rPr>
            <w:noProof/>
            <w:webHidden/>
          </w:rPr>
          <w:t>3</w:t>
        </w:r>
        <w:r w:rsidR="006F6A92">
          <w:rPr>
            <w:noProof/>
            <w:webHidden/>
          </w:rPr>
          <w:fldChar w:fldCharType="end"/>
        </w:r>
      </w:hyperlink>
    </w:p>
    <w:p w14:paraId="1AD4D2AE" w14:textId="4B3372FF" w:rsidR="006F6A92" w:rsidRDefault="006F6A9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hyperlink w:anchor="_Toc200636974" w:history="1">
        <w:r w:rsidRPr="00DE517C">
          <w:rPr>
            <w:rStyle w:val="Hyperlink"/>
          </w:rPr>
          <w:t>Figure 2: Jurisdictions’ SRS contributions for the government sector</w:t>
        </w:r>
        <w:r>
          <w:rPr>
            <w:noProof/>
            <w:webHidden/>
          </w:rPr>
          <w:tab/>
        </w:r>
        <w:r>
          <w:rPr>
            <w:noProof/>
            <w:webHidden/>
          </w:rPr>
          <w:fldChar w:fldCharType="begin"/>
        </w:r>
        <w:r>
          <w:rPr>
            <w:noProof/>
            <w:webHidden/>
          </w:rPr>
          <w:instrText xml:space="preserve"> PAGEREF _Toc200636974 \h </w:instrText>
        </w:r>
        <w:r>
          <w:rPr>
            <w:noProof/>
            <w:webHidden/>
          </w:rPr>
        </w:r>
        <w:r>
          <w:rPr>
            <w:noProof/>
            <w:webHidden/>
          </w:rPr>
          <w:fldChar w:fldCharType="separate"/>
        </w:r>
        <w:r w:rsidR="00587C96">
          <w:rPr>
            <w:noProof/>
            <w:webHidden/>
          </w:rPr>
          <w:t>11</w:t>
        </w:r>
        <w:r>
          <w:rPr>
            <w:noProof/>
            <w:webHidden/>
          </w:rPr>
          <w:fldChar w:fldCharType="end"/>
        </w:r>
      </w:hyperlink>
    </w:p>
    <w:p w14:paraId="71A3139B" w14:textId="247AF8ED" w:rsidR="006F6A92" w:rsidRDefault="006F6A9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hyperlink w:anchor="_Toc200636975" w:history="1">
        <w:r w:rsidRPr="00DE517C">
          <w:rPr>
            <w:rStyle w:val="Hyperlink"/>
          </w:rPr>
          <w:t>Figure 3: Jurisdictions’ SRS contributions for the non-government sector</w:t>
        </w:r>
        <w:r>
          <w:rPr>
            <w:noProof/>
            <w:webHidden/>
          </w:rPr>
          <w:tab/>
        </w:r>
        <w:r>
          <w:rPr>
            <w:noProof/>
            <w:webHidden/>
          </w:rPr>
          <w:fldChar w:fldCharType="begin"/>
        </w:r>
        <w:r>
          <w:rPr>
            <w:noProof/>
            <w:webHidden/>
          </w:rPr>
          <w:instrText xml:space="preserve"> PAGEREF _Toc200636975 \h </w:instrText>
        </w:r>
        <w:r>
          <w:rPr>
            <w:noProof/>
            <w:webHidden/>
          </w:rPr>
        </w:r>
        <w:r>
          <w:rPr>
            <w:noProof/>
            <w:webHidden/>
          </w:rPr>
          <w:fldChar w:fldCharType="separate"/>
        </w:r>
        <w:r w:rsidR="00587C96">
          <w:rPr>
            <w:noProof/>
            <w:webHidden/>
          </w:rPr>
          <w:t>12</w:t>
        </w:r>
        <w:r>
          <w:rPr>
            <w:noProof/>
            <w:webHidden/>
          </w:rPr>
          <w:fldChar w:fldCharType="end"/>
        </w:r>
      </w:hyperlink>
    </w:p>
    <w:p w14:paraId="293993DE" w14:textId="18341C92" w:rsidR="001C3E9B" w:rsidRPr="00A67E45" w:rsidRDefault="00045F0A" w:rsidP="00F01CE9">
      <w:r>
        <w:fldChar w:fldCharType="end"/>
      </w:r>
    </w:p>
    <w:p w14:paraId="50594821" w14:textId="49654E0E" w:rsidR="00C52B6B" w:rsidRDefault="00C52B6B" w:rsidP="00C52B6B">
      <w:pPr>
        <w:pStyle w:val="Heading1"/>
      </w:pPr>
      <w:bookmarkStart w:id="33" w:name="_Toc210815577"/>
      <w:r>
        <w:t>List of tables</w:t>
      </w:r>
      <w:bookmarkEnd w:id="33"/>
    </w:p>
    <w:p w14:paraId="575DF60A" w14:textId="1DA89BB5" w:rsidR="006F6A92" w:rsidRDefault="00FD798A">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fldChar w:fldCharType="begin"/>
      </w:r>
      <w:r>
        <w:instrText xml:space="preserve"> TOC \h \z \c "Table" </w:instrText>
      </w:r>
      <w:r>
        <w:fldChar w:fldCharType="separate"/>
      </w:r>
      <w:hyperlink w:anchor="_Toc200636983" w:history="1">
        <w:r w:rsidR="006F6A92" w:rsidRPr="00C54417">
          <w:rPr>
            <w:rStyle w:val="Hyperlink"/>
          </w:rPr>
          <w:t>Table 1: Assessment of jurisdictions’ meeting reporting timeframes</w:t>
        </w:r>
        <w:r w:rsidR="006F6A92">
          <w:rPr>
            <w:noProof/>
            <w:webHidden/>
          </w:rPr>
          <w:tab/>
        </w:r>
        <w:r w:rsidR="006F6A92">
          <w:rPr>
            <w:noProof/>
            <w:webHidden/>
          </w:rPr>
          <w:fldChar w:fldCharType="begin"/>
        </w:r>
        <w:r w:rsidR="006F6A92">
          <w:rPr>
            <w:noProof/>
            <w:webHidden/>
          </w:rPr>
          <w:instrText xml:space="preserve"> PAGEREF _Toc200636983 \h </w:instrText>
        </w:r>
        <w:r w:rsidR="006F6A92">
          <w:rPr>
            <w:noProof/>
            <w:webHidden/>
          </w:rPr>
        </w:r>
        <w:r w:rsidR="006F6A92">
          <w:rPr>
            <w:noProof/>
            <w:webHidden/>
          </w:rPr>
          <w:fldChar w:fldCharType="separate"/>
        </w:r>
        <w:r w:rsidR="00587C96">
          <w:rPr>
            <w:noProof/>
            <w:webHidden/>
          </w:rPr>
          <w:t>6</w:t>
        </w:r>
        <w:r w:rsidR="006F6A92">
          <w:rPr>
            <w:noProof/>
            <w:webHidden/>
          </w:rPr>
          <w:fldChar w:fldCharType="end"/>
        </w:r>
      </w:hyperlink>
    </w:p>
    <w:p w14:paraId="4AB4B4C6" w14:textId="4F5BCD4E" w:rsidR="006F6A92" w:rsidRDefault="006F6A9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hyperlink w:anchor="_Toc200636984" w:history="1">
        <w:r w:rsidRPr="00C54417">
          <w:rPr>
            <w:rStyle w:val="Hyperlink"/>
          </w:rPr>
          <w:t xml:space="preserve">Table 2: Assessment of jurisdictions’ annual reports against the </w:t>
        </w:r>
        <w:r w:rsidRPr="00C54417">
          <w:rPr>
            <w:rStyle w:val="Hyperlink"/>
            <w:i/>
            <w:iCs/>
          </w:rPr>
          <w:t>Guidance to Reporting</w:t>
        </w:r>
        <w:r>
          <w:rPr>
            <w:noProof/>
            <w:webHidden/>
          </w:rPr>
          <w:tab/>
        </w:r>
        <w:r>
          <w:rPr>
            <w:noProof/>
            <w:webHidden/>
          </w:rPr>
          <w:fldChar w:fldCharType="begin"/>
        </w:r>
        <w:r>
          <w:rPr>
            <w:noProof/>
            <w:webHidden/>
          </w:rPr>
          <w:instrText xml:space="preserve"> PAGEREF _Toc200636984 \h </w:instrText>
        </w:r>
        <w:r>
          <w:rPr>
            <w:noProof/>
            <w:webHidden/>
          </w:rPr>
        </w:r>
        <w:r>
          <w:rPr>
            <w:noProof/>
            <w:webHidden/>
          </w:rPr>
          <w:fldChar w:fldCharType="separate"/>
        </w:r>
        <w:r w:rsidR="00587C96">
          <w:rPr>
            <w:noProof/>
            <w:webHidden/>
          </w:rPr>
          <w:t>6</w:t>
        </w:r>
        <w:r>
          <w:rPr>
            <w:noProof/>
            <w:webHidden/>
          </w:rPr>
          <w:fldChar w:fldCharType="end"/>
        </w:r>
      </w:hyperlink>
    </w:p>
    <w:p w14:paraId="1187F34A" w14:textId="21A1531B" w:rsidR="006F6A92" w:rsidRDefault="006F6A9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hyperlink w:anchor="_Toc200636985" w:history="1">
        <w:r w:rsidRPr="00C54417">
          <w:rPr>
            <w:rStyle w:val="Hyperlink"/>
          </w:rPr>
          <w:t>Table 3: Assessment of jurisdictions’ funding obligations for the 2023 funding year</w:t>
        </w:r>
        <w:r>
          <w:rPr>
            <w:noProof/>
            <w:webHidden/>
          </w:rPr>
          <w:tab/>
        </w:r>
        <w:r>
          <w:rPr>
            <w:noProof/>
            <w:webHidden/>
          </w:rPr>
          <w:fldChar w:fldCharType="begin"/>
        </w:r>
        <w:r>
          <w:rPr>
            <w:noProof/>
            <w:webHidden/>
          </w:rPr>
          <w:instrText xml:space="preserve"> PAGEREF _Toc200636985 \h </w:instrText>
        </w:r>
        <w:r>
          <w:rPr>
            <w:noProof/>
            <w:webHidden/>
          </w:rPr>
        </w:r>
        <w:r>
          <w:rPr>
            <w:noProof/>
            <w:webHidden/>
          </w:rPr>
          <w:fldChar w:fldCharType="separate"/>
        </w:r>
        <w:r w:rsidR="00587C96">
          <w:rPr>
            <w:noProof/>
            <w:webHidden/>
          </w:rPr>
          <w:t>10</w:t>
        </w:r>
        <w:r>
          <w:rPr>
            <w:noProof/>
            <w:webHidden/>
          </w:rPr>
          <w:fldChar w:fldCharType="end"/>
        </w:r>
      </w:hyperlink>
    </w:p>
    <w:p w14:paraId="278D0BD1" w14:textId="5E07B2B4" w:rsidR="006F6A92" w:rsidRDefault="006F6A9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hyperlink w:anchor="_Toc200636986" w:history="1">
        <w:r w:rsidRPr="00C54417">
          <w:rPr>
            <w:rStyle w:val="Hyperlink"/>
          </w:rPr>
          <w:t>Table 4: History of the Northern Territory’s funding compliance for government and non-government sectors</w:t>
        </w:r>
        <w:r>
          <w:rPr>
            <w:noProof/>
            <w:webHidden/>
          </w:rPr>
          <w:tab/>
        </w:r>
        <w:r>
          <w:rPr>
            <w:noProof/>
            <w:webHidden/>
          </w:rPr>
          <w:fldChar w:fldCharType="begin"/>
        </w:r>
        <w:r>
          <w:rPr>
            <w:noProof/>
            <w:webHidden/>
          </w:rPr>
          <w:instrText xml:space="preserve"> PAGEREF _Toc200636986 \h </w:instrText>
        </w:r>
        <w:r>
          <w:rPr>
            <w:noProof/>
            <w:webHidden/>
          </w:rPr>
        </w:r>
        <w:r>
          <w:rPr>
            <w:noProof/>
            <w:webHidden/>
          </w:rPr>
          <w:fldChar w:fldCharType="separate"/>
        </w:r>
        <w:r w:rsidR="00587C96">
          <w:rPr>
            <w:noProof/>
            <w:webHidden/>
          </w:rPr>
          <w:t>15</w:t>
        </w:r>
        <w:r>
          <w:rPr>
            <w:noProof/>
            <w:webHidden/>
          </w:rPr>
          <w:fldChar w:fldCharType="end"/>
        </w:r>
      </w:hyperlink>
    </w:p>
    <w:p w14:paraId="690B11A9" w14:textId="352E3142" w:rsidR="006F6A92" w:rsidRDefault="006F6A9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hyperlink w:anchor="_Toc200636987" w:history="1">
        <w:r w:rsidRPr="00C54417">
          <w:rPr>
            <w:rStyle w:val="Hyperlink"/>
          </w:rPr>
          <w:t>Table 5: History of Victoria’s funding compliance for government and non-government sectors</w:t>
        </w:r>
        <w:r>
          <w:rPr>
            <w:noProof/>
            <w:webHidden/>
          </w:rPr>
          <w:tab/>
        </w:r>
        <w:r>
          <w:rPr>
            <w:noProof/>
            <w:webHidden/>
          </w:rPr>
          <w:fldChar w:fldCharType="begin"/>
        </w:r>
        <w:r>
          <w:rPr>
            <w:noProof/>
            <w:webHidden/>
          </w:rPr>
          <w:instrText xml:space="preserve"> PAGEREF _Toc200636987 \h </w:instrText>
        </w:r>
        <w:r>
          <w:rPr>
            <w:noProof/>
            <w:webHidden/>
          </w:rPr>
        </w:r>
        <w:r>
          <w:rPr>
            <w:noProof/>
            <w:webHidden/>
          </w:rPr>
          <w:fldChar w:fldCharType="separate"/>
        </w:r>
        <w:r w:rsidR="00587C96">
          <w:rPr>
            <w:noProof/>
            <w:webHidden/>
          </w:rPr>
          <w:t>17</w:t>
        </w:r>
        <w:r>
          <w:rPr>
            <w:noProof/>
            <w:webHidden/>
          </w:rPr>
          <w:fldChar w:fldCharType="end"/>
        </w:r>
      </w:hyperlink>
    </w:p>
    <w:p w14:paraId="5F371079" w14:textId="68B17E32" w:rsidR="004F0A2C" w:rsidRPr="00A67E45" w:rsidRDefault="00FD798A" w:rsidP="00FD798A">
      <w:r>
        <w:fldChar w:fldCharType="end"/>
      </w:r>
    </w:p>
    <w:p w14:paraId="6DE25041" w14:textId="77777777" w:rsidR="00C52B6B" w:rsidRDefault="00C52B6B" w:rsidP="00C52B6B">
      <w:r>
        <w:br w:type="page"/>
      </w:r>
    </w:p>
    <w:p w14:paraId="638A7C67" w14:textId="7F03B3E6" w:rsidR="009F037E" w:rsidRDefault="009F037E" w:rsidP="00C13137">
      <w:pPr>
        <w:pStyle w:val="Heading1"/>
      </w:pPr>
      <w:bookmarkStart w:id="34" w:name="_Toc210815578"/>
      <w:r>
        <w:lastRenderedPageBreak/>
        <w:t>Glossary</w:t>
      </w:r>
      <w:bookmarkEnd w:id="31"/>
      <w:bookmarkEnd w:id="34"/>
    </w:p>
    <w:tbl>
      <w:tblPr>
        <w:tblStyle w:val="TableGrid"/>
        <w:tblW w:w="5025" w:type="pct"/>
        <w:tblLook w:val="04E0" w:firstRow="1" w:lastRow="1" w:firstColumn="1" w:lastColumn="0" w:noHBand="0" w:noVBand="1"/>
        <w:tblDescription w:val="Glossary of words and terms used in the report with definitions or explanations."/>
      </w:tblPr>
      <w:tblGrid>
        <w:gridCol w:w="2833"/>
        <w:gridCol w:w="6282"/>
      </w:tblGrid>
      <w:tr w:rsidR="009F037E" w:rsidRPr="00ED5D4D" w14:paraId="18B25A9A" w14:textId="77777777" w:rsidTr="3A93DC59">
        <w:trPr>
          <w:cnfStyle w:val="100000000000" w:firstRow="1" w:lastRow="0" w:firstColumn="0" w:lastColumn="0" w:oddVBand="0" w:evenVBand="0" w:oddHBand="0" w:evenHBand="0" w:firstRowFirstColumn="0" w:firstRowLastColumn="0" w:lastRowFirstColumn="0" w:lastRowLastColumn="0"/>
          <w:tblHeader/>
        </w:trPr>
        <w:tc>
          <w:tcPr>
            <w:tcW w:w="1554" w:type="pct"/>
          </w:tcPr>
          <w:p w14:paraId="52D35601" w14:textId="77777777" w:rsidR="009F037E" w:rsidRPr="00C13137" w:rsidRDefault="009F037E" w:rsidP="00C13137">
            <w:r w:rsidRPr="00C13137">
              <w:t>Term</w:t>
            </w:r>
          </w:p>
        </w:tc>
        <w:tc>
          <w:tcPr>
            <w:tcW w:w="3446" w:type="pct"/>
          </w:tcPr>
          <w:p w14:paraId="1097555C" w14:textId="77777777" w:rsidR="009F037E" w:rsidRPr="00C13137" w:rsidRDefault="009F037E" w:rsidP="00C13137">
            <w:r w:rsidRPr="00C13137">
              <w:t xml:space="preserve">Definition </w:t>
            </w:r>
          </w:p>
        </w:tc>
      </w:tr>
      <w:tr w:rsidR="00323AD0" w:rsidRPr="00ED5D4D" w14:paraId="4678F82C" w14:textId="77777777" w:rsidTr="3A93DC59">
        <w:trPr>
          <w:cnfStyle w:val="000000100000" w:firstRow="0" w:lastRow="0" w:firstColumn="0" w:lastColumn="0" w:oddVBand="0" w:evenVBand="0" w:oddHBand="1" w:evenHBand="0" w:firstRowFirstColumn="0" w:firstRowLastColumn="0" w:lastRowFirstColumn="0" w:lastRowLastColumn="0"/>
        </w:trPr>
        <w:tc>
          <w:tcPr>
            <w:tcW w:w="1554" w:type="pct"/>
            <w:vAlign w:val="top"/>
          </w:tcPr>
          <w:p w14:paraId="0D4A97EC" w14:textId="77777777" w:rsidR="00323AD0" w:rsidRPr="008E4AB5" w:rsidRDefault="00323AD0" w:rsidP="00323AD0">
            <w:pPr>
              <w:rPr>
                <w:rStyle w:val="Strong"/>
              </w:rPr>
            </w:pPr>
            <w:r w:rsidRPr="00D9708E">
              <w:rPr>
                <w:rStyle w:val="Strong"/>
              </w:rPr>
              <w:t>Approved authorities</w:t>
            </w:r>
          </w:p>
        </w:tc>
        <w:tc>
          <w:tcPr>
            <w:tcW w:w="3446" w:type="pct"/>
          </w:tcPr>
          <w:p w14:paraId="01B2E146" w14:textId="77777777" w:rsidR="00323AD0" w:rsidRPr="0041223A" w:rsidRDefault="00323AD0" w:rsidP="00323AD0">
            <w:r>
              <w:t>L</w:t>
            </w:r>
            <w:r w:rsidRPr="00D9708E">
              <w:t>egal entities that can receive Australian Government recurrent funding for one or more schools. </w:t>
            </w:r>
          </w:p>
        </w:tc>
      </w:tr>
      <w:tr w:rsidR="00323AD0" w:rsidRPr="00ED5D4D" w14:paraId="6DE88534" w14:textId="77777777" w:rsidTr="3A93DC59">
        <w:tc>
          <w:tcPr>
            <w:tcW w:w="1554" w:type="pct"/>
            <w:vAlign w:val="top"/>
          </w:tcPr>
          <w:p w14:paraId="29D57D3D" w14:textId="7D842A40" w:rsidR="00323AD0" w:rsidRPr="008E4AB5" w:rsidRDefault="00323AD0" w:rsidP="00323AD0">
            <w:pPr>
              <w:rPr>
                <w:rStyle w:val="Strong"/>
              </w:rPr>
            </w:pPr>
            <w:r w:rsidRPr="000E2DE5">
              <w:rPr>
                <w:rStyle w:val="Strong"/>
              </w:rPr>
              <w:t>Approved system authorities</w:t>
            </w:r>
            <w:r w:rsidR="001F0B76">
              <w:rPr>
                <w:rStyle w:val="Strong"/>
              </w:rPr>
              <w:t xml:space="preserve"> (systems)</w:t>
            </w:r>
          </w:p>
        </w:tc>
        <w:tc>
          <w:tcPr>
            <w:tcW w:w="3446" w:type="pct"/>
          </w:tcPr>
          <w:p w14:paraId="7E32620D" w14:textId="77777777" w:rsidR="00323AD0" w:rsidRPr="00ED5D4D" w:rsidRDefault="00323AD0" w:rsidP="00323AD0">
            <w:r w:rsidRPr="000E2DE5">
              <w:t>Approved authorities for more than one school that distribute funding according to their own needs-based funding arrangement. This includes state and territory governments</w:t>
            </w:r>
            <w:r>
              <w:t xml:space="preserve">. </w:t>
            </w:r>
          </w:p>
        </w:tc>
      </w:tr>
      <w:tr w:rsidR="00EE61B6" w:rsidRPr="00ED5D4D" w14:paraId="1976BF38" w14:textId="77777777" w:rsidTr="3A93DC59">
        <w:trPr>
          <w:cnfStyle w:val="000000100000" w:firstRow="0" w:lastRow="0" w:firstColumn="0" w:lastColumn="0" w:oddVBand="0" w:evenVBand="0" w:oddHBand="1" w:evenHBand="0" w:firstRowFirstColumn="0" w:firstRowLastColumn="0" w:lastRowFirstColumn="0" w:lastRowLastColumn="0"/>
        </w:trPr>
        <w:tc>
          <w:tcPr>
            <w:tcW w:w="1554" w:type="pct"/>
            <w:vAlign w:val="top"/>
          </w:tcPr>
          <w:p w14:paraId="0C4B1F18" w14:textId="61F3AFAD" w:rsidR="00EE61B6" w:rsidRPr="000E2DE5" w:rsidRDefault="00EE61B6" w:rsidP="00323AD0">
            <w:pPr>
              <w:rPr>
                <w:rStyle w:val="Strong"/>
              </w:rPr>
            </w:pPr>
            <w:r>
              <w:rPr>
                <w:rStyle w:val="Strong"/>
              </w:rPr>
              <w:t>Australian Curriculum</w:t>
            </w:r>
            <w:r w:rsidRPr="00A56184">
              <w:t xml:space="preserve">, </w:t>
            </w:r>
            <w:r w:rsidRPr="00EE61B6">
              <w:rPr>
                <w:rStyle w:val="Strong"/>
              </w:rPr>
              <w:t>Assessment and Reporting Authority</w:t>
            </w:r>
            <w:r>
              <w:rPr>
                <w:rStyle w:val="Strong"/>
              </w:rPr>
              <w:t xml:space="preserve"> (ACARA)</w:t>
            </w:r>
          </w:p>
        </w:tc>
        <w:tc>
          <w:tcPr>
            <w:tcW w:w="3446" w:type="pct"/>
          </w:tcPr>
          <w:p w14:paraId="38F4914B" w14:textId="63DC2670" w:rsidR="00EE61B6" w:rsidRPr="000E2DE5" w:rsidRDefault="00F10970" w:rsidP="00F10970">
            <w:r>
              <w:t>An</w:t>
            </w:r>
            <w:r w:rsidR="00187384">
              <w:t xml:space="preserve"> independent statutory authority </w:t>
            </w:r>
            <w:r w:rsidR="32AE704B">
              <w:t xml:space="preserve">that </w:t>
            </w:r>
            <w:r w:rsidR="00187384">
              <w:t>provides advice on national curriculum</w:t>
            </w:r>
            <w:r w:rsidR="00C108FA">
              <w:t>,</w:t>
            </w:r>
            <w:r w:rsidR="00187384">
              <w:t xml:space="preserve"> </w:t>
            </w:r>
            <w:r w:rsidR="000F6151">
              <w:t>assessment,</w:t>
            </w:r>
            <w:r w:rsidR="00187384">
              <w:t xml:space="preserve"> and reporting </w:t>
            </w:r>
            <w:r>
              <w:t>to</w:t>
            </w:r>
            <w:r w:rsidR="00187384">
              <w:t xml:space="preserve"> all Australian education ministers.</w:t>
            </w:r>
          </w:p>
        </w:tc>
      </w:tr>
      <w:tr w:rsidR="009F1D5B" w:rsidRPr="00ED5D4D" w14:paraId="58F41771" w14:textId="77777777" w:rsidTr="3A93DC59">
        <w:tc>
          <w:tcPr>
            <w:tcW w:w="1554" w:type="pct"/>
            <w:vAlign w:val="top"/>
          </w:tcPr>
          <w:p w14:paraId="5FED77B6" w14:textId="5EB96209" w:rsidR="009F1D5B" w:rsidRDefault="009F1D5B" w:rsidP="00782750">
            <w:pPr>
              <w:rPr>
                <w:rStyle w:val="Strong"/>
              </w:rPr>
            </w:pPr>
            <w:r>
              <w:rPr>
                <w:rStyle w:val="Strong"/>
              </w:rPr>
              <w:t>Australian Government Department of Education</w:t>
            </w:r>
          </w:p>
        </w:tc>
        <w:tc>
          <w:tcPr>
            <w:tcW w:w="3446" w:type="pct"/>
          </w:tcPr>
          <w:p w14:paraId="34165CD5" w14:textId="236D02BC" w:rsidR="009F1D5B" w:rsidRDefault="009F1D5B" w:rsidP="00782750">
            <w:r>
              <w:t>Commonwealth department that creates opportunities and drives better outcomes through access to quality education and learning</w:t>
            </w:r>
            <w:r w:rsidR="61C5AD6B">
              <w:t>.</w:t>
            </w:r>
          </w:p>
        </w:tc>
      </w:tr>
      <w:tr w:rsidR="00323AD0" w:rsidRPr="00ED5D4D" w14:paraId="75C2F8FD" w14:textId="77777777" w:rsidTr="3A93DC59">
        <w:trPr>
          <w:cnfStyle w:val="000000100000" w:firstRow="0" w:lastRow="0" w:firstColumn="0" w:lastColumn="0" w:oddVBand="0" w:evenVBand="0" w:oddHBand="1" w:evenHBand="0" w:firstRowFirstColumn="0" w:firstRowLastColumn="0" w:lastRowFirstColumn="0" w:lastRowLastColumn="0"/>
        </w:trPr>
        <w:tc>
          <w:tcPr>
            <w:tcW w:w="1554" w:type="pct"/>
            <w:vAlign w:val="top"/>
          </w:tcPr>
          <w:p w14:paraId="22188FAD" w14:textId="77777777" w:rsidR="00323AD0" w:rsidRPr="008E4AB5" w:rsidRDefault="00323AD0" w:rsidP="00323AD0">
            <w:pPr>
              <w:rPr>
                <w:rStyle w:val="Strong"/>
              </w:rPr>
            </w:pPr>
            <w:r>
              <w:rPr>
                <w:rStyle w:val="Strong"/>
              </w:rPr>
              <w:t>Bilateral agreements</w:t>
            </w:r>
          </w:p>
        </w:tc>
        <w:tc>
          <w:tcPr>
            <w:tcW w:w="3446" w:type="pct"/>
            <w:vAlign w:val="top"/>
          </w:tcPr>
          <w:p w14:paraId="4EED0418" w14:textId="5E238ED7" w:rsidR="00323AD0" w:rsidRPr="00ED5D4D" w:rsidRDefault="00323AD0" w:rsidP="00323AD0">
            <w:r>
              <w:t>Agreements under the National School Reform Agreement between each state and territory and the Commonwealth that sets out actions to improve student outcomes</w:t>
            </w:r>
            <w:r w:rsidR="00DA7F42">
              <w:t xml:space="preserve">. The agreements also set out </w:t>
            </w:r>
            <w:r>
              <w:t>minimum state and territory funding contribution requirements as a condition of receiving Commonwealth school funding.</w:t>
            </w:r>
          </w:p>
        </w:tc>
      </w:tr>
      <w:tr w:rsidR="00026169" w:rsidRPr="00ED5D4D" w14:paraId="1F115128" w14:textId="77777777" w:rsidTr="3A93DC59">
        <w:tc>
          <w:tcPr>
            <w:tcW w:w="1554" w:type="pct"/>
            <w:vAlign w:val="top"/>
          </w:tcPr>
          <w:p w14:paraId="53A59E83" w14:textId="2E16A2A4" w:rsidR="00026169" w:rsidRDefault="00026169" w:rsidP="00323AD0">
            <w:pPr>
              <w:rPr>
                <w:rStyle w:val="Strong"/>
              </w:rPr>
            </w:pPr>
            <w:r>
              <w:rPr>
                <w:rStyle w:val="Strong"/>
              </w:rPr>
              <w:t>Funding Estimation Tool (FET)</w:t>
            </w:r>
          </w:p>
        </w:tc>
        <w:tc>
          <w:tcPr>
            <w:tcW w:w="3446" w:type="pct"/>
            <w:vAlign w:val="top"/>
          </w:tcPr>
          <w:p w14:paraId="13BEF031" w14:textId="25BDA913" w:rsidR="00026169" w:rsidRDefault="3AD4D009" w:rsidP="3A93DC59">
            <w:pPr>
              <w:rPr>
                <w:color w:val="000000" w:themeColor="text1"/>
              </w:rPr>
            </w:pPr>
            <w:r w:rsidRPr="3A93DC59">
              <w:rPr>
                <w:color w:val="000000" w:themeColor="text1"/>
              </w:rPr>
              <w:t xml:space="preserve">Provides </w:t>
            </w:r>
            <w:r w:rsidR="1094BEF0" w:rsidRPr="3A93DC59">
              <w:rPr>
                <w:color w:val="000000" w:themeColor="text1"/>
              </w:rPr>
              <w:t xml:space="preserve">government </w:t>
            </w:r>
            <w:r w:rsidRPr="3A93DC59">
              <w:rPr>
                <w:color w:val="000000" w:themeColor="text1"/>
              </w:rPr>
              <w:t>approved system authorities with data o</w:t>
            </w:r>
            <w:r w:rsidR="00CD6C05">
              <w:rPr>
                <w:color w:val="000000" w:themeColor="text1"/>
              </w:rPr>
              <w:t>n</w:t>
            </w:r>
            <w:r w:rsidRPr="3A93DC59">
              <w:rPr>
                <w:color w:val="000000" w:themeColor="text1"/>
              </w:rPr>
              <w:t xml:space="preserve"> each system’s schools, modified by </w:t>
            </w:r>
            <w:r w:rsidR="2E8DE5B3" w:rsidRPr="3A93DC59">
              <w:rPr>
                <w:color w:val="000000" w:themeColor="text1"/>
              </w:rPr>
              <w:t xml:space="preserve">the Department of Education </w:t>
            </w:r>
            <w:r w:rsidRPr="3A93DC59">
              <w:rPr>
                <w:color w:val="000000" w:themeColor="text1"/>
              </w:rPr>
              <w:t xml:space="preserve">as needed to reflect updates to its source data, such as school census returns. </w:t>
            </w:r>
          </w:p>
        </w:tc>
      </w:tr>
      <w:tr w:rsidR="00D64177" w:rsidRPr="00ED5D4D" w14:paraId="355BA019" w14:textId="77777777" w:rsidTr="3A93DC59">
        <w:trPr>
          <w:cnfStyle w:val="000000100000" w:firstRow="0" w:lastRow="0" w:firstColumn="0" w:lastColumn="0" w:oddVBand="0" w:evenVBand="0" w:oddHBand="1" w:evenHBand="0" w:firstRowFirstColumn="0" w:firstRowLastColumn="0" w:lastRowFirstColumn="0" w:lastRowLastColumn="0"/>
        </w:trPr>
        <w:tc>
          <w:tcPr>
            <w:tcW w:w="1554" w:type="pct"/>
            <w:vAlign w:val="top"/>
          </w:tcPr>
          <w:p w14:paraId="2B6930C0" w14:textId="1826F6D5" w:rsidR="00D64177" w:rsidRDefault="00D64177" w:rsidP="00323AD0">
            <w:pPr>
              <w:rPr>
                <w:rStyle w:val="Strong"/>
              </w:rPr>
            </w:pPr>
            <w:r>
              <w:rPr>
                <w:rStyle w:val="Strong"/>
              </w:rPr>
              <w:t>Immaterial shortfall</w:t>
            </w:r>
          </w:p>
        </w:tc>
        <w:tc>
          <w:tcPr>
            <w:tcW w:w="3446" w:type="pct"/>
            <w:vAlign w:val="top"/>
          </w:tcPr>
          <w:p w14:paraId="7D8012BC" w14:textId="666F7371" w:rsidR="00D64177" w:rsidRDefault="26EEC35B" w:rsidP="522447BD">
            <w:r w:rsidRPr="3A93DC59">
              <w:t>A state or territory is not considered non</w:t>
            </w:r>
            <w:r w:rsidR="52465E3A" w:rsidRPr="3A93DC59">
              <w:t>-</w:t>
            </w:r>
            <w:r w:rsidRPr="3A93DC59">
              <w:t>compliant if its reported contribution falls short by an amount. This is included in bilateral agreements (except for the ACT), which stipulate that 0.6</w:t>
            </w:r>
            <w:r w:rsidR="1925A5C3" w:rsidRPr="3A93DC59">
              <w:t>%</w:t>
            </w:r>
            <w:r w:rsidRPr="3A93DC59">
              <w:t xml:space="preserve"> of the total SRS</w:t>
            </w:r>
            <w:r w:rsidR="02FF4E19" w:rsidRPr="3A93DC59">
              <w:t xml:space="preserve"> for a sector</w:t>
            </w:r>
            <w:r w:rsidR="42D06127" w:rsidRPr="3A93DC59">
              <w:t>, or another amount agreed by the Commonwealth Minister for Education,</w:t>
            </w:r>
            <w:r w:rsidRPr="3A93DC59">
              <w:t xml:space="preserve"> is considered ‘immaterial’.</w:t>
            </w:r>
          </w:p>
        </w:tc>
      </w:tr>
      <w:tr w:rsidR="0017315B" w:rsidRPr="00ED5D4D" w14:paraId="50B8B7D5" w14:textId="77777777" w:rsidTr="3A93DC59">
        <w:tc>
          <w:tcPr>
            <w:tcW w:w="1554" w:type="pct"/>
            <w:vAlign w:val="top"/>
          </w:tcPr>
          <w:p w14:paraId="4A45A8AD" w14:textId="6C8DBDD6" w:rsidR="0017315B" w:rsidRDefault="0017315B" w:rsidP="00323AD0">
            <w:pPr>
              <w:rPr>
                <w:rStyle w:val="Strong"/>
              </w:rPr>
            </w:pPr>
            <w:r>
              <w:rPr>
                <w:rStyle w:val="Strong"/>
              </w:rPr>
              <w:t>Mitigating factors/circumstances</w:t>
            </w:r>
          </w:p>
        </w:tc>
        <w:tc>
          <w:tcPr>
            <w:tcW w:w="3446" w:type="pct"/>
            <w:vAlign w:val="top"/>
          </w:tcPr>
          <w:p w14:paraId="6B521146" w14:textId="575A789E" w:rsidR="0017315B" w:rsidRDefault="0017315B" w:rsidP="00251E53">
            <w:r>
              <w:t xml:space="preserve">Described in the </w:t>
            </w:r>
            <w:r w:rsidRPr="00DA36E9">
              <w:rPr>
                <w:i/>
                <w:iCs/>
              </w:rPr>
              <w:t>Guidance to Reporting</w:t>
            </w:r>
            <w:r>
              <w:t xml:space="preserve"> –</w:t>
            </w:r>
            <w:r w:rsidR="00DA36E9">
              <w:t xml:space="preserve"> </w:t>
            </w:r>
            <w:r>
              <w:t>factors that may have contributed to a funding shortfall, including (but not limited to):</w:t>
            </w:r>
          </w:p>
          <w:p w14:paraId="6B624221" w14:textId="573CF737" w:rsidR="0017315B" w:rsidRDefault="0062634F" w:rsidP="00251E53">
            <w:pPr>
              <w:pStyle w:val="ListParagraph"/>
              <w:numPr>
                <w:ilvl w:val="0"/>
                <w:numId w:val="14"/>
              </w:numPr>
              <w:spacing w:before="120" w:after="120" w:line="240" w:lineRule="auto"/>
            </w:pPr>
            <w:r>
              <w:t>f</w:t>
            </w:r>
            <w:r w:rsidR="0017315B">
              <w:t>luctuations from year-to-year in funding</w:t>
            </w:r>
          </w:p>
          <w:p w14:paraId="19162EB5" w14:textId="2AC8D7DB" w:rsidR="0017315B" w:rsidRDefault="0062634F" w:rsidP="00251E53">
            <w:pPr>
              <w:pStyle w:val="ListParagraph"/>
              <w:numPr>
                <w:ilvl w:val="0"/>
                <w:numId w:val="14"/>
              </w:numPr>
              <w:spacing w:before="120" w:after="120" w:line="240" w:lineRule="auto"/>
            </w:pPr>
            <w:r>
              <w:t>u</w:t>
            </w:r>
            <w:r w:rsidR="0017315B">
              <w:t>nintended and unexpected budget pressures</w:t>
            </w:r>
          </w:p>
          <w:p w14:paraId="5DEE498F" w14:textId="41F833A7" w:rsidR="0017315B" w:rsidRDefault="0062634F" w:rsidP="00251E53">
            <w:pPr>
              <w:pStyle w:val="ListParagraph"/>
              <w:numPr>
                <w:ilvl w:val="0"/>
                <w:numId w:val="14"/>
              </w:numPr>
              <w:spacing w:before="120" w:after="120" w:line="240" w:lineRule="auto"/>
            </w:pPr>
            <w:r>
              <w:t>f</w:t>
            </w:r>
            <w:r w:rsidR="0017315B">
              <w:t>luctuations in enrolment numbers or student characteristics</w:t>
            </w:r>
          </w:p>
          <w:p w14:paraId="10C9AC63" w14:textId="1C554E15" w:rsidR="0017315B" w:rsidRDefault="76F821FC" w:rsidP="421ADA8C">
            <w:pPr>
              <w:pStyle w:val="ListParagraph"/>
              <w:numPr>
                <w:ilvl w:val="0"/>
                <w:numId w:val="14"/>
              </w:numPr>
              <w:spacing w:before="120" w:after="120" w:line="240" w:lineRule="auto"/>
            </w:pPr>
            <w:r w:rsidRPr="3A93DC59">
              <w:t>s</w:t>
            </w:r>
            <w:r w:rsidR="5D9DB394" w:rsidRPr="3A93DC59">
              <w:t>ignificant differences in allocated funding compared to actual school expenditure</w:t>
            </w:r>
            <w:r w:rsidR="3B4B7749" w:rsidRPr="3A93DC59">
              <w:t xml:space="preserve"> that is outside the control of state governments.</w:t>
            </w:r>
          </w:p>
          <w:p w14:paraId="47870B7E" w14:textId="268D20BB" w:rsidR="0017315B" w:rsidRDefault="0062634F" w:rsidP="00251E53">
            <w:pPr>
              <w:pStyle w:val="ListParagraph"/>
              <w:numPr>
                <w:ilvl w:val="0"/>
                <w:numId w:val="14"/>
              </w:numPr>
              <w:spacing w:before="120" w:after="120" w:line="240" w:lineRule="auto"/>
            </w:pPr>
            <w:r>
              <w:t>f</w:t>
            </w:r>
            <w:r w:rsidR="0017315B">
              <w:t>inancial accounting impacts (e.g. new accounting standards such as AASB 16 (Leases))</w:t>
            </w:r>
          </w:p>
          <w:p w14:paraId="59A4861C" w14:textId="42EC5331" w:rsidR="00A121CF" w:rsidRPr="00530EFF" w:rsidRDefault="1A73DA5E" w:rsidP="421ADA8C">
            <w:pPr>
              <w:pStyle w:val="ListParagraph"/>
              <w:numPr>
                <w:ilvl w:val="0"/>
                <w:numId w:val="14"/>
              </w:numPr>
              <w:spacing w:before="120" w:after="120" w:line="240" w:lineRule="auto"/>
            </w:pPr>
            <w:r w:rsidRPr="78B0A025">
              <w:t>unfinalised adjustments to required shares in bilateral agreements</w:t>
            </w:r>
          </w:p>
          <w:p w14:paraId="6D64D7D3" w14:textId="03A24169" w:rsidR="0017315B" w:rsidRDefault="0062634F" w:rsidP="00251E53">
            <w:pPr>
              <w:pStyle w:val="ListParagraph"/>
              <w:numPr>
                <w:ilvl w:val="0"/>
                <w:numId w:val="14"/>
              </w:numPr>
              <w:spacing w:before="120" w:after="120" w:line="240" w:lineRule="auto"/>
              <w:ind w:left="714" w:hanging="357"/>
            </w:pPr>
            <w:r>
              <w:lastRenderedPageBreak/>
              <w:t>u</w:t>
            </w:r>
            <w:r w:rsidR="0017315B">
              <w:t>nforeseeable circumstances (e.g. natural disasters).</w:t>
            </w:r>
          </w:p>
        </w:tc>
      </w:tr>
      <w:tr w:rsidR="00323AD0" w:rsidRPr="00ED5D4D" w14:paraId="4E4D8646" w14:textId="77777777" w:rsidTr="3A93DC59">
        <w:trPr>
          <w:cnfStyle w:val="000000100000" w:firstRow="0" w:lastRow="0" w:firstColumn="0" w:lastColumn="0" w:oddVBand="0" w:evenVBand="0" w:oddHBand="1" w:evenHBand="0" w:firstRowFirstColumn="0" w:firstRowLastColumn="0" w:lastRowFirstColumn="0" w:lastRowLastColumn="0"/>
        </w:trPr>
        <w:tc>
          <w:tcPr>
            <w:tcW w:w="1554" w:type="pct"/>
            <w:shd w:val="clear" w:color="auto" w:fill="D9E2F3" w:themeFill="accent5" w:themeFillTint="33"/>
            <w:vAlign w:val="top"/>
          </w:tcPr>
          <w:p w14:paraId="53D6EDCE" w14:textId="39C215A4" w:rsidR="00323AD0" w:rsidRDefault="00323AD0" w:rsidP="00323AD0">
            <w:pPr>
              <w:rPr>
                <w:rStyle w:val="Strong"/>
              </w:rPr>
            </w:pPr>
            <w:r>
              <w:rPr>
                <w:rStyle w:val="Strong"/>
              </w:rPr>
              <w:lastRenderedPageBreak/>
              <w:t>National School Reform Agreement</w:t>
            </w:r>
            <w:r w:rsidR="00A30A90">
              <w:rPr>
                <w:rStyle w:val="Strong"/>
              </w:rPr>
              <w:t xml:space="preserve"> (NSRA)</w:t>
            </w:r>
          </w:p>
        </w:tc>
        <w:tc>
          <w:tcPr>
            <w:tcW w:w="3446" w:type="pct"/>
            <w:shd w:val="clear" w:color="auto" w:fill="D9E2F3" w:themeFill="accent5" w:themeFillTint="33"/>
            <w:vAlign w:val="top"/>
          </w:tcPr>
          <w:p w14:paraId="776DE740" w14:textId="0C439AD9" w:rsidR="00323AD0" w:rsidRPr="00AC3C37" w:rsidRDefault="0110360E" w:rsidP="421ADA8C">
            <w:r w:rsidRPr="3A93DC59">
              <w:t>A joint agreement between the Commonwealth, states and territories to lift student outcomes across Australian schools.</w:t>
            </w:r>
          </w:p>
        </w:tc>
      </w:tr>
      <w:tr w:rsidR="00323AD0" w:rsidRPr="00ED5D4D" w14:paraId="65F835FC" w14:textId="77777777" w:rsidTr="3A93DC59">
        <w:tc>
          <w:tcPr>
            <w:tcW w:w="1554" w:type="pct"/>
            <w:shd w:val="clear" w:color="auto" w:fill="FFFFFF" w:themeFill="background1"/>
            <w:vAlign w:val="top"/>
          </w:tcPr>
          <w:p w14:paraId="0F25075F" w14:textId="4A945012" w:rsidR="00323AD0" w:rsidRDefault="00323AD0" w:rsidP="00323AD0">
            <w:pPr>
              <w:rPr>
                <w:rStyle w:val="Strong"/>
              </w:rPr>
            </w:pPr>
            <w:r w:rsidRPr="0028391B">
              <w:rPr>
                <w:rStyle w:val="Strong"/>
              </w:rPr>
              <w:t xml:space="preserve">Net Recurrent Income </w:t>
            </w:r>
            <w:r w:rsidR="00C108FA">
              <w:rPr>
                <w:rStyle w:val="Strong"/>
              </w:rPr>
              <w:br/>
            </w:r>
            <w:r w:rsidRPr="0028391B">
              <w:rPr>
                <w:rStyle w:val="Strong"/>
              </w:rPr>
              <w:t>Per Student</w:t>
            </w:r>
            <w:r>
              <w:rPr>
                <w:rStyle w:val="Strong"/>
              </w:rPr>
              <w:t xml:space="preserve"> (NRIPS)</w:t>
            </w:r>
          </w:p>
        </w:tc>
        <w:tc>
          <w:tcPr>
            <w:tcW w:w="3446" w:type="pct"/>
            <w:shd w:val="clear" w:color="auto" w:fill="FFFFFF" w:themeFill="background1"/>
            <w:vAlign w:val="top"/>
          </w:tcPr>
          <w:p w14:paraId="1A98761F" w14:textId="77777777" w:rsidR="00323AD0" w:rsidRPr="0041223A" w:rsidRDefault="00323AD0" w:rsidP="00323AD0">
            <w:r w:rsidRPr="00323AD0">
              <w:t>The base instrument for measuring state and territory contributions to schools.</w:t>
            </w:r>
          </w:p>
        </w:tc>
      </w:tr>
      <w:tr w:rsidR="00323AD0" w:rsidRPr="00C12E1F" w14:paraId="1795D357" w14:textId="77777777" w:rsidTr="3A93DC59">
        <w:trPr>
          <w:cnfStyle w:val="000000100000" w:firstRow="0" w:lastRow="0" w:firstColumn="0" w:lastColumn="0" w:oddVBand="0" w:evenVBand="0" w:oddHBand="1" w:evenHBand="0" w:firstRowFirstColumn="0" w:firstRowLastColumn="0" w:lastRowFirstColumn="0" w:lastRowLastColumn="0"/>
        </w:trPr>
        <w:tc>
          <w:tcPr>
            <w:tcW w:w="1554" w:type="pct"/>
            <w:shd w:val="clear" w:color="auto" w:fill="D9E2F3" w:themeFill="accent5" w:themeFillTint="33"/>
            <w:vAlign w:val="top"/>
          </w:tcPr>
          <w:p w14:paraId="7E3C039F" w14:textId="77777777" w:rsidR="00323AD0" w:rsidRDefault="00323AD0" w:rsidP="00323AD0">
            <w:pPr>
              <w:rPr>
                <w:rStyle w:val="Strong"/>
              </w:rPr>
            </w:pPr>
            <w:r w:rsidRPr="009B7D79">
              <w:rPr>
                <w:rStyle w:val="Strong"/>
              </w:rPr>
              <w:t>Schooling Resource Standard</w:t>
            </w:r>
            <w:r w:rsidR="000E2DC9">
              <w:rPr>
                <w:rStyle w:val="Strong"/>
              </w:rPr>
              <w:t xml:space="preserve"> (SRS)</w:t>
            </w:r>
          </w:p>
        </w:tc>
        <w:tc>
          <w:tcPr>
            <w:tcW w:w="3446" w:type="pct"/>
            <w:shd w:val="clear" w:color="auto" w:fill="D9E2F3" w:themeFill="accent5" w:themeFillTint="33"/>
            <w:vAlign w:val="top"/>
          </w:tcPr>
          <w:p w14:paraId="5F63ED5C" w14:textId="77777777" w:rsidR="00323AD0" w:rsidRPr="00C12E1F" w:rsidRDefault="00323AD0" w:rsidP="00323AD0">
            <w:pPr>
              <w:rPr>
                <w:rStyle w:val="Strong"/>
                <w:b w:val="0"/>
                <w:bCs w:val="0"/>
              </w:rPr>
            </w:pPr>
            <w:r w:rsidRPr="00C12E1F">
              <w:rPr>
                <w:rStyle w:val="Strong"/>
                <w:b w:val="0"/>
                <w:bCs w:val="0"/>
              </w:rPr>
              <w:t>An estimate of how much total public funding a school needs to meet its students’ educational needs.</w:t>
            </w:r>
          </w:p>
        </w:tc>
      </w:tr>
      <w:tr w:rsidR="00323AD0" w:rsidRPr="00C12E1F" w14:paraId="0E37BF5D" w14:textId="77777777" w:rsidTr="3A93DC59">
        <w:tc>
          <w:tcPr>
            <w:tcW w:w="1554" w:type="pct"/>
            <w:vAlign w:val="top"/>
          </w:tcPr>
          <w:p w14:paraId="69D9802D" w14:textId="77777777" w:rsidR="00323AD0" w:rsidRDefault="00323AD0" w:rsidP="00323AD0">
            <w:pPr>
              <w:rPr>
                <w:rStyle w:val="Strong"/>
              </w:rPr>
            </w:pPr>
            <w:r>
              <w:rPr>
                <w:rStyle w:val="Strong"/>
              </w:rPr>
              <w:t>Year T</w:t>
            </w:r>
          </w:p>
        </w:tc>
        <w:tc>
          <w:tcPr>
            <w:tcW w:w="3446" w:type="pct"/>
          </w:tcPr>
          <w:p w14:paraId="58173ACD" w14:textId="55520B6B" w:rsidR="00323AD0" w:rsidRPr="00C12E1F" w:rsidRDefault="00323AD0" w:rsidP="00323AD0">
            <w:pPr>
              <w:rPr>
                <w:rStyle w:val="Strong"/>
                <w:b w:val="0"/>
                <w:bCs w:val="0"/>
              </w:rPr>
            </w:pPr>
            <w:r w:rsidRPr="00C12E1F">
              <w:rPr>
                <w:rStyle w:val="Strong"/>
                <w:b w:val="0"/>
                <w:bCs w:val="0"/>
              </w:rPr>
              <w:t xml:space="preserve">The calendar year on which funding is being reported. For this report, Year T is </w:t>
            </w:r>
            <w:r w:rsidR="00A650BC" w:rsidRPr="00F81122">
              <w:rPr>
                <w:rStyle w:val="Strong"/>
              </w:rPr>
              <w:t>2023</w:t>
            </w:r>
            <w:r w:rsidRPr="00C12E1F">
              <w:rPr>
                <w:rStyle w:val="Strong"/>
                <w:b w:val="0"/>
                <w:bCs w:val="0"/>
              </w:rPr>
              <w:t>.</w:t>
            </w:r>
          </w:p>
        </w:tc>
      </w:tr>
      <w:tr w:rsidR="00323AD0" w:rsidRPr="00C12E1F" w14:paraId="6A2F0A5C" w14:textId="77777777" w:rsidTr="3A93DC59">
        <w:trPr>
          <w:cnfStyle w:val="010000000000" w:firstRow="0" w:lastRow="1" w:firstColumn="0" w:lastColumn="0" w:oddVBand="0" w:evenVBand="0" w:oddHBand="0" w:evenHBand="0" w:firstRowFirstColumn="0" w:firstRowLastColumn="0" w:lastRowFirstColumn="0" w:lastRowLastColumn="0"/>
        </w:trPr>
        <w:tc>
          <w:tcPr>
            <w:tcW w:w="1554" w:type="pct"/>
            <w:shd w:val="clear" w:color="auto" w:fill="D9E2F3" w:themeFill="accent5" w:themeFillTint="33"/>
            <w:vAlign w:val="top"/>
          </w:tcPr>
          <w:p w14:paraId="0BB5140D" w14:textId="77777777" w:rsidR="00323AD0" w:rsidRDefault="00323AD0" w:rsidP="00323AD0">
            <w:pPr>
              <w:rPr>
                <w:rStyle w:val="Strong"/>
              </w:rPr>
            </w:pPr>
            <w:r w:rsidRPr="000E2DE5">
              <w:rPr>
                <w:rStyle w:val="Strong"/>
              </w:rPr>
              <w:t>Year T+1</w:t>
            </w:r>
          </w:p>
        </w:tc>
        <w:tc>
          <w:tcPr>
            <w:tcW w:w="3446" w:type="pct"/>
            <w:shd w:val="clear" w:color="auto" w:fill="D9E2F3" w:themeFill="accent5" w:themeFillTint="33"/>
          </w:tcPr>
          <w:p w14:paraId="3CCEF237" w14:textId="04BDF57E" w:rsidR="00323AD0" w:rsidRPr="00C12E1F" w:rsidRDefault="00323AD0" w:rsidP="00323AD0">
            <w:pPr>
              <w:rPr>
                <w:rStyle w:val="Strong"/>
                <w:b w:val="0"/>
                <w:bCs w:val="0"/>
              </w:rPr>
            </w:pPr>
            <w:r w:rsidRPr="00C12E1F">
              <w:rPr>
                <w:rStyle w:val="Strong"/>
                <w:b w:val="0"/>
                <w:bCs w:val="0"/>
              </w:rPr>
              <w:t xml:space="preserve">The year following </w:t>
            </w:r>
            <w:r w:rsidR="02B827CE" w:rsidRPr="00C12E1F">
              <w:rPr>
                <w:rStyle w:val="Strong"/>
                <w:b w:val="0"/>
                <w:bCs w:val="0"/>
              </w:rPr>
              <w:t xml:space="preserve">Year </w:t>
            </w:r>
            <w:r w:rsidRPr="00C12E1F">
              <w:rPr>
                <w:rStyle w:val="Strong"/>
                <w:b w:val="0"/>
                <w:bCs w:val="0"/>
              </w:rPr>
              <w:t xml:space="preserve">T. For this report, Year T is </w:t>
            </w:r>
            <w:r w:rsidR="00655F10" w:rsidRPr="00F81122">
              <w:rPr>
                <w:rStyle w:val="Strong"/>
              </w:rPr>
              <w:t>2</w:t>
            </w:r>
            <w:r w:rsidR="00655F10">
              <w:rPr>
                <w:rStyle w:val="Strong"/>
              </w:rPr>
              <w:t>023</w:t>
            </w:r>
            <w:r w:rsidR="007A54AB" w:rsidRPr="00C12E1F">
              <w:rPr>
                <w:rStyle w:val="Strong"/>
                <w:b w:val="0"/>
                <w:bCs w:val="0"/>
              </w:rPr>
              <w:t>,</w:t>
            </w:r>
            <w:r w:rsidR="004D3A39" w:rsidRPr="00C12E1F">
              <w:rPr>
                <w:rStyle w:val="Strong"/>
                <w:b w:val="0"/>
                <w:bCs w:val="0"/>
              </w:rPr>
              <w:t xml:space="preserve"> </w:t>
            </w:r>
            <w:r w:rsidRPr="00C12E1F">
              <w:rPr>
                <w:rStyle w:val="Strong"/>
                <w:b w:val="0"/>
                <w:bCs w:val="0"/>
              </w:rPr>
              <w:t xml:space="preserve">so Year T+1 is </w:t>
            </w:r>
            <w:r w:rsidR="00655F10" w:rsidRPr="00F81122">
              <w:rPr>
                <w:rStyle w:val="Strong"/>
              </w:rPr>
              <w:t>2024</w:t>
            </w:r>
            <w:r w:rsidRPr="00C12E1F">
              <w:rPr>
                <w:rStyle w:val="Strong"/>
                <w:b w:val="0"/>
                <w:bCs w:val="0"/>
              </w:rPr>
              <w:t>.</w:t>
            </w:r>
          </w:p>
        </w:tc>
      </w:tr>
      <w:bookmarkEnd w:id="29"/>
      <w:bookmarkEnd w:id="28"/>
      <w:bookmarkEnd w:id="32"/>
    </w:tbl>
    <w:p w14:paraId="216B10BF" w14:textId="77777777" w:rsidR="00AA4FAA" w:rsidRDefault="00AA4FAA" w:rsidP="005D115D">
      <w:r>
        <w:br w:type="page"/>
      </w:r>
    </w:p>
    <w:p w14:paraId="1A7CBF7B" w14:textId="054E2195" w:rsidR="00C13137" w:rsidRPr="00484A44" w:rsidRDefault="00C13137" w:rsidP="00C13137">
      <w:pPr>
        <w:pStyle w:val="Heading1"/>
      </w:pPr>
      <w:bookmarkStart w:id="35" w:name="_Toc160180096"/>
      <w:bookmarkStart w:id="36" w:name="_Toc210815579"/>
      <w:r>
        <w:lastRenderedPageBreak/>
        <w:t>Executive summary</w:t>
      </w:r>
      <w:bookmarkEnd w:id="35"/>
      <w:bookmarkEnd w:id="36"/>
    </w:p>
    <w:p w14:paraId="51E2A7C7" w14:textId="4D73E6B6" w:rsidR="00347303" w:rsidRDefault="34B9BAE2" w:rsidP="421ADA8C">
      <w:pPr>
        <w:spacing w:before="0" w:after="160"/>
      </w:pPr>
      <w:bookmarkStart w:id="37" w:name="_Toc37253823"/>
      <w:r w:rsidRPr="3A93DC59">
        <w:t xml:space="preserve">The </w:t>
      </w:r>
      <w:r w:rsidRPr="3A93DC59">
        <w:rPr>
          <w:i/>
          <w:iCs/>
        </w:rPr>
        <w:t xml:space="preserve">Australian Education Act 2013 </w:t>
      </w:r>
      <w:r w:rsidRPr="3A93DC59">
        <w:t>(the Act) requires the National School Resourcing Board (the</w:t>
      </w:r>
      <w:r w:rsidR="613DA0A4" w:rsidRPr="3A93DC59">
        <w:t> </w:t>
      </w:r>
      <w:r w:rsidRPr="3A93DC59">
        <w:t>Board) to undertake an annual review of state and territory compliance with section 22A of the Act (s</w:t>
      </w:r>
      <w:r w:rsidR="42999F12" w:rsidRPr="3A93DC59">
        <w:t> </w:t>
      </w:r>
      <w:r w:rsidRPr="3A93DC59">
        <w:t>22A). This section of the Act requires states and territories to meet minimum school funding contributions for the government and non-government sectors as a condition of Commonwealth financial assistance.</w:t>
      </w:r>
    </w:p>
    <w:p w14:paraId="4159A516" w14:textId="614CA4B9" w:rsidR="00D91623" w:rsidRDefault="34B9BAE2" w:rsidP="421ADA8C">
      <w:pPr>
        <w:spacing w:before="0" w:after="160"/>
      </w:pPr>
      <w:r w:rsidRPr="3A93DC59">
        <w:t xml:space="preserve">States and territories’ minimum school funding shares are set out in s 22A. These are standard unless the jurisdiction’s bilateral agreement under the National School Reform Agreement </w:t>
      </w:r>
      <w:r w:rsidR="394249DC" w:rsidRPr="3A93DC59">
        <w:t>(N</w:t>
      </w:r>
      <w:r w:rsidR="6318BB3E" w:rsidRPr="3A93DC59">
        <w:t xml:space="preserve">SRA) </w:t>
      </w:r>
      <w:r w:rsidR="76113DD9" w:rsidRPr="3A93DC59">
        <w:t>2018-23</w:t>
      </w:r>
      <w:r w:rsidR="3E03FB2D" w:rsidRPr="3A93DC59">
        <w:t xml:space="preserve"> </w:t>
      </w:r>
      <w:r w:rsidRPr="3A93DC59">
        <w:t>specifies otherwise. All states and territories’ funding arrangements with the Commonwealth are set out in their respective bilateral agreements.</w:t>
      </w:r>
    </w:p>
    <w:p w14:paraId="5D64103A" w14:textId="25B1AD26" w:rsidR="00D91623" w:rsidRDefault="34B9BAE2" w:rsidP="421ADA8C">
      <w:pPr>
        <w:spacing w:before="0" w:after="160"/>
      </w:pPr>
      <w:r w:rsidRPr="3A93DC59">
        <w:t>Under the terms of reference for this review, the Board is required to consider and provide its assessment relating to the compliance of a state or territory with s 22A, subject to the terms of that jurisdiction’s bilateral agreement, including:</w:t>
      </w:r>
    </w:p>
    <w:p w14:paraId="551C28E7" w14:textId="2158CE3D" w:rsidR="00D91623" w:rsidRDefault="00D91623" w:rsidP="00322D68">
      <w:pPr>
        <w:pStyle w:val="ListBullet"/>
      </w:pPr>
      <w:r>
        <w:t xml:space="preserve">whether the reported state or territory funding for the given year equals or exceeds the minimum funding contribution requirements under s 22A for both government and </w:t>
      </w:r>
      <w:r w:rsidRPr="00A12738">
        <w:t>non</w:t>
      </w:r>
      <w:r w:rsidR="008C6A95" w:rsidRPr="00A12738">
        <w:noBreakHyphen/>
      </w:r>
      <w:r w:rsidRPr="00A12738">
        <w:t>government</w:t>
      </w:r>
      <w:r>
        <w:t xml:space="preserve"> sectors</w:t>
      </w:r>
    </w:p>
    <w:p w14:paraId="07BF7C6B" w14:textId="1196EBD6" w:rsidR="00D91623" w:rsidRDefault="00D91623" w:rsidP="00322D68">
      <w:pPr>
        <w:pStyle w:val="ListBullet"/>
      </w:pPr>
      <w:r>
        <w:t>any contributing or mitigating circumstances</w:t>
      </w:r>
    </w:p>
    <w:p w14:paraId="3822325A" w14:textId="26D4FDD7" w:rsidR="00D91623" w:rsidRDefault="34B9BAE2" w:rsidP="421ADA8C">
      <w:pPr>
        <w:pStyle w:val="ListBullet"/>
      </w:pPr>
      <w:r w:rsidRPr="3A93DC59">
        <w:t>suggestions for adjustments to current reporting processes that impact the ability of a state or territory to comply with the requirements under s 22A.</w:t>
      </w:r>
    </w:p>
    <w:p w14:paraId="38848E13" w14:textId="07CD94A5" w:rsidR="00401E32" w:rsidRDefault="0B8A1C03" w:rsidP="421ADA8C">
      <w:pPr>
        <w:spacing w:before="0" w:after="160"/>
      </w:pPr>
      <w:r w:rsidRPr="3A93DC59">
        <w:t xml:space="preserve">The Board is to </w:t>
      </w:r>
      <w:proofErr w:type="gramStart"/>
      <w:r w:rsidRPr="3A93DC59">
        <w:t>take into account</w:t>
      </w:r>
      <w:proofErr w:type="gramEnd"/>
      <w:r w:rsidRPr="3A93DC59">
        <w:t xml:space="preserve"> </w:t>
      </w:r>
      <w:r w:rsidR="67860809" w:rsidRPr="3A93DC59">
        <w:t xml:space="preserve">mitigating circumstances </w:t>
      </w:r>
      <w:r w:rsidR="5FE64CFD" w:rsidRPr="3A93DC59">
        <w:t>that have contributed to non-compliance</w:t>
      </w:r>
      <w:r w:rsidR="04A09DFC" w:rsidRPr="3A93DC59">
        <w:t>, for example</w:t>
      </w:r>
      <w:r w:rsidR="67860809" w:rsidRPr="3A93DC59">
        <w:t>:</w:t>
      </w:r>
    </w:p>
    <w:p w14:paraId="0A1BF34A" w14:textId="2D39FEA7" w:rsidR="7BF82B19" w:rsidRDefault="5766D116" w:rsidP="3A93DC59">
      <w:pPr>
        <w:pStyle w:val="ListBullet"/>
        <w:rPr>
          <w:rFonts w:eastAsia="Calibri"/>
        </w:rPr>
      </w:pPr>
      <w:r w:rsidRPr="3A93DC59">
        <w:rPr>
          <w:rFonts w:eastAsia="Calibri"/>
        </w:rPr>
        <w:t xml:space="preserve">fluctuations in funding which could be assessed through, for example, the application of a </w:t>
      </w:r>
      <w:proofErr w:type="gramStart"/>
      <w:r w:rsidRPr="3A93DC59">
        <w:rPr>
          <w:rFonts w:eastAsia="Calibri"/>
        </w:rPr>
        <w:t>three year</w:t>
      </w:r>
      <w:proofErr w:type="gramEnd"/>
      <w:r w:rsidRPr="3A93DC59">
        <w:rPr>
          <w:rFonts w:eastAsia="Calibri"/>
        </w:rPr>
        <w:t xml:space="preserve"> rolling average if funding has fallen below the required amount</w:t>
      </w:r>
    </w:p>
    <w:p w14:paraId="64FD7AA5" w14:textId="6B4A9A70" w:rsidR="00401E32" w:rsidRDefault="00401E32" w:rsidP="00401E32">
      <w:pPr>
        <w:pStyle w:val="ListBullet"/>
      </w:pPr>
      <w:r>
        <w:t>unintended and unforeseeable budget pressures in the state budget process</w:t>
      </w:r>
    </w:p>
    <w:p w14:paraId="5B4CD878" w14:textId="3AB58B10" w:rsidR="00401E32" w:rsidRDefault="00401E32" w:rsidP="00401E32">
      <w:pPr>
        <w:pStyle w:val="ListBullet"/>
      </w:pPr>
      <w:r>
        <w:t>unforeseeable circumstances such as natural disasters</w:t>
      </w:r>
    </w:p>
    <w:p w14:paraId="64E3B5A3" w14:textId="611B8F65" w:rsidR="00401E32" w:rsidRPr="00E235C3" w:rsidRDefault="67860809" w:rsidP="522447BD">
      <w:pPr>
        <w:pStyle w:val="ListBullet"/>
      </w:pPr>
      <w:r w:rsidRPr="3A93DC59">
        <w:t>fluctuations in enrolment numbers or student characteristics that exceed what could be reasonably anticipated</w:t>
      </w:r>
    </w:p>
    <w:p w14:paraId="2E85FDEC" w14:textId="6E60E483" w:rsidR="005B377A" w:rsidRDefault="67860809" w:rsidP="3A93DC59">
      <w:pPr>
        <w:pStyle w:val="ListBullet"/>
      </w:pPr>
      <w:r w:rsidRPr="3A93DC59">
        <w:t>significant differences in funding provided to schools compared to actual school allocation or school expenditure, that is outside the control of state governments.</w:t>
      </w:r>
      <w:r w:rsidR="00401E32" w:rsidRPr="3A93DC59">
        <w:rPr>
          <w:rStyle w:val="FootnoteReference"/>
        </w:rPr>
        <w:footnoteReference w:id="2"/>
      </w:r>
    </w:p>
    <w:p w14:paraId="3EBE3F88" w14:textId="2BB78501" w:rsidR="00332DA9" w:rsidRDefault="34B9BAE2" w:rsidP="421ADA8C">
      <w:pPr>
        <w:spacing w:before="0" w:after="160"/>
      </w:pPr>
      <w:r w:rsidRPr="3A93DC59">
        <w:t xml:space="preserve">The Board based its review on certified annual reports and accompanying information provided by the jurisdictions. </w:t>
      </w:r>
      <w:r w:rsidR="116EBB6E" w:rsidRPr="3A93DC59">
        <w:t>It</w:t>
      </w:r>
      <w:r w:rsidR="180D933F" w:rsidRPr="3A93DC59">
        <w:t xml:space="preserve"> was</w:t>
      </w:r>
      <w:r w:rsidR="29CC4480" w:rsidRPr="3A93DC59">
        <w:t xml:space="preserve"> </w:t>
      </w:r>
      <w:r w:rsidR="02A363E6" w:rsidRPr="3A93DC59">
        <w:t xml:space="preserve">guided by </w:t>
      </w:r>
      <w:r w:rsidR="31CA90C0" w:rsidRPr="3A93DC59">
        <w:t xml:space="preserve">the requirements of the department’s </w:t>
      </w:r>
      <w:r w:rsidR="31CA90C0" w:rsidRPr="00BF73C6">
        <w:rPr>
          <w:i/>
        </w:rPr>
        <w:t>Guidance to reporting – state and territory funding contribution requirements</w:t>
      </w:r>
      <w:r w:rsidR="31CA90C0" w:rsidRPr="3A93DC59">
        <w:t xml:space="preserve"> (</w:t>
      </w:r>
      <w:r w:rsidR="31CA90C0" w:rsidRPr="00BF73C6">
        <w:rPr>
          <w:i/>
        </w:rPr>
        <w:t>Guidance to Reporting</w:t>
      </w:r>
      <w:r w:rsidR="31CA90C0" w:rsidRPr="3A93DC59">
        <w:t>)</w:t>
      </w:r>
      <w:r w:rsidR="36E8F842" w:rsidRPr="3A93DC59">
        <w:t xml:space="preserve"> and found that </w:t>
      </w:r>
      <w:r w:rsidR="180D933F" w:rsidRPr="3A93DC59">
        <w:t xml:space="preserve">all states and territories provided annual reports consistent with the department ’s </w:t>
      </w:r>
      <w:r w:rsidR="180D933F" w:rsidRPr="00BF73C6">
        <w:rPr>
          <w:i/>
        </w:rPr>
        <w:t>Guidance to Reporting</w:t>
      </w:r>
      <w:r w:rsidR="180D933F" w:rsidRPr="3A93DC59">
        <w:t>, with some clarifications required.</w:t>
      </w:r>
    </w:p>
    <w:p w14:paraId="2BBA479E" w14:textId="32100B6E" w:rsidR="00356BAD" w:rsidRPr="00AB5D53" w:rsidRDefault="316C26D0" w:rsidP="421ADA8C">
      <w:pPr>
        <w:spacing w:before="0" w:after="160"/>
      </w:pPr>
      <w:r w:rsidRPr="3A93DC59">
        <w:t>Each jurisdiction</w:t>
      </w:r>
      <w:r w:rsidR="53DAC4B1" w:rsidRPr="3A93DC59">
        <w:t xml:space="preserve"> engag</w:t>
      </w:r>
      <w:r w:rsidRPr="3A93DC59">
        <w:t>ed</w:t>
      </w:r>
      <w:r w:rsidR="53DAC4B1" w:rsidRPr="3A93DC59">
        <w:t xml:space="preserve"> independent assurers to complete compliance engagements under the </w:t>
      </w:r>
      <w:r w:rsidR="53DAC4B1" w:rsidRPr="3A93DC59">
        <w:rPr>
          <w:i/>
          <w:iCs/>
        </w:rPr>
        <w:t>Standard on Assurance Engagements ASAE 3100 Compliance Engagements</w:t>
      </w:r>
      <w:r w:rsidR="53DAC4B1" w:rsidRPr="3A93DC59">
        <w:t xml:space="preserve"> standards.</w:t>
      </w:r>
      <w:r w:rsidR="320261EA" w:rsidRPr="3A93DC59">
        <w:t xml:space="preserve"> </w:t>
      </w:r>
      <w:r w:rsidR="6216FF14" w:rsidRPr="3A93DC59">
        <w:t xml:space="preserve">The Board </w:t>
      </w:r>
      <w:r w:rsidR="6216FF14" w:rsidRPr="3A93DC59">
        <w:lastRenderedPageBreak/>
        <w:t>noted some minor delays to deadlines and issues around provision of certified data for some jurisdictions.</w:t>
      </w:r>
    </w:p>
    <w:p w14:paraId="0D9BB434" w14:textId="1874955C" w:rsidR="007F3633" w:rsidRDefault="34B9BAE2" w:rsidP="421ADA8C">
      <w:pPr>
        <w:spacing w:before="0" w:after="160"/>
      </w:pPr>
      <w:r w:rsidRPr="3A93DC59">
        <w:t xml:space="preserve">The Board offered all states and territories the opportunity to discuss compliance issues and provide feedback about the reporting </w:t>
      </w:r>
      <w:proofErr w:type="gramStart"/>
      <w:r w:rsidRPr="3A93DC59">
        <w:t>process, and</w:t>
      </w:r>
      <w:proofErr w:type="gramEnd"/>
      <w:r w:rsidRPr="3A93DC59">
        <w:t xml:space="preserve"> subsequently met with </w:t>
      </w:r>
      <w:r w:rsidR="6E8DBEBC" w:rsidRPr="3A93DC59">
        <w:t>3</w:t>
      </w:r>
      <w:r w:rsidR="6B539A01" w:rsidRPr="3A93DC59">
        <w:t xml:space="preserve"> </w:t>
      </w:r>
      <w:r w:rsidRPr="3A93DC59">
        <w:t>jurisdiction</w:t>
      </w:r>
      <w:r w:rsidR="6B539A01" w:rsidRPr="3A93DC59">
        <w:t>s</w:t>
      </w:r>
      <w:r w:rsidRPr="3A93DC59">
        <w:t xml:space="preserve">. The Board also </w:t>
      </w:r>
      <w:r w:rsidR="3D72305C" w:rsidRPr="3A93DC59">
        <w:t xml:space="preserve">sought </w:t>
      </w:r>
      <w:r w:rsidR="3298B1FA" w:rsidRPr="3A93DC59">
        <w:t>ex</w:t>
      </w:r>
      <w:r w:rsidR="19BA6F57" w:rsidRPr="3A93DC59">
        <w:t xml:space="preserve">pert </w:t>
      </w:r>
      <w:r w:rsidR="3D72305C" w:rsidRPr="3A93DC59">
        <w:t xml:space="preserve">advice </w:t>
      </w:r>
      <w:r w:rsidR="1E426A46" w:rsidRPr="3A93DC59">
        <w:t xml:space="preserve">to </w:t>
      </w:r>
      <w:r w:rsidR="218876DB" w:rsidRPr="3A93DC59">
        <w:t>assist the Board</w:t>
      </w:r>
      <w:r w:rsidR="5E0CDC81" w:rsidRPr="3A93DC59">
        <w:t xml:space="preserve"> </w:t>
      </w:r>
      <w:r w:rsidR="5B7FEB18" w:rsidRPr="3A93DC59">
        <w:t>with its</w:t>
      </w:r>
      <w:r w:rsidR="130E1421" w:rsidRPr="3A93DC59">
        <w:t xml:space="preserve"> review</w:t>
      </w:r>
      <w:r w:rsidR="5D8AD527" w:rsidRPr="3A93DC59">
        <w:t xml:space="preserve"> and undertook desktop research to support its </w:t>
      </w:r>
      <w:r w:rsidR="125A5D39" w:rsidRPr="3A93DC59">
        <w:t>analysis</w:t>
      </w:r>
      <w:r w:rsidRPr="3A93DC59">
        <w:t>.</w:t>
      </w:r>
    </w:p>
    <w:p w14:paraId="7D7A4C8E" w14:textId="588A9974" w:rsidR="00F05287" w:rsidRDefault="34BE66AA" w:rsidP="421ADA8C">
      <w:pPr>
        <w:spacing w:before="0" w:after="160"/>
      </w:pPr>
      <w:r w:rsidRPr="3A93DC59">
        <w:t xml:space="preserve">The Board’s assessment, supported by the </w:t>
      </w:r>
      <w:r w:rsidR="6A80DCBE" w:rsidRPr="3A93DC59">
        <w:t>expert advice</w:t>
      </w:r>
      <w:r w:rsidR="005968D9" w:rsidRPr="3A93DC59">
        <w:t>,</w:t>
      </w:r>
      <w:r w:rsidRPr="3A93DC59">
        <w:t xml:space="preserve"> is</w:t>
      </w:r>
      <w:r w:rsidR="34B9BAE2" w:rsidRPr="3A93DC59">
        <w:t xml:space="preserve"> that </w:t>
      </w:r>
      <w:r w:rsidR="26CC52AF" w:rsidRPr="3A93DC59">
        <w:t>6</w:t>
      </w:r>
      <w:r w:rsidR="3C5A9D2F" w:rsidRPr="3A93DC59">
        <w:t xml:space="preserve"> </w:t>
      </w:r>
      <w:r w:rsidR="34B9BAE2" w:rsidRPr="3A93DC59">
        <w:t>states and territories (</w:t>
      </w:r>
      <w:r w:rsidR="352A6589" w:rsidRPr="3A93DC59">
        <w:t xml:space="preserve">Australian Capital Territory, </w:t>
      </w:r>
      <w:r w:rsidR="34B9BAE2" w:rsidRPr="3A93DC59">
        <w:t xml:space="preserve">New South Wales, </w:t>
      </w:r>
      <w:r w:rsidR="52941148" w:rsidRPr="3A93DC59">
        <w:t xml:space="preserve">Queensland, </w:t>
      </w:r>
      <w:r w:rsidR="34B9BAE2" w:rsidRPr="3A93DC59">
        <w:t xml:space="preserve">South Australia, Tasmania </w:t>
      </w:r>
      <w:r w:rsidR="5727C2D5" w:rsidRPr="3A93DC59">
        <w:t xml:space="preserve">and </w:t>
      </w:r>
      <w:r w:rsidR="34B9BAE2" w:rsidRPr="3A93DC59">
        <w:t>Western Australia)</w:t>
      </w:r>
      <w:r w:rsidR="22446EC9" w:rsidRPr="3A93DC59">
        <w:t xml:space="preserve"> were</w:t>
      </w:r>
      <w:r w:rsidR="34B9BAE2" w:rsidRPr="3A93DC59">
        <w:t xml:space="preserve"> </w:t>
      </w:r>
      <w:r w:rsidR="19C85E68" w:rsidRPr="3A93DC59">
        <w:t xml:space="preserve">compliant </w:t>
      </w:r>
      <w:r w:rsidR="34B9BAE2" w:rsidRPr="3A93DC59">
        <w:t>with</w:t>
      </w:r>
      <w:r w:rsidR="00EA3E51" w:rsidRPr="3A93DC59">
        <w:t xml:space="preserve"> their funding obligations </w:t>
      </w:r>
      <w:r w:rsidR="00BB1CD0" w:rsidRPr="3A93DC59">
        <w:t>f</w:t>
      </w:r>
      <w:r w:rsidR="00EA3E51" w:rsidRPr="3A93DC59">
        <w:t>o</w:t>
      </w:r>
      <w:r w:rsidR="00BB1CD0" w:rsidRPr="3A93DC59">
        <w:t>r</w:t>
      </w:r>
      <w:r w:rsidR="00EA3E51" w:rsidRPr="3A93DC59">
        <w:t xml:space="preserve"> the government sector under</w:t>
      </w:r>
      <w:r w:rsidR="34B9BAE2" w:rsidRPr="3A93DC59">
        <w:t xml:space="preserve"> s 22A for the </w:t>
      </w:r>
      <w:r w:rsidR="302F90C1" w:rsidRPr="3A93DC59">
        <w:t>2023</w:t>
      </w:r>
      <w:r w:rsidR="34B9BAE2" w:rsidRPr="3A93DC59">
        <w:t xml:space="preserve"> funding year. </w:t>
      </w:r>
      <w:r w:rsidR="00941938" w:rsidRPr="3A93DC59">
        <w:t xml:space="preserve">All states and territories were compliant with </w:t>
      </w:r>
      <w:r w:rsidR="00BB1CD0" w:rsidRPr="3A93DC59">
        <w:t>their funding</w:t>
      </w:r>
      <w:r w:rsidR="00941938" w:rsidRPr="3A93DC59">
        <w:t xml:space="preserve"> contributions </w:t>
      </w:r>
      <w:r w:rsidR="00BB1CD0" w:rsidRPr="3A93DC59">
        <w:t>for</w:t>
      </w:r>
      <w:r w:rsidR="00941938" w:rsidRPr="3A93DC59">
        <w:t xml:space="preserve"> the non-government sector</w:t>
      </w:r>
      <w:r w:rsidR="00EA3E51" w:rsidRPr="3A93DC59">
        <w:t>.</w:t>
      </w:r>
    </w:p>
    <w:p w14:paraId="3A47C406" w14:textId="02A583E7" w:rsidR="000A2B99" w:rsidRDefault="2156C9B2" w:rsidP="421ADA8C">
      <w:pPr>
        <w:spacing w:before="0" w:after="160"/>
      </w:pPr>
      <w:r w:rsidRPr="463387BE">
        <w:t>T</w:t>
      </w:r>
      <w:r w:rsidR="34B9BAE2" w:rsidRPr="463387BE">
        <w:t>he Board consider</w:t>
      </w:r>
      <w:r w:rsidR="19492C2D" w:rsidRPr="463387BE">
        <w:t>s</w:t>
      </w:r>
      <w:r w:rsidR="1F1F2C16" w:rsidRPr="463387BE">
        <w:t xml:space="preserve"> that</w:t>
      </w:r>
      <w:r w:rsidR="34B9BAE2" w:rsidRPr="463387BE">
        <w:t xml:space="preserve"> </w:t>
      </w:r>
      <w:r w:rsidR="7297D113" w:rsidRPr="463387BE">
        <w:t xml:space="preserve">the </w:t>
      </w:r>
      <w:r w:rsidR="4994FB73" w:rsidRPr="463387BE">
        <w:t xml:space="preserve">Northern Territory and Victoria </w:t>
      </w:r>
      <w:r w:rsidR="4B64DB06" w:rsidRPr="463387BE">
        <w:t xml:space="preserve">were </w:t>
      </w:r>
      <w:r w:rsidR="3D793E45" w:rsidRPr="463387BE">
        <w:t>non-compliant with the</w:t>
      </w:r>
      <w:r w:rsidR="0D00B7E4" w:rsidRPr="463387BE">
        <w:t>ir legislated</w:t>
      </w:r>
      <w:r w:rsidR="3D793E45" w:rsidRPr="463387BE">
        <w:t xml:space="preserve"> minimum </w:t>
      </w:r>
      <w:r w:rsidR="6BA95568" w:rsidRPr="463387BE">
        <w:t>funding contributions</w:t>
      </w:r>
      <w:r w:rsidR="0D00B7E4" w:rsidRPr="463387BE">
        <w:t xml:space="preserve"> to the government sector</w:t>
      </w:r>
      <w:r w:rsidR="56AD4E23" w:rsidRPr="463387BE">
        <w:t xml:space="preserve"> for the 2023 funding year</w:t>
      </w:r>
      <w:r w:rsidR="42364BA3" w:rsidRPr="463387BE">
        <w:t xml:space="preserve">. </w:t>
      </w:r>
      <w:r w:rsidR="10718796" w:rsidRPr="463387BE">
        <w:t>T</w:t>
      </w:r>
      <w:r w:rsidR="7297D113" w:rsidRPr="463387BE">
        <w:t xml:space="preserve">he Northern Territory reported a shortfall in funding to the government sector of 1.64%, while </w:t>
      </w:r>
      <w:r w:rsidR="42364BA3" w:rsidRPr="463387BE">
        <w:t>Victoria recorded a shortfall of 1.67% for funding to the government sector</w:t>
      </w:r>
      <w:r w:rsidR="004516A0" w:rsidRPr="463387BE">
        <w:t xml:space="preserve">. </w:t>
      </w:r>
    </w:p>
    <w:p w14:paraId="23518D47" w14:textId="4B187CB5" w:rsidR="005E6633" w:rsidRDefault="0053617B" w:rsidP="005E6633">
      <w:r>
        <w:t xml:space="preserve">After careful consideration, </w:t>
      </w:r>
      <w:r w:rsidR="56C11D41">
        <w:t xml:space="preserve">the Board recognises an ongoing trend of non-compliance over 4 years </w:t>
      </w:r>
      <w:r w:rsidR="00510EA3">
        <w:t xml:space="preserve">from </w:t>
      </w:r>
      <w:r w:rsidR="00C91331">
        <w:t xml:space="preserve">the </w:t>
      </w:r>
      <w:r w:rsidR="56C11D41">
        <w:t>Northern Territory</w:t>
      </w:r>
      <w:r w:rsidR="00510EA3">
        <w:t>, and while mitigation me</w:t>
      </w:r>
      <w:r w:rsidR="004F5D32">
        <w:t xml:space="preserve">asures have been </w:t>
      </w:r>
      <w:r w:rsidR="56C11D41">
        <w:t xml:space="preserve">put in place, further </w:t>
      </w:r>
      <w:r w:rsidR="005E6633">
        <w:t xml:space="preserve">attention and action are required to ensure the jurisdiction can demonstrate measurable progress towards consistently meeting its funding obligations. </w:t>
      </w:r>
    </w:p>
    <w:p w14:paraId="2AEAC19E" w14:textId="77777777" w:rsidR="005437E6" w:rsidRDefault="004132DF" w:rsidP="005437E6">
      <w:r w:rsidRPr="3A93DC59">
        <w:t xml:space="preserve">While the Board acknowledges the challenging context in which the Northern Territory operates, it is the Board’s expectation that the Northern Territory can evidence progress on the impact of its mitigating strategies </w:t>
      </w:r>
      <w:r w:rsidR="00C431C8" w:rsidRPr="3A93DC59">
        <w:t xml:space="preserve">to address issues of repeated non-compliance </w:t>
      </w:r>
      <w:r w:rsidRPr="3A93DC59">
        <w:t>in its next annual report to the Australian Government.</w:t>
      </w:r>
      <w:r w:rsidR="005437E6">
        <w:t xml:space="preserve"> This may include reconsideration of the reporting methodology to be applied.</w:t>
      </w:r>
    </w:p>
    <w:p w14:paraId="2947CF5C" w14:textId="4A595D60" w:rsidR="00D91623" w:rsidRPr="001A78E9" w:rsidRDefault="56C11D41" w:rsidP="0FA5145A">
      <w:pPr>
        <w:spacing w:before="0" w:after="160"/>
      </w:pPr>
      <w:r w:rsidRPr="001A78E9">
        <w:t>T</w:t>
      </w:r>
      <w:r w:rsidR="00216067" w:rsidRPr="001A78E9">
        <w:t xml:space="preserve">he Board considers </w:t>
      </w:r>
      <w:r w:rsidR="00B67D57" w:rsidRPr="001A78E9">
        <w:t xml:space="preserve">that </w:t>
      </w:r>
      <w:r w:rsidR="00216067" w:rsidRPr="001A78E9">
        <w:t>t</w:t>
      </w:r>
      <w:r w:rsidR="00D91623" w:rsidRPr="001A78E9">
        <w:t xml:space="preserve">he mitigating </w:t>
      </w:r>
      <w:r w:rsidR="00630009" w:rsidRPr="001A78E9">
        <w:t xml:space="preserve">circumstances </w:t>
      </w:r>
      <w:r w:rsidR="006B1CD9" w:rsidRPr="001A78E9">
        <w:t>provided by</w:t>
      </w:r>
      <w:r w:rsidR="006F0FAC" w:rsidRPr="001A78E9">
        <w:t xml:space="preserve"> Victoria</w:t>
      </w:r>
      <w:r w:rsidR="006B1CD9" w:rsidRPr="001A78E9">
        <w:t xml:space="preserve"> </w:t>
      </w:r>
      <w:r w:rsidR="00A80EAB" w:rsidRPr="001A78E9">
        <w:t>relating to the</w:t>
      </w:r>
      <w:r w:rsidR="002607AD" w:rsidRPr="001A78E9">
        <w:t>ir</w:t>
      </w:r>
      <w:r w:rsidR="00A80EAB" w:rsidRPr="001A78E9">
        <w:t xml:space="preserve"> material shortfall</w:t>
      </w:r>
      <w:r w:rsidR="00D91623" w:rsidRPr="001A78E9">
        <w:t xml:space="preserve"> </w:t>
      </w:r>
      <w:r w:rsidR="0DA36EB8" w:rsidRPr="001A78E9">
        <w:t>appear</w:t>
      </w:r>
      <w:r w:rsidR="7C7AB98F" w:rsidRPr="001A78E9">
        <w:t xml:space="preserve"> </w:t>
      </w:r>
      <w:r w:rsidR="003E4D58" w:rsidRPr="001A78E9">
        <w:t>reasonable</w:t>
      </w:r>
      <w:r w:rsidR="50D4F371" w:rsidRPr="001A78E9">
        <w:t>.</w:t>
      </w:r>
      <w:r w:rsidR="00E270C5" w:rsidRPr="001A78E9">
        <w:t xml:space="preserve"> </w:t>
      </w:r>
    </w:p>
    <w:p w14:paraId="2EFB9D8B" w14:textId="77777777" w:rsidR="00D91623" w:rsidRPr="00D31BA6" w:rsidRDefault="00D91623">
      <w:pPr>
        <w:spacing w:before="0" w:after="160"/>
      </w:pPr>
      <w:bookmarkStart w:id="38" w:name="_Toc160180097"/>
      <w:r>
        <w:br w:type="page"/>
      </w:r>
    </w:p>
    <w:p w14:paraId="71ADA2E6" w14:textId="08C9562C" w:rsidR="004E3128" w:rsidRPr="00484A44" w:rsidRDefault="004E3128" w:rsidP="004E3128">
      <w:pPr>
        <w:pStyle w:val="Heading1"/>
      </w:pPr>
      <w:bookmarkStart w:id="39" w:name="_Toc210815580"/>
      <w:r>
        <w:lastRenderedPageBreak/>
        <w:t>Findings</w:t>
      </w:r>
      <w:bookmarkEnd w:id="38"/>
      <w:bookmarkEnd w:id="39"/>
    </w:p>
    <w:p w14:paraId="2D4F3EE0" w14:textId="669BFCCE" w:rsidR="004E3128" w:rsidRPr="00174F49" w:rsidRDefault="004E3128" w:rsidP="004E3128">
      <w:pPr>
        <w:pStyle w:val="Heading2"/>
      </w:pPr>
      <w:bookmarkStart w:id="40" w:name="_Toc210306601"/>
      <w:bookmarkStart w:id="41" w:name="_Toc210317427"/>
      <w:bookmarkStart w:id="42" w:name="_Toc210815581"/>
      <w:bookmarkStart w:id="43" w:name="_Toc97799688"/>
      <w:bookmarkStart w:id="44" w:name="_Toc98320879"/>
      <w:bookmarkStart w:id="45" w:name="_Toc98482807"/>
      <w:bookmarkStart w:id="46" w:name="_Toc98486403"/>
      <w:bookmarkStart w:id="47" w:name="_Toc98836145"/>
      <w:bookmarkStart w:id="48" w:name="_Toc99109956"/>
      <w:bookmarkStart w:id="49" w:name="_Toc99552704"/>
      <w:bookmarkStart w:id="50" w:name="_Toc100318974"/>
      <w:bookmarkStart w:id="51" w:name="_Toc106953795"/>
      <w:bookmarkStart w:id="52" w:name="_Toc123647042"/>
      <w:bookmarkStart w:id="53" w:name="_Toc127451641"/>
      <w:bookmarkStart w:id="54" w:name="_Toc128488984"/>
      <w:bookmarkStart w:id="55" w:name="_Toc130204894"/>
      <w:bookmarkStart w:id="56" w:name="_Toc158614537"/>
      <w:bookmarkStart w:id="57" w:name="_Toc158614638"/>
      <w:bookmarkStart w:id="58" w:name="_Toc159485598"/>
      <w:bookmarkStart w:id="59" w:name="_Toc159581855"/>
      <w:bookmarkStart w:id="60" w:name="_Toc159597846"/>
      <w:bookmarkStart w:id="61" w:name="_Toc160180098"/>
      <w:bookmarkStart w:id="62" w:name="_Toc160180293"/>
      <w:bookmarkStart w:id="63" w:name="_Toc160634408"/>
      <w:bookmarkStart w:id="64" w:name="_Toc161909361"/>
      <w:bookmarkStart w:id="65" w:name="_Toc184816199"/>
      <w:r>
        <w:t>Finding 1</w:t>
      </w:r>
      <w:bookmarkEnd w:id="40"/>
      <w:bookmarkEnd w:id="41"/>
      <w:bookmarkEnd w:id="42"/>
      <w:r w:rsidR="653A9974">
        <w:t xml:space="preserve">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4F2003CF" w14:textId="688DBD0E" w:rsidR="006B3920" w:rsidRPr="00022118" w:rsidRDefault="4BF77A1F" w:rsidP="421ADA8C">
      <w:proofErr w:type="gramStart"/>
      <w:r w:rsidRPr="3A93DC59">
        <w:t>T</w:t>
      </w:r>
      <w:r w:rsidR="1D0B2A9A" w:rsidRPr="3A93DC59">
        <w:t xml:space="preserve">he </w:t>
      </w:r>
      <w:r w:rsidR="722491A7" w:rsidRPr="3A93DC59">
        <w:t>majority</w:t>
      </w:r>
      <w:r w:rsidR="1D0B2A9A" w:rsidRPr="3A93DC59">
        <w:t xml:space="preserve"> of</w:t>
      </w:r>
      <w:proofErr w:type="gramEnd"/>
      <w:r w:rsidR="722491A7" w:rsidRPr="3A93DC59">
        <w:t xml:space="preserve"> jurisdictions </w:t>
      </w:r>
      <w:r w:rsidR="14084892" w:rsidRPr="3A93DC59">
        <w:t xml:space="preserve">met </w:t>
      </w:r>
      <w:r w:rsidR="7C35D76B" w:rsidRPr="3A93DC59">
        <w:t xml:space="preserve">the </w:t>
      </w:r>
      <w:r w:rsidR="14084892" w:rsidRPr="3A93DC59">
        <w:t xml:space="preserve">reporting </w:t>
      </w:r>
      <w:r w:rsidR="26FF52EF" w:rsidRPr="3A93DC59">
        <w:t>time</w:t>
      </w:r>
      <w:r w:rsidR="69B0423C" w:rsidRPr="3A93DC59">
        <w:t>line</w:t>
      </w:r>
      <w:r w:rsidR="26FF52EF" w:rsidRPr="3A93DC59">
        <w:t xml:space="preserve"> </w:t>
      </w:r>
      <w:r w:rsidR="4272D12C" w:rsidRPr="3A93DC59">
        <w:t xml:space="preserve">of 30 November 2024 </w:t>
      </w:r>
      <w:r w:rsidR="2A552CD5" w:rsidRPr="3A93DC59">
        <w:t>for the submission of their annual report</w:t>
      </w:r>
      <w:r w:rsidR="4069BB59" w:rsidRPr="3A93DC59">
        <w:t xml:space="preserve"> for</w:t>
      </w:r>
      <w:r w:rsidR="14084892" w:rsidRPr="3A93DC59">
        <w:t xml:space="preserve"> </w:t>
      </w:r>
      <w:r w:rsidR="4272D12C" w:rsidRPr="3A93DC59">
        <w:t>the 2023</w:t>
      </w:r>
      <w:r w:rsidR="14084892" w:rsidRPr="3A93DC59">
        <w:t xml:space="preserve"> funding year</w:t>
      </w:r>
      <w:r w:rsidR="077DD600" w:rsidRPr="3A93DC59">
        <w:t>, with some minor delays and process variations that were later addressed</w:t>
      </w:r>
      <w:bookmarkStart w:id="66" w:name="_Toc97799689"/>
      <w:bookmarkStart w:id="67" w:name="_Toc98320880"/>
      <w:bookmarkStart w:id="68" w:name="_Toc98482808"/>
      <w:bookmarkStart w:id="69" w:name="_Toc98486404"/>
      <w:bookmarkStart w:id="70" w:name="_Toc98836146"/>
      <w:bookmarkStart w:id="71" w:name="_Toc99109957"/>
      <w:bookmarkStart w:id="72" w:name="_Toc99552705"/>
      <w:bookmarkStart w:id="73" w:name="_Toc100318975"/>
      <w:bookmarkStart w:id="74" w:name="_Toc106953796"/>
      <w:bookmarkStart w:id="75" w:name="_Toc123647043"/>
      <w:bookmarkStart w:id="76" w:name="_Toc127451642"/>
      <w:bookmarkStart w:id="77" w:name="_Toc128488985"/>
      <w:bookmarkStart w:id="78" w:name="_Toc130204895"/>
      <w:bookmarkStart w:id="79" w:name="_Toc158614538"/>
      <w:bookmarkStart w:id="80" w:name="_Toc158614639"/>
      <w:bookmarkStart w:id="81" w:name="_Toc159485599"/>
      <w:r w:rsidR="5802F8C4" w:rsidRPr="3A93DC59">
        <w:t>.</w:t>
      </w:r>
    </w:p>
    <w:p w14:paraId="4E336B4C" w14:textId="65AD3EDB" w:rsidR="004E3128" w:rsidRPr="00022118" w:rsidRDefault="004E3128" w:rsidP="006B3920">
      <w:pPr>
        <w:pStyle w:val="Heading2"/>
      </w:pPr>
      <w:bookmarkStart w:id="82" w:name="_Toc97799690"/>
      <w:bookmarkStart w:id="83" w:name="_Toc98320881"/>
      <w:bookmarkStart w:id="84" w:name="_Toc98482809"/>
      <w:bookmarkStart w:id="85" w:name="_Toc98486405"/>
      <w:bookmarkStart w:id="86" w:name="_Toc98836147"/>
      <w:bookmarkStart w:id="87" w:name="_Toc99109958"/>
      <w:bookmarkStart w:id="88" w:name="_Toc99552706"/>
      <w:bookmarkStart w:id="89" w:name="_Toc100318976"/>
      <w:bookmarkStart w:id="90" w:name="_Toc106953797"/>
      <w:bookmarkStart w:id="91" w:name="_Toc123647044"/>
      <w:bookmarkStart w:id="92" w:name="_Toc127451643"/>
      <w:bookmarkStart w:id="93" w:name="_Toc128488986"/>
      <w:bookmarkStart w:id="94" w:name="_Toc158614539"/>
      <w:bookmarkStart w:id="95" w:name="_Toc158614640"/>
      <w:bookmarkStart w:id="96" w:name="_Toc159485600"/>
      <w:bookmarkStart w:id="97" w:name="_Toc159581857"/>
      <w:bookmarkStart w:id="98" w:name="_Toc159597848"/>
      <w:bookmarkStart w:id="99" w:name="_Toc160180100"/>
      <w:bookmarkStart w:id="100" w:name="_Toc160180295"/>
      <w:bookmarkStart w:id="101" w:name="_Toc160634410"/>
      <w:bookmarkStart w:id="102" w:name="_Toc161909363"/>
      <w:bookmarkStart w:id="103" w:name="_Toc184816201"/>
      <w:bookmarkStart w:id="104" w:name="_Toc210306602"/>
      <w:bookmarkStart w:id="105" w:name="_Toc210317428"/>
      <w:bookmarkStart w:id="106" w:name="_Toc210815582"/>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t xml:space="preserve">Finding </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00DE7CEE">
        <w:t>2</w:t>
      </w:r>
      <w:bookmarkEnd w:id="104"/>
      <w:bookmarkEnd w:id="105"/>
      <w:bookmarkEnd w:id="106"/>
    </w:p>
    <w:p w14:paraId="65D31191" w14:textId="437EE75E" w:rsidR="00022118" w:rsidRPr="00022118" w:rsidRDefault="00015003" w:rsidP="00E800EF">
      <w:bookmarkStart w:id="107" w:name="_Toc159581856"/>
      <w:bookmarkStart w:id="108" w:name="_Toc159597847"/>
      <w:bookmarkStart w:id="109" w:name="_Toc160180099"/>
      <w:bookmarkStart w:id="110" w:name="_Toc160180294"/>
      <w:bookmarkStart w:id="111" w:name="_Toc160634409"/>
      <w:bookmarkStart w:id="112" w:name="_Toc161909362"/>
      <w:bookmarkStart w:id="113" w:name="_Toc184816200"/>
      <w:bookmarkStart w:id="114" w:name="_Toc97799691"/>
      <w:bookmarkStart w:id="115" w:name="_Toc98320882"/>
      <w:bookmarkStart w:id="116" w:name="_Toc98482810"/>
      <w:bookmarkStart w:id="117" w:name="_Toc98486406"/>
      <w:bookmarkStart w:id="118" w:name="_Toc98836148"/>
      <w:bookmarkStart w:id="119" w:name="_Toc99109959"/>
      <w:bookmarkStart w:id="120" w:name="_Toc99552707"/>
      <w:bookmarkStart w:id="121" w:name="_Toc100318977"/>
      <w:bookmarkStart w:id="122" w:name="_Toc106953798"/>
      <w:bookmarkStart w:id="123" w:name="_Toc123647045"/>
      <w:bookmarkStart w:id="124" w:name="_Toc127451644"/>
      <w:bookmarkStart w:id="125" w:name="_Toc128488987"/>
      <w:bookmarkStart w:id="126" w:name="_Toc130204897"/>
      <w:bookmarkStart w:id="127" w:name="_Toc158614541"/>
      <w:bookmarkStart w:id="128" w:name="_Toc158614642"/>
      <w:bookmarkStart w:id="129" w:name="_Toc159485602"/>
      <w:r>
        <w:t xml:space="preserve">All states and territories </w:t>
      </w:r>
      <w:r w:rsidR="00D9251F" w:rsidRPr="0695D954">
        <w:rPr>
          <w:rFonts w:cs="Calibri"/>
        </w:rPr>
        <w:t xml:space="preserve">provided </w:t>
      </w:r>
      <w:r>
        <w:t xml:space="preserve">annual reports </w:t>
      </w:r>
      <w:r w:rsidR="3DD5C10B">
        <w:t>within</w:t>
      </w:r>
      <w:r>
        <w:t xml:space="preserve"> the </w:t>
      </w:r>
      <w:r w:rsidR="00E800EF">
        <w:t>Australian Government Department of Education’s</w:t>
      </w:r>
      <w:r>
        <w:t xml:space="preserve"> </w:t>
      </w:r>
      <w:r w:rsidR="00C5DCEC">
        <w:t xml:space="preserve">current </w:t>
      </w:r>
      <w:r w:rsidRPr="00FD72C5">
        <w:rPr>
          <w:i/>
          <w:iCs/>
        </w:rPr>
        <w:t>Guidance to Reporting</w:t>
      </w:r>
      <w:r>
        <w:t xml:space="preserve">. </w:t>
      </w:r>
    </w:p>
    <w:p w14:paraId="68880E36" w14:textId="4D26D556" w:rsidR="00DE7CEE" w:rsidRPr="00022118" w:rsidRDefault="00DE7CEE" w:rsidP="00DE7CEE">
      <w:pPr>
        <w:pStyle w:val="Heading2"/>
      </w:pPr>
      <w:bookmarkStart w:id="130" w:name="_Toc210306603"/>
      <w:bookmarkStart w:id="131" w:name="_Toc210317429"/>
      <w:bookmarkStart w:id="132" w:name="_Toc210815583"/>
      <w:r>
        <w:t xml:space="preserve">Finding </w:t>
      </w:r>
      <w:bookmarkEnd w:id="107"/>
      <w:bookmarkEnd w:id="108"/>
      <w:bookmarkEnd w:id="109"/>
      <w:bookmarkEnd w:id="110"/>
      <w:bookmarkEnd w:id="111"/>
      <w:bookmarkEnd w:id="112"/>
      <w:bookmarkEnd w:id="113"/>
      <w:r>
        <w:t>3</w:t>
      </w:r>
      <w:bookmarkEnd w:id="130"/>
      <w:bookmarkEnd w:id="131"/>
      <w:bookmarkEnd w:id="132"/>
    </w:p>
    <w:p w14:paraId="5336D3F7" w14:textId="3F89C67A" w:rsidR="00DE7CEE" w:rsidRPr="00022118" w:rsidRDefault="6DEDE84D" w:rsidP="421ADA8C">
      <w:r w:rsidRPr="3A93DC59">
        <w:t xml:space="preserve">All jurisdictions have completed the required </w:t>
      </w:r>
      <w:r w:rsidR="003830F5" w:rsidRPr="003830F5">
        <w:t xml:space="preserve">reasonable </w:t>
      </w:r>
      <w:r w:rsidRPr="3A93DC59">
        <w:t xml:space="preserve">assurance processes by engaging an independent auditor to complete their compliance engagement under the </w:t>
      </w:r>
      <w:r w:rsidRPr="3A93DC59">
        <w:rPr>
          <w:i/>
          <w:iCs/>
        </w:rPr>
        <w:t>Standard on Assurance Engagements ASAE 3100 Compliance Engagements</w:t>
      </w:r>
      <w:r w:rsidRPr="3A93DC59">
        <w:t xml:space="preserve"> in accordance with</w:t>
      </w:r>
      <w:r w:rsidR="2767EAEC" w:rsidRPr="3A93DC59">
        <w:t xml:space="preserve"> the</w:t>
      </w:r>
      <w:r w:rsidRPr="3A93DC59">
        <w:t xml:space="preserve"> </w:t>
      </w:r>
      <w:r w:rsidRPr="3A93DC59">
        <w:rPr>
          <w:i/>
          <w:iCs/>
        </w:rPr>
        <w:t>Guidance to Reporting</w:t>
      </w:r>
      <w:r w:rsidRPr="3A93DC59">
        <w:t>.</w:t>
      </w:r>
    </w:p>
    <w:p w14:paraId="3CC2C02D" w14:textId="4394613B" w:rsidR="004E3128" w:rsidRPr="00022118" w:rsidRDefault="004E3128" w:rsidP="006F6305">
      <w:pPr>
        <w:pStyle w:val="Heading2"/>
      </w:pPr>
      <w:bookmarkStart w:id="133" w:name="_Toc159581858"/>
      <w:bookmarkStart w:id="134" w:name="_Toc159597849"/>
      <w:bookmarkStart w:id="135" w:name="_Toc160180101"/>
      <w:bookmarkStart w:id="136" w:name="_Toc160180296"/>
      <w:bookmarkStart w:id="137" w:name="_Toc160634411"/>
      <w:bookmarkStart w:id="138" w:name="_Toc161909364"/>
      <w:bookmarkStart w:id="139" w:name="_Toc184816202"/>
      <w:bookmarkStart w:id="140" w:name="_Toc210306604"/>
      <w:bookmarkStart w:id="141" w:name="_Toc210317430"/>
      <w:bookmarkStart w:id="142" w:name="_Toc210815584"/>
      <w:r>
        <w:t xml:space="preserve">Finding </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3"/>
      <w:bookmarkEnd w:id="134"/>
      <w:bookmarkEnd w:id="135"/>
      <w:bookmarkEnd w:id="136"/>
      <w:bookmarkEnd w:id="137"/>
      <w:bookmarkEnd w:id="138"/>
      <w:bookmarkEnd w:id="139"/>
      <w:r w:rsidR="009C0EBA">
        <w:t>4</w:t>
      </w:r>
      <w:bookmarkEnd w:id="140"/>
      <w:bookmarkEnd w:id="141"/>
      <w:bookmarkEnd w:id="142"/>
      <w:r w:rsidR="0089183A">
        <w:t xml:space="preserve"> </w:t>
      </w:r>
    </w:p>
    <w:p w14:paraId="4EED0B70" w14:textId="74E6122C" w:rsidR="00881786" w:rsidRDefault="61112E82" w:rsidP="00881786">
      <w:r>
        <w:t xml:space="preserve">The Board found that, for the government sector, 6 out of 8 states and territories were compliant with their minimum funding requirements for the 2023 funding year under section 22A of the </w:t>
      </w:r>
      <w:r w:rsidRPr="0FA5145A">
        <w:rPr>
          <w:i/>
          <w:iCs/>
        </w:rPr>
        <w:t>Australian Education Act 2013</w:t>
      </w:r>
      <w:r>
        <w:t>.</w:t>
      </w:r>
    </w:p>
    <w:p w14:paraId="2D971B5B" w14:textId="77777777" w:rsidR="006E4168" w:rsidRDefault="70D875F9" w:rsidP="006E4168">
      <w:pPr>
        <w:pStyle w:val="Heading2"/>
      </w:pPr>
      <w:bookmarkStart w:id="143" w:name="_Toc210306605"/>
      <w:bookmarkStart w:id="144" w:name="_Toc210317431"/>
      <w:bookmarkStart w:id="145" w:name="_Toc210815585"/>
      <w:r>
        <w:t>Finding 5</w:t>
      </w:r>
      <w:bookmarkEnd w:id="143"/>
      <w:bookmarkEnd w:id="144"/>
      <w:bookmarkEnd w:id="145"/>
    </w:p>
    <w:p w14:paraId="24299958" w14:textId="16E567B8" w:rsidR="006E4168" w:rsidRPr="00022118" w:rsidRDefault="70D875F9" w:rsidP="006E4168">
      <w:r>
        <w:t xml:space="preserve">The Board found that for the non-government sector, all states and territories were compliant with their minimum funding requirements for the 2023 funding year under section 22A of the </w:t>
      </w:r>
      <w:r w:rsidRPr="0FA5145A">
        <w:rPr>
          <w:i/>
          <w:iCs/>
        </w:rPr>
        <w:t>Australian Education Act 2013</w:t>
      </w:r>
      <w:r>
        <w:t>.</w:t>
      </w:r>
    </w:p>
    <w:p w14:paraId="3EE966B3" w14:textId="466E4E5E" w:rsidR="00401957" w:rsidRPr="009917CE" w:rsidRDefault="00401957" w:rsidP="0FA5145A">
      <w:pPr>
        <w:pStyle w:val="Heading2"/>
      </w:pPr>
      <w:bookmarkStart w:id="146" w:name="_Toc159581859"/>
      <w:bookmarkStart w:id="147" w:name="_Toc159597850"/>
      <w:bookmarkStart w:id="148" w:name="_Toc160180102"/>
      <w:bookmarkStart w:id="149" w:name="_Toc160180297"/>
      <w:bookmarkStart w:id="150" w:name="_Toc160634412"/>
      <w:bookmarkStart w:id="151" w:name="_Toc161909365"/>
      <w:bookmarkStart w:id="152" w:name="_Toc184816203"/>
      <w:bookmarkStart w:id="153" w:name="_Toc210306606"/>
      <w:bookmarkStart w:id="154" w:name="_Toc210317432"/>
      <w:bookmarkStart w:id="155" w:name="_Toc210815586"/>
      <w:r>
        <w:t xml:space="preserve">Finding </w:t>
      </w:r>
      <w:bookmarkEnd w:id="146"/>
      <w:bookmarkEnd w:id="147"/>
      <w:bookmarkEnd w:id="148"/>
      <w:bookmarkEnd w:id="149"/>
      <w:bookmarkEnd w:id="150"/>
      <w:bookmarkEnd w:id="151"/>
      <w:bookmarkEnd w:id="152"/>
      <w:r w:rsidR="006E4168">
        <w:t>6</w:t>
      </w:r>
      <w:bookmarkEnd w:id="153"/>
      <w:bookmarkEnd w:id="154"/>
      <w:bookmarkEnd w:id="155"/>
      <w:r w:rsidR="00723A4A">
        <w:t xml:space="preserve"> </w:t>
      </w:r>
    </w:p>
    <w:p w14:paraId="6516C351" w14:textId="77777777" w:rsidR="00BB1343" w:rsidRDefault="48F09A83" w:rsidP="00BB1343">
      <w:r w:rsidRPr="009917CE">
        <w:t>The</w:t>
      </w:r>
      <w:r w:rsidR="5C661902" w:rsidRPr="009917CE">
        <w:t xml:space="preserve"> Board found that the</w:t>
      </w:r>
      <w:r w:rsidRPr="009917CE">
        <w:t xml:space="preserve"> Northern Territory was non-compliant with its minimum contribution requirements for the government sector </w:t>
      </w:r>
      <w:r w:rsidR="18A0EB94" w:rsidRPr="009917CE">
        <w:t>for the 2023 funding</w:t>
      </w:r>
      <w:r w:rsidR="0012333B">
        <w:t xml:space="preserve"> ye</w:t>
      </w:r>
      <w:r w:rsidR="006C43E6">
        <w:t>ar</w:t>
      </w:r>
      <w:r w:rsidR="18A0EB94" w:rsidRPr="009917CE">
        <w:t xml:space="preserve">, </w:t>
      </w:r>
      <w:r w:rsidRPr="009917CE">
        <w:t xml:space="preserve">as the reported share was lower than the required share under its bilateral agreement (by 1.64%). </w:t>
      </w:r>
    </w:p>
    <w:p w14:paraId="1C9D6683" w14:textId="36E58D1C" w:rsidR="00401957" w:rsidRPr="009917CE" w:rsidRDefault="00401957" w:rsidP="0FA5145A">
      <w:pPr>
        <w:pStyle w:val="Heading2"/>
      </w:pPr>
      <w:bookmarkStart w:id="156" w:name="_Toc159581860"/>
      <w:bookmarkStart w:id="157" w:name="_Toc159597851"/>
      <w:bookmarkStart w:id="158" w:name="_Toc160180103"/>
      <w:bookmarkStart w:id="159" w:name="_Toc160180298"/>
      <w:bookmarkStart w:id="160" w:name="_Toc160634413"/>
      <w:bookmarkStart w:id="161" w:name="_Toc161909366"/>
      <w:bookmarkStart w:id="162" w:name="_Toc184816204"/>
      <w:bookmarkStart w:id="163" w:name="_Toc210306607"/>
      <w:bookmarkStart w:id="164" w:name="_Toc210317433"/>
      <w:bookmarkStart w:id="165" w:name="_Toc210815587"/>
      <w:r>
        <w:t xml:space="preserve">Finding </w:t>
      </w:r>
      <w:bookmarkEnd w:id="156"/>
      <w:bookmarkEnd w:id="157"/>
      <w:bookmarkEnd w:id="158"/>
      <w:bookmarkEnd w:id="159"/>
      <w:bookmarkEnd w:id="160"/>
      <w:bookmarkEnd w:id="161"/>
      <w:bookmarkEnd w:id="162"/>
      <w:r w:rsidR="006E4168">
        <w:t>7</w:t>
      </w:r>
      <w:bookmarkEnd w:id="163"/>
      <w:bookmarkEnd w:id="164"/>
      <w:bookmarkEnd w:id="165"/>
      <w:r w:rsidR="00723A4A">
        <w:t xml:space="preserve"> </w:t>
      </w:r>
    </w:p>
    <w:p w14:paraId="4D1159E7" w14:textId="1B65135A" w:rsidR="00713E23" w:rsidRDefault="5DB6B8B3" w:rsidP="00713E23">
      <w:r>
        <w:t xml:space="preserve">The Board recognises an ongoing trend of non-compliance over </w:t>
      </w:r>
      <w:r w:rsidR="00A42A58">
        <w:t xml:space="preserve">the past </w:t>
      </w:r>
      <w:r>
        <w:t>4 years</w:t>
      </w:r>
      <w:r w:rsidR="00A42A58">
        <w:t xml:space="preserve">. </w:t>
      </w:r>
      <w:r w:rsidR="006458C4">
        <w:t>W</w:t>
      </w:r>
      <w:r>
        <w:t xml:space="preserve">hile </w:t>
      </w:r>
      <w:r w:rsidR="006C43E6">
        <w:t xml:space="preserve">the </w:t>
      </w:r>
      <w:r>
        <w:t xml:space="preserve">Northern Territory has put in place mitigating measures, further attention and action </w:t>
      </w:r>
      <w:r w:rsidR="02DC739A">
        <w:t>are</w:t>
      </w:r>
      <w:r w:rsidR="0064325F">
        <w:t xml:space="preserve"> </w:t>
      </w:r>
      <w:r>
        <w:t>required to ensure the jurisdiction can demonstrate measurable progress towards consistently meeting its funding obligations.</w:t>
      </w:r>
      <w:r w:rsidR="00725E24">
        <w:t xml:space="preserve"> This may include reconsideration of the reporting methodology to be applied.</w:t>
      </w:r>
    </w:p>
    <w:p w14:paraId="721180F2" w14:textId="3C137A5D" w:rsidR="5DB6B8B3" w:rsidRPr="009917CE" w:rsidRDefault="5DB6B8B3" w:rsidP="43D0A64A">
      <w:pPr>
        <w:pStyle w:val="Heading2"/>
      </w:pPr>
      <w:bookmarkStart w:id="166" w:name="_Toc210306608"/>
      <w:bookmarkStart w:id="167" w:name="_Toc210317434"/>
      <w:bookmarkStart w:id="168" w:name="_Toc210815588"/>
      <w:r>
        <w:t xml:space="preserve">Finding </w:t>
      </w:r>
      <w:r w:rsidR="00BB1343">
        <w:t>8</w:t>
      </w:r>
      <w:bookmarkEnd w:id="166"/>
      <w:bookmarkEnd w:id="167"/>
      <w:bookmarkEnd w:id="168"/>
    </w:p>
    <w:p w14:paraId="51408CEF" w14:textId="7669ED36" w:rsidR="00723A4A" w:rsidRPr="009917CE" w:rsidRDefault="00517CDC" w:rsidP="0FA5145A">
      <w:r w:rsidRPr="009917CE">
        <w:t xml:space="preserve">The Board found that </w:t>
      </w:r>
      <w:r w:rsidR="00E830A8" w:rsidRPr="009917CE">
        <w:t xml:space="preserve">Victoria was non-compliant with minimum contribution requirements for the government sector </w:t>
      </w:r>
      <w:r w:rsidR="00C9382F" w:rsidRPr="009917CE">
        <w:t xml:space="preserve">for the 2023 funding year, </w:t>
      </w:r>
      <w:r w:rsidR="00E830A8" w:rsidRPr="009917CE">
        <w:t xml:space="preserve">as the reported share was lower than the required </w:t>
      </w:r>
      <w:r w:rsidR="00E830A8" w:rsidRPr="009917CE">
        <w:lastRenderedPageBreak/>
        <w:t xml:space="preserve">share under its bilateral agreement (by 1.67%). The Board found that Victoria’s mitigating factors </w:t>
      </w:r>
      <w:r w:rsidR="00C40C1B" w:rsidRPr="009917CE">
        <w:t>were</w:t>
      </w:r>
      <w:r w:rsidR="00E830A8" w:rsidRPr="009917CE">
        <w:t xml:space="preserve"> reasonable</w:t>
      </w:r>
      <w:r w:rsidR="005C693C" w:rsidRPr="009917CE">
        <w:t xml:space="preserve">. </w:t>
      </w:r>
    </w:p>
    <w:p w14:paraId="7A25C9D2" w14:textId="28ACA2DF" w:rsidR="0C8855AE" w:rsidRDefault="0C8855AE" w:rsidP="0FA5145A">
      <w:pPr>
        <w:pStyle w:val="Heading2"/>
        <w:spacing w:before="0" w:after="160"/>
        <w:sectPr w:rsidR="0C8855AE" w:rsidSect="002D3EF2">
          <w:headerReference w:type="even" r:id="rId31"/>
          <w:headerReference w:type="default" r:id="rId32"/>
          <w:footerReference w:type="default" r:id="rId33"/>
          <w:headerReference w:type="first" r:id="rId34"/>
          <w:pgSz w:w="11906" w:h="16838"/>
          <w:pgMar w:top="1134" w:right="1418" w:bottom="1701" w:left="1418" w:header="680" w:footer="357" w:gutter="0"/>
          <w:pgNumType w:fmt="upperRoman"/>
          <w:cols w:space="708"/>
          <w:docGrid w:linePitch="360"/>
        </w:sectPr>
      </w:pPr>
      <w:bookmarkStart w:id="169" w:name="_Toc73456101"/>
      <w:bookmarkStart w:id="170" w:name="_Toc73459088"/>
      <w:bookmarkStart w:id="171" w:name="_Toc73513185"/>
      <w:bookmarkStart w:id="172" w:name="_Toc24447234"/>
      <w:bookmarkStart w:id="173" w:name="_Toc37253824"/>
      <w:bookmarkEnd w:id="37"/>
      <w:bookmarkEnd w:id="169"/>
      <w:bookmarkEnd w:id="170"/>
      <w:bookmarkEnd w:id="171"/>
    </w:p>
    <w:p w14:paraId="10489A00" w14:textId="45F555D5" w:rsidR="00C13137" w:rsidRPr="00484A44" w:rsidRDefault="00C13137" w:rsidP="007752D2">
      <w:pPr>
        <w:pStyle w:val="Heading1-Numbered"/>
      </w:pPr>
      <w:bookmarkStart w:id="174" w:name="_Toc160180106"/>
      <w:bookmarkStart w:id="175" w:name="_Toc210815589"/>
      <w:r>
        <w:lastRenderedPageBreak/>
        <w:t>Introduction</w:t>
      </w:r>
      <w:bookmarkEnd w:id="172"/>
      <w:bookmarkEnd w:id="173"/>
      <w:bookmarkEnd w:id="174"/>
      <w:bookmarkEnd w:id="175"/>
    </w:p>
    <w:p w14:paraId="4C48B43C" w14:textId="21AA57B3" w:rsidR="00C13137" w:rsidRPr="00484A44" w:rsidRDefault="00C13137" w:rsidP="00A04318">
      <w:pPr>
        <w:pStyle w:val="Heading2-Numbered"/>
        <w:ind w:left="540"/>
      </w:pPr>
      <w:bookmarkStart w:id="176" w:name="_Toc37253825"/>
      <w:bookmarkStart w:id="177" w:name="_Toc106953806"/>
      <w:bookmarkStart w:id="178" w:name="_Toc123647053"/>
      <w:bookmarkStart w:id="179" w:name="_Toc127451652"/>
      <w:bookmarkStart w:id="180" w:name="_Toc130204903"/>
      <w:bookmarkStart w:id="181" w:name="_Toc158614543"/>
      <w:bookmarkStart w:id="182" w:name="_Toc158614644"/>
      <w:bookmarkStart w:id="183" w:name="_Toc159485604"/>
      <w:bookmarkStart w:id="184" w:name="_Toc159581865"/>
      <w:bookmarkStart w:id="185" w:name="_Toc159597855"/>
      <w:bookmarkStart w:id="186" w:name="_Toc160180107"/>
      <w:bookmarkStart w:id="187" w:name="_Toc160180302"/>
      <w:bookmarkStart w:id="188" w:name="_Toc160634415"/>
      <w:bookmarkStart w:id="189" w:name="_Toc161909368"/>
      <w:bookmarkStart w:id="190" w:name="_Toc184816206"/>
      <w:bookmarkStart w:id="191" w:name="_Toc210815590"/>
      <w:bookmarkStart w:id="192" w:name="_Toc24447236"/>
      <w:r>
        <w:t>The task</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bookmarkEnd w:id="192"/>
    <w:p w14:paraId="2789F2F7" w14:textId="6E8A0689" w:rsidR="008E6BA2" w:rsidRDefault="7D8811BD" w:rsidP="421ADA8C">
      <w:r w:rsidRPr="3A93DC59">
        <w:t>Under</w:t>
      </w:r>
      <w:r w:rsidR="006C43E6">
        <w:t xml:space="preserve"> the</w:t>
      </w:r>
      <w:r w:rsidRPr="3A93DC59">
        <w:t xml:space="preserve"> </w:t>
      </w:r>
      <w:r w:rsidR="724ECFE8" w:rsidRPr="3A93DC59">
        <w:rPr>
          <w:i/>
          <w:iCs/>
        </w:rPr>
        <w:t>Australian Education Act 2013</w:t>
      </w:r>
      <w:r w:rsidR="724ECFE8" w:rsidRPr="3A93DC59">
        <w:t xml:space="preserve"> (the Act) the National School Resourcing Board</w:t>
      </w:r>
      <w:r w:rsidR="00C82048">
        <w:t xml:space="preserve"> (the Board)</w:t>
      </w:r>
      <w:r w:rsidR="724ECFE8" w:rsidRPr="3A93DC59">
        <w:t xml:space="preserve"> is responsible for undertaking independent reviews of arrangements and requirements relating to funding for schools.</w:t>
      </w:r>
      <w:r w:rsidR="006015E3" w:rsidRPr="3A93DC59">
        <w:rPr>
          <w:rStyle w:val="FootnoteReference"/>
        </w:rPr>
        <w:footnoteReference w:id="3"/>
      </w:r>
      <w:r w:rsidR="724ECFE8" w:rsidRPr="3A93DC59">
        <w:t xml:space="preserve"> These reviews help ensure public confidence in the funding model</w:t>
      </w:r>
      <w:r w:rsidR="004516A0" w:rsidRPr="3A93DC59">
        <w:t xml:space="preserve">. </w:t>
      </w:r>
    </w:p>
    <w:p w14:paraId="696D085A" w14:textId="50681E33" w:rsidR="00ED19AD" w:rsidRDefault="006015E3" w:rsidP="006C0A6E">
      <w:r>
        <w:t xml:space="preserve">Section </w:t>
      </w:r>
      <w:r w:rsidRPr="00AB3D50">
        <w:t>128(6A) of the Ac</w:t>
      </w:r>
      <w:r>
        <w:t>t</w:t>
      </w:r>
      <w:r w:rsidRPr="00AB3D50">
        <w:t xml:space="preserve"> require</w:t>
      </w:r>
      <w:r>
        <w:t>s the Board</w:t>
      </w:r>
      <w:r w:rsidRPr="00AB3D50">
        <w:t xml:space="preserve"> to conduct an annual review of state and territory compliance with </w:t>
      </w:r>
      <w:r w:rsidR="00E6375D">
        <w:t xml:space="preserve">Section </w:t>
      </w:r>
      <w:r w:rsidR="0020191A">
        <w:t>22A (s 22A)</w:t>
      </w:r>
      <w:r w:rsidR="006D2671">
        <w:t xml:space="preserve"> which</w:t>
      </w:r>
      <w:r w:rsidR="002C486A">
        <w:t xml:space="preserve"> r</w:t>
      </w:r>
      <w:r w:rsidR="0008024F" w:rsidRPr="0008024F">
        <w:t xml:space="preserve">equires </w:t>
      </w:r>
      <w:r w:rsidR="00283D96">
        <w:t xml:space="preserve">the </w:t>
      </w:r>
      <w:r w:rsidR="0008024F" w:rsidRPr="0008024F">
        <w:t xml:space="preserve">states and territories meet minimum school funding contributions, and sections 35A and 35B (s 35A and B) require the Australian Government to meet minimum school funding contributions. </w:t>
      </w:r>
    </w:p>
    <w:p w14:paraId="54358DEE" w14:textId="28F2106E" w:rsidR="0008024F" w:rsidRDefault="0008024F" w:rsidP="006C0A6E">
      <w:r w:rsidRPr="0008024F">
        <w:t>The s 22A review focusses on state and territory funding obligations.</w:t>
      </w:r>
    </w:p>
    <w:p w14:paraId="113F0820" w14:textId="60AF96A9" w:rsidR="0003580B" w:rsidRDefault="341675BF" w:rsidP="421ADA8C">
      <w:r w:rsidRPr="3A93DC59">
        <w:t>Section</w:t>
      </w:r>
      <w:r w:rsidR="09282791" w:rsidRPr="3A93DC59">
        <w:t xml:space="preserve"> 22A outlines the</w:t>
      </w:r>
      <w:r w:rsidR="3696D679" w:rsidRPr="3A93DC59">
        <w:t xml:space="preserve"> requirements for minimum state </w:t>
      </w:r>
      <w:r w:rsidR="58B7269C" w:rsidRPr="3A93DC59">
        <w:t xml:space="preserve">and territory </w:t>
      </w:r>
      <w:r w:rsidR="3696D679" w:rsidRPr="3A93DC59">
        <w:t xml:space="preserve">funding contributions for the government and non-government sectors. </w:t>
      </w:r>
      <w:r w:rsidR="21623A16" w:rsidRPr="3A93DC59">
        <w:t>A</w:t>
      </w:r>
      <w:r w:rsidR="20CE32BD" w:rsidRPr="3A93DC59">
        <w:t xml:space="preserve">s a condition of Commonwealth financial assistance, states and territories </w:t>
      </w:r>
      <w:r w:rsidR="060F1F61" w:rsidRPr="3A93DC59">
        <w:t>must</w:t>
      </w:r>
      <w:r w:rsidR="5BB5FB79" w:rsidRPr="3A93DC59">
        <w:t xml:space="preserve"> </w:t>
      </w:r>
      <w:r w:rsidR="20CE32BD" w:rsidRPr="3A93DC59">
        <w:t>meet minimum school funding contributions</w:t>
      </w:r>
      <w:r w:rsidR="205D18E8" w:rsidRPr="3A93DC59">
        <w:t xml:space="preserve"> agreed as part of </w:t>
      </w:r>
      <w:r w:rsidR="21623A16" w:rsidRPr="3A93DC59">
        <w:t xml:space="preserve">the </w:t>
      </w:r>
      <w:r w:rsidR="205D18E8" w:rsidRPr="3A93DC59">
        <w:t xml:space="preserve">bilateral agreements </w:t>
      </w:r>
      <w:r w:rsidR="21623A16" w:rsidRPr="3A93DC59">
        <w:t xml:space="preserve">that </w:t>
      </w:r>
      <w:r w:rsidR="205D18E8" w:rsidRPr="3A93DC59">
        <w:t>support the National School Reform Agreement</w:t>
      </w:r>
      <w:r w:rsidR="1566EBC0" w:rsidRPr="3A93DC59">
        <w:t xml:space="preserve"> (NSRA)</w:t>
      </w:r>
      <w:r w:rsidR="6B7CA7CF" w:rsidRPr="3A93DC59">
        <w:t xml:space="preserve"> 2018-23</w:t>
      </w:r>
      <w:r w:rsidR="20CE32BD" w:rsidRPr="3A93DC59">
        <w:t>.</w:t>
      </w:r>
      <w:r w:rsidR="112F35FA" w:rsidRPr="3A93DC59">
        <w:t xml:space="preserve"> The</w:t>
      </w:r>
      <w:r w:rsidR="37E895C9" w:rsidRPr="3A93DC59">
        <w:t>se</w:t>
      </w:r>
      <w:r w:rsidR="112F35FA" w:rsidRPr="3A93DC59">
        <w:t xml:space="preserve"> agreements also include the approach to measuring these contributions and treatment</w:t>
      </w:r>
      <w:r w:rsidR="00A45D4A">
        <w:t>s</w:t>
      </w:r>
      <w:r w:rsidR="112F35FA" w:rsidRPr="3A93DC59">
        <w:t xml:space="preserve"> for immaterial shortfall</w:t>
      </w:r>
      <w:r w:rsidR="0002761E">
        <w:t>s</w:t>
      </w:r>
      <w:r w:rsidR="112F35FA" w:rsidRPr="3A93DC59">
        <w:t>, and the ability for jurisdictions to provide commentary on mitigating or contributing circumstance</w:t>
      </w:r>
      <w:r w:rsidR="001F3740">
        <w:t>s</w:t>
      </w:r>
      <w:r w:rsidR="112F35FA" w:rsidRPr="3A93DC59">
        <w:t xml:space="preserve"> that have affected compliance.</w:t>
      </w:r>
    </w:p>
    <w:p w14:paraId="5ECA95AD" w14:textId="2CFC5E01" w:rsidR="009D69C4" w:rsidRDefault="00FE1499" w:rsidP="00890F42">
      <w:r>
        <w:t xml:space="preserve">The </w:t>
      </w:r>
      <w:r w:rsidR="00EF02C1">
        <w:t>Board was</w:t>
      </w:r>
      <w:r w:rsidR="0003580B" w:rsidRPr="00200360">
        <w:t xml:space="preserve"> </w:t>
      </w:r>
      <w:r>
        <w:t xml:space="preserve">first </w:t>
      </w:r>
      <w:r w:rsidR="0003580B" w:rsidRPr="00200360">
        <w:t>commissioned</w:t>
      </w:r>
      <w:r>
        <w:t xml:space="preserve"> in October 2019</w:t>
      </w:r>
      <w:r w:rsidR="0003580B" w:rsidRPr="00200360">
        <w:t xml:space="preserve"> to undertake </w:t>
      </w:r>
      <w:r w:rsidR="007455FE" w:rsidRPr="00200360">
        <w:t>an</w:t>
      </w:r>
      <w:r w:rsidR="0003580B" w:rsidRPr="00200360">
        <w:t xml:space="preserve"> annual review of state and territory compliance with s</w:t>
      </w:r>
      <w:r w:rsidR="008413FB">
        <w:t xml:space="preserve"> </w:t>
      </w:r>
      <w:r w:rsidR="0003580B" w:rsidRPr="00200360">
        <w:t>22A</w:t>
      </w:r>
      <w:r w:rsidR="0084203A" w:rsidRPr="00200360">
        <w:t>.</w:t>
      </w:r>
      <w:r w:rsidR="00D91510" w:rsidRPr="00200360">
        <w:t xml:space="preserve"> T</w:t>
      </w:r>
      <w:r w:rsidR="00475BD7" w:rsidRPr="00200360">
        <w:t xml:space="preserve">he terms of reference for the review </w:t>
      </w:r>
      <w:r w:rsidR="00E55123" w:rsidRPr="00200360">
        <w:t xml:space="preserve">ask the Board to consider </w:t>
      </w:r>
      <w:r w:rsidR="006B6EEA" w:rsidRPr="00200360">
        <w:t>funding com</w:t>
      </w:r>
      <w:r w:rsidR="004952CB" w:rsidRPr="00200360">
        <w:t>pliance</w:t>
      </w:r>
      <w:r w:rsidR="0058098F" w:rsidRPr="00200360">
        <w:t xml:space="preserve"> </w:t>
      </w:r>
      <w:r w:rsidR="00DF120F" w:rsidRPr="00200360">
        <w:t>for each</w:t>
      </w:r>
      <w:r w:rsidR="0058098F" w:rsidRPr="00200360">
        <w:t xml:space="preserve"> calendar year</w:t>
      </w:r>
      <w:r w:rsidR="004952CB" w:rsidRPr="00200360">
        <w:t xml:space="preserve">, mitigating factors </w:t>
      </w:r>
      <w:r w:rsidR="0DF7F144" w:rsidRPr="00200360">
        <w:t>that may have contributed to any non-compliance</w:t>
      </w:r>
      <w:r w:rsidR="00CE748E" w:rsidRPr="00200360">
        <w:t>,</w:t>
      </w:r>
      <w:r w:rsidR="0DF7F144" w:rsidRPr="00200360">
        <w:t xml:space="preserve"> </w:t>
      </w:r>
      <w:r w:rsidR="004952CB" w:rsidRPr="00200360">
        <w:t xml:space="preserve">and </w:t>
      </w:r>
      <w:r w:rsidR="00D55E06" w:rsidRPr="00200360">
        <w:t xml:space="preserve">recommended </w:t>
      </w:r>
      <w:r w:rsidR="00BC20B2" w:rsidRPr="00200360">
        <w:t>adjustments</w:t>
      </w:r>
      <w:r w:rsidR="004952CB" w:rsidRPr="00200360">
        <w:t xml:space="preserve"> to reporting</w:t>
      </w:r>
      <w:r w:rsidR="00BC20B2" w:rsidRPr="00200360">
        <w:t xml:space="preserve"> processes</w:t>
      </w:r>
      <w:r w:rsidR="00E55123" w:rsidRPr="00200360">
        <w:t>.</w:t>
      </w:r>
      <w:r w:rsidR="0003580B" w:rsidRPr="00200360">
        <w:t xml:space="preserve"> </w:t>
      </w:r>
      <w:r w:rsidR="5A5C21FE" w:rsidRPr="00200360">
        <w:t xml:space="preserve">The terms of reference are at </w:t>
      </w:r>
      <w:r w:rsidR="00D359E9" w:rsidRPr="00CF73F6">
        <w:t>Appendix A</w:t>
      </w:r>
      <w:r w:rsidR="00D359E9" w:rsidRPr="00A022A0">
        <w:t>.</w:t>
      </w:r>
    </w:p>
    <w:p w14:paraId="5A787AE8" w14:textId="71072CE4" w:rsidR="00890F42" w:rsidRDefault="17B8AF59" w:rsidP="421ADA8C">
      <w:r w:rsidRPr="3A93DC59">
        <w:t>While the Board assess</w:t>
      </w:r>
      <w:r w:rsidR="2E55B3DE" w:rsidRPr="3A93DC59">
        <w:t>es</w:t>
      </w:r>
      <w:r w:rsidRPr="3A93DC59">
        <w:t xml:space="preserve"> each state and territory’s compliance with </w:t>
      </w:r>
      <w:r w:rsidR="6638B21A" w:rsidRPr="3A93DC59">
        <w:t>s 22A</w:t>
      </w:r>
      <w:r w:rsidRPr="3A93DC59">
        <w:t>,</w:t>
      </w:r>
      <w:r w:rsidR="61F4FAF4" w:rsidRPr="3A93DC59">
        <w:t xml:space="preserve"> </w:t>
      </w:r>
      <w:r w:rsidR="7FA6A39F" w:rsidRPr="3A93DC59">
        <w:t>it</w:t>
      </w:r>
      <w:r w:rsidR="5EB1C7DE" w:rsidRPr="3A93DC59">
        <w:t xml:space="preserve"> does not have a role in providing recommendations on potential compliance action by the Minister. Under the Act, the Minister has the discretion to determine compliance and any sanctions. </w:t>
      </w:r>
    </w:p>
    <w:p w14:paraId="0E81AE3A" w14:textId="28AC4B34" w:rsidR="00C13137" w:rsidRPr="00425D30" w:rsidRDefault="5183BB01" w:rsidP="00CA4394">
      <w:pPr>
        <w:pStyle w:val="Heading2-Numbered"/>
        <w:ind w:left="540"/>
      </w:pPr>
      <w:bookmarkStart w:id="193" w:name="_Toc37253826"/>
      <w:bookmarkStart w:id="194" w:name="_Toc106953807"/>
      <w:bookmarkStart w:id="195" w:name="_Toc123647054"/>
      <w:bookmarkStart w:id="196" w:name="_Toc127451653"/>
      <w:bookmarkStart w:id="197" w:name="_Toc130204904"/>
      <w:bookmarkStart w:id="198" w:name="_Toc158614544"/>
      <w:bookmarkStart w:id="199" w:name="_Toc158614645"/>
      <w:bookmarkStart w:id="200" w:name="_Toc159485605"/>
      <w:bookmarkStart w:id="201" w:name="_Toc159581866"/>
      <w:bookmarkStart w:id="202" w:name="_Toc159597856"/>
      <w:bookmarkStart w:id="203" w:name="_Toc160180108"/>
      <w:bookmarkStart w:id="204" w:name="_Toc160180303"/>
      <w:bookmarkStart w:id="205" w:name="_Toc160634416"/>
      <w:bookmarkStart w:id="206" w:name="_Toc161909369"/>
      <w:bookmarkStart w:id="207" w:name="_Toc184816207"/>
      <w:bookmarkStart w:id="208" w:name="_Toc210815591"/>
      <w:r>
        <w:t>The review process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6A98584E" w14:textId="20364195" w:rsidR="00897476" w:rsidRDefault="001F342E" w:rsidP="00C24136">
      <w:r>
        <w:t xml:space="preserve">The </w:t>
      </w:r>
      <w:r w:rsidR="3D7AD15F">
        <w:t>Secretariat, on behalf of the Board, commissioned expert audit advice</w:t>
      </w:r>
      <w:r w:rsidR="3A277916">
        <w:t xml:space="preserve"> </w:t>
      </w:r>
      <w:r w:rsidR="00AD64DF">
        <w:t>to</w:t>
      </w:r>
      <w:r w:rsidR="0003580B">
        <w:t xml:space="preserve"> inform </w:t>
      </w:r>
      <w:r w:rsidR="00523964">
        <w:t>the Board’s</w:t>
      </w:r>
      <w:r w:rsidR="0003580B">
        <w:t xml:space="preserve"> assessment</w:t>
      </w:r>
      <w:r w:rsidR="00735C21">
        <w:t xml:space="preserve"> (see </w:t>
      </w:r>
      <w:r w:rsidR="00735C21" w:rsidRPr="004834DB">
        <w:t>Appendix B</w:t>
      </w:r>
      <w:r w:rsidR="00735C21">
        <w:t>)</w:t>
      </w:r>
      <w:r w:rsidR="0003580B">
        <w:t>.</w:t>
      </w:r>
      <w:r w:rsidR="003E02A7">
        <w:t xml:space="preserve"> </w:t>
      </w:r>
    </w:p>
    <w:p w14:paraId="3F99DA69" w14:textId="35FE6D4A" w:rsidR="005F606B" w:rsidRDefault="31234499" w:rsidP="421ADA8C">
      <w:r w:rsidRPr="3A93DC59">
        <w:t>In accordance with the terms of reference</w:t>
      </w:r>
      <w:r w:rsidR="04E1D8AA" w:rsidRPr="3A93DC59">
        <w:t>, t</w:t>
      </w:r>
      <w:r w:rsidR="03264CEE" w:rsidRPr="3A93DC59">
        <w:t xml:space="preserve">he Board </w:t>
      </w:r>
      <w:r w:rsidR="06A6A0DC" w:rsidRPr="3A93DC59">
        <w:t xml:space="preserve">consulted </w:t>
      </w:r>
      <w:r w:rsidR="007D710E" w:rsidRPr="3A93DC59">
        <w:t xml:space="preserve">with </w:t>
      </w:r>
      <w:r w:rsidR="06A6A0DC" w:rsidRPr="3A93DC59">
        <w:t xml:space="preserve">states and </w:t>
      </w:r>
      <w:r w:rsidR="04E1D8AA" w:rsidRPr="3A93DC59">
        <w:t xml:space="preserve">territories </w:t>
      </w:r>
      <w:r w:rsidR="5516FFF9" w:rsidRPr="3A93DC59">
        <w:t>during</w:t>
      </w:r>
      <w:r w:rsidR="4CB9C5F8" w:rsidRPr="3A93DC59">
        <w:t xml:space="preserve"> </w:t>
      </w:r>
      <w:r w:rsidR="06C23F94" w:rsidRPr="3A93DC59">
        <w:t>this</w:t>
      </w:r>
      <w:r w:rsidR="4CB9C5F8" w:rsidRPr="3A93DC59">
        <w:t xml:space="preserve"> review</w:t>
      </w:r>
      <w:r w:rsidR="2D5F9297" w:rsidRPr="3A93DC59">
        <w:t>.</w:t>
      </w:r>
      <w:r w:rsidR="2A1B0CC7" w:rsidRPr="3A93DC59">
        <w:t xml:space="preserve"> The Board offered all states and territories </w:t>
      </w:r>
      <w:r w:rsidR="5BEA43BD" w:rsidRPr="3A93DC59">
        <w:t>the</w:t>
      </w:r>
      <w:r w:rsidR="2A1B0CC7" w:rsidRPr="3A93DC59">
        <w:t xml:space="preserve"> opportunity to discuss compliance issues and subsequently met with </w:t>
      </w:r>
      <w:r w:rsidR="6E8DBEBC" w:rsidRPr="3A93DC59">
        <w:t>3</w:t>
      </w:r>
      <w:r w:rsidR="2A1B0CC7" w:rsidRPr="3A93DC59">
        <w:t xml:space="preserve"> jurisdictions.</w:t>
      </w:r>
    </w:p>
    <w:p w14:paraId="5B4BCD26" w14:textId="0F692094" w:rsidR="00BD503C" w:rsidRPr="00626CAF" w:rsidRDefault="1D024D6B" w:rsidP="421ADA8C">
      <w:r w:rsidRPr="3A93DC59">
        <w:t>S</w:t>
      </w:r>
      <w:r w:rsidR="1BEE885A" w:rsidRPr="3A93DC59">
        <w:t xml:space="preserve">tates and territories </w:t>
      </w:r>
      <w:r w:rsidRPr="3A93DC59">
        <w:t xml:space="preserve">were offered the opportunity </w:t>
      </w:r>
      <w:r w:rsidR="1BEE885A" w:rsidRPr="3A93DC59">
        <w:t xml:space="preserve">to </w:t>
      </w:r>
      <w:r w:rsidR="33EDA6DA" w:rsidRPr="3A93DC59">
        <w:t xml:space="preserve">provide feedback on the </w:t>
      </w:r>
      <w:r w:rsidR="0C22BF31" w:rsidRPr="3A93DC59">
        <w:t xml:space="preserve">Board’s </w:t>
      </w:r>
      <w:r w:rsidR="33EDA6DA" w:rsidRPr="3A93DC59">
        <w:t>draft report</w:t>
      </w:r>
      <w:r w:rsidR="0C22BF31" w:rsidRPr="3A93DC59">
        <w:t xml:space="preserve"> </w:t>
      </w:r>
      <w:r w:rsidR="33EDA6DA" w:rsidRPr="3A93DC59">
        <w:t>and to provide additional information for inclusion in the report</w:t>
      </w:r>
      <w:r w:rsidR="26AFB629" w:rsidRPr="3A93DC59">
        <w:t xml:space="preserve"> (</w:t>
      </w:r>
      <w:r w:rsidR="2C9F9580" w:rsidRPr="3A93DC59">
        <w:t xml:space="preserve">see </w:t>
      </w:r>
      <w:r w:rsidR="006D49C1">
        <w:rPr>
          <w:u w:val="single"/>
        </w:rPr>
        <w:fldChar w:fldCharType="begin"/>
      </w:r>
      <w:r w:rsidR="006D49C1">
        <w:instrText xml:space="preserve"> REF _Ref190331162 \h </w:instrText>
      </w:r>
      <w:r w:rsidR="00E56981">
        <w:rPr>
          <w:u w:val="single"/>
        </w:rPr>
        <w:instrText xml:space="preserve"> \* MERGEFORMAT </w:instrText>
      </w:r>
      <w:r w:rsidR="006D49C1">
        <w:rPr>
          <w:u w:val="single"/>
        </w:rPr>
      </w:r>
      <w:r w:rsidR="006D49C1">
        <w:rPr>
          <w:u w:val="single"/>
        </w:rPr>
        <w:fldChar w:fldCharType="separate"/>
      </w:r>
      <w:r w:rsidR="00587C96">
        <w:t>Appendix C – State and territory responses</w:t>
      </w:r>
      <w:r w:rsidR="006D49C1">
        <w:rPr>
          <w:u w:val="single"/>
        </w:rPr>
        <w:fldChar w:fldCharType="end"/>
      </w:r>
      <w:r w:rsidR="4CB6366F" w:rsidRPr="3A93DC59">
        <w:t>)</w:t>
      </w:r>
      <w:r w:rsidR="009F7B4E">
        <w:t>.</w:t>
      </w:r>
    </w:p>
    <w:p w14:paraId="748B22C9" w14:textId="1A9FB4A6" w:rsidR="00C13137" w:rsidRDefault="23538FAE" w:rsidP="00B32ECC">
      <w:pPr>
        <w:pStyle w:val="Heading2-Numbered"/>
        <w:ind w:left="540"/>
      </w:pPr>
      <w:bookmarkStart w:id="209" w:name="_Toc74210969"/>
      <w:bookmarkStart w:id="210" w:name="_Toc37253827"/>
      <w:bookmarkStart w:id="211" w:name="_Toc106953808"/>
      <w:bookmarkStart w:id="212" w:name="_Toc123647055"/>
      <w:bookmarkStart w:id="213" w:name="_Toc127451654"/>
      <w:bookmarkStart w:id="214" w:name="_Toc130204905"/>
      <w:bookmarkStart w:id="215" w:name="_Toc158614545"/>
      <w:bookmarkStart w:id="216" w:name="_Toc158614646"/>
      <w:bookmarkStart w:id="217" w:name="_Toc159485606"/>
      <w:bookmarkStart w:id="218" w:name="_Toc159581867"/>
      <w:bookmarkStart w:id="219" w:name="_Toc159597857"/>
      <w:bookmarkStart w:id="220" w:name="_Toc160180109"/>
      <w:bookmarkStart w:id="221" w:name="_Toc160180304"/>
      <w:bookmarkStart w:id="222" w:name="_Toc160634417"/>
      <w:bookmarkStart w:id="223" w:name="_Toc161909370"/>
      <w:bookmarkStart w:id="224" w:name="_Toc184816208"/>
      <w:bookmarkStart w:id="225" w:name="_Toc210815592"/>
      <w:bookmarkEnd w:id="209"/>
      <w:r>
        <w:lastRenderedPageBreak/>
        <w:t>Background</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5076FABB">
        <w:t xml:space="preserve"> on school funding</w:t>
      </w:r>
      <w:r w:rsidR="6DE695DD">
        <w:t xml:space="preserve"> in 2023</w:t>
      </w:r>
      <w:bookmarkEnd w:id="225"/>
    </w:p>
    <w:p w14:paraId="18C25D93" w14:textId="77777777" w:rsidR="00C13137" w:rsidRDefault="00C13137" w:rsidP="00643BFC">
      <w:pPr>
        <w:pStyle w:val="Heading3"/>
      </w:pPr>
      <w:bookmarkStart w:id="226" w:name="_Toc160180305"/>
      <w:bookmarkStart w:id="227" w:name="_Toc160634418"/>
      <w:bookmarkStart w:id="228" w:name="_Toc161909371"/>
      <w:bookmarkStart w:id="229" w:name="_Toc184816209"/>
      <w:bookmarkStart w:id="230" w:name="_Toc210306613"/>
      <w:bookmarkStart w:id="231" w:name="_Toc210317439"/>
      <w:bookmarkStart w:id="232" w:name="_Toc210815593"/>
      <w:r>
        <w:t>Public funding for schools in Australia</w:t>
      </w:r>
      <w:bookmarkEnd w:id="226"/>
      <w:bookmarkEnd w:id="227"/>
      <w:bookmarkEnd w:id="228"/>
      <w:bookmarkEnd w:id="229"/>
      <w:bookmarkEnd w:id="230"/>
      <w:bookmarkEnd w:id="231"/>
      <w:bookmarkEnd w:id="232"/>
    </w:p>
    <w:p w14:paraId="738CA13F" w14:textId="1E51631C" w:rsidR="0003580B" w:rsidRPr="0003580B" w:rsidRDefault="20CE32BD" w:rsidP="421ADA8C">
      <w:r w:rsidRPr="3A93DC59">
        <w:t xml:space="preserve">State and territory governments </w:t>
      </w:r>
      <w:r w:rsidR="7309D0E8" w:rsidRPr="3A93DC59">
        <w:t>are</w:t>
      </w:r>
      <w:r w:rsidRPr="3A93DC59">
        <w:t xml:space="preserve"> responsible for delivering school education in their jurisdictions. The Australian Government</w:t>
      </w:r>
      <w:r w:rsidR="03F95823" w:rsidRPr="3A93DC59">
        <w:t xml:space="preserve"> supports</w:t>
      </w:r>
      <w:r w:rsidRPr="3A93DC59">
        <w:t xml:space="preserve"> the delivery of </w:t>
      </w:r>
      <w:r w:rsidR="29C764DB" w:rsidRPr="3A93DC59">
        <w:t xml:space="preserve">school </w:t>
      </w:r>
      <w:r w:rsidRPr="3A93DC59">
        <w:t>education through the provision of funding</w:t>
      </w:r>
      <w:r w:rsidR="00BB52A7" w:rsidRPr="3A93DC59">
        <w:t xml:space="preserve">. </w:t>
      </w:r>
      <w:r w:rsidR="79E8EB0D" w:rsidRPr="3A93DC59">
        <w:t xml:space="preserve">The Australian Government </w:t>
      </w:r>
      <w:r w:rsidR="3706E49D" w:rsidRPr="3A93DC59">
        <w:t>is the</w:t>
      </w:r>
      <w:r w:rsidR="099E0D57" w:rsidRPr="3A93DC59">
        <w:t xml:space="preserve"> majority funder for the non-government sector</w:t>
      </w:r>
      <w:r w:rsidR="7B6FC76B" w:rsidRPr="3A93DC59">
        <w:t>,</w:t>
      </w:r>
      <w:r w:rsidR="5FD24F40" w:rsidRPr="3A93DC59">
        <w:t xml:space="preserve"> while t</w:t>
      </w:r>
      <w:r w:rsidR="099E0D57" w:rsidRPr="3A93DC59">
        <w:t>he states and territories</w:t>
      </w:r>
      <w:r w:rsidR="79E8EB0D" w:rsidRPr="3A93DC59">
        <w:t xml:space="preserve"> are </w:t>
      </w:r>
      <w:r w:rsidR="099E0D57" w:rsidRPr="3A93DC59">
        <w:t>the major</w:t>
      </w:r>
      <w:r w:rsidR="52B6838D" w:rsidRPr="3A93DC59">
        <w:t>ity</w:t>
      </w:r>
      <w:r w:rsidR="099E0D57" w:rsidRPr="3A93DC59">
        <w:t xml:space="preserve"> funder for the government sector.</w:t>
      </w:r>
    </w:p>
    <w:p w14:paraId="7512EDB6" w14:textId="2D125D22" w:rsidR="0003580B" w:rsidRDefault="09A4D8AD" w:rsidP="421ADA8C">
      <w:r w:rsidRPr="3A93DC59">
        <w:t>F</w:t>
      </w:r>
      <w:r w:rsidR="20CE32BD" w:rsidRPr="3A93DC59">
        <w:t xml:space="preserve">unding to schools is provided by </w:t>
      </w:r>
      <w:r w:rsidR="6B5DBB20" w:rsidRPr="3A93DC59">
        <w:t>b</w:t>
      </w:r>
      <w:r w:rsidR="20CE32BD" w:rsidRPr="3A93DC59">
        <w:t>oth the Australian Government and all state and territory governments</w:t>
      </w:r>
      <w:r w:rsidR="1C3CE371" w:rsidRPr="3A93DC59">
        <w:t>,</w:t>
      </w:r>
      <w:r w:rsidR="6BF2A3EB" w:rsidRPr="3A93DC59">
        <w:t xml:space="preserve"> </w:t>
      </w:r>
      <w:r w:rsidR="20CE32BD" w:rsidRPr="3A93DC59">
        <w:t xml:space="preserve">as agreed through the </w:t>
      </w:r>
      <w:r w:rsidR="1566EBC0" w:rsidRPr="3A93DC59">
        <w:t>NSRA</w:t>
      </w:r>
      <w:r w:rsidR="54D69EA8" w:rsidRPr="3A93DC59">
        <w:t xml:space="preserve"> 2018-23</w:t>
      </w:r>
      <w:r w:rsidR="14510B71" w:rsidRPr="3A93DC59">
        <w:t xml:space="preserve"> and each jurisdiction’s bilateral agreement</w:t>
      </w:r>
      <w:r w:rsidR="20CE32BD" w:rsidRPr="3A93DC59">
        <w:t xml:space="preserve">. </w:t>
      </w:r>
      <w:r w:rsidR="6BF2A3EB" w:rsidRPr="3A93DC59">
        <w:t>The amount of f</w:t>
      </w:r>
      <w:r w:rsidR="12AC42E5" w:rsidRPr="3A93DC59">
        <w:t xml:space="preserve">unding </w:t>
      </w:r>
      <w:r w:rsidR="20CE32BD" w:rsidRPr="3A93DC59">
        <w:t xml:space="preserve">is </w:t>
      </w:r>
      <w:r w:rsidR="3706E49D" w:rsidRPr="3A93DC59">
        <w:t>calculated using</w:t>
      </w:r>
      <w:r w:rsidR="20CE32BD" w:rsidRPr="3A93DC59">
        <w:t xml:space="preserve"> </w:t>
      </w:r>
      <w:r w:rsidR="4064BF89" w:rsidRPr="3A93DC59">
        <w:t xml:space="preserve">the </w:t>
      </w:r>
      <w:r w:rsidR="20CE32BD" w:rsidRPr="3A93DC59">
        <w:t>Schooling Resource Standard (SRS)</w:t>
      </w:r>
      <w:r w:rsidR="49805D01" w:rsidRPr="3A93DC59">
        <w:t>.</w:t>
      </w:r>
      <w:r w:rsidR="20CE32BD" w:rsidRPr="3A93DC59">
        <w:t xml:space="preserve"> </w:t>
      </w:r>
    </w:p>
    <w:p w14:paraId="72365AD2" w14:textId="6863380A" w:rsidR="00C13137" w:rsidRDefault="00C13137" w:rsidP="00643BFC">
      <w:pPr>
        <w:pStyle w:val="Heading3"/>
      </w:pPr>
      <w:bookmarkStart w:id="233" w:name="_Toc160180306"/>
      <w:bookmarkStart w:id="234" w:name="_Toc160634419"/>
      <w:bookmarkStart w:id="235" w:name="_Toc161909372"/>
      <w:bookmarkStart w:id="236" w:name="_Toc184816210"/>
      <w:bookmarkStart w:id="237" w:name="_Toc210306614"/>
      <w:bookmarkStart w:id="238" w:name="_Toc210317440"/>
      <w:bookmarkStart w:id="239" w:name="_Toc210815594"/>
      <w:r>
        <w:t>The Schooling Resource Standard</w:t>
      </w:r>
      <w:bookmarkEnd w:id="233"/>
      <w:bookmarkEnd w:id="234"/>
      <w:bookmarkEnd w:id="235"/>
      <w:bookmarkEnd w:id="236"/>
      <w:bookmarkEnd w:id="237"/>
      <w:bookmarkEnd w:id="238"/>
      <w:bookmarkEnd w:id="239"/>
    </w:p>
    <w:p w14:paraId="0FE4CE91" w14:textId="64FCCD1C" w:rsidR="00874012" w:rsidRDefault="1F9D979D" w:rsidP="3A93DC59">
      <w:r w:rsidRPr="3A93DC59">
        <w:t>The SRS</w:t>
      </w:r>
      <w:r w:rsidR="23538FAE" w:rsidRPr="3A93DC59">
        <w:t xml:space="preserve"> is designed</w:t>
      </w:r>
      <w:r w:rsidR="79B34480" w:rsidRPr="3A93DC59">
        <w:t xml:space="preserve"> to help overcome educational disadvantage and ensure that schools are adequately resourced to cater for the needs of all students. It </w:t>
      </w:r>
      <w:r w:rsidR="415435F1" w:rsidRPr="3A93DC59">
        <w:t>is</w:t>
      </w:r>
      <w:r w:rsidR="79B34480" w:rsidRPr="3A93DC59">
        <w:t xml:space="preserve"> an estimate of how much total public funding a school needs to meet its students’ educational needs.</w:t>
      </w:r>
      <w:r w:rsidR="000C3504" w:rsidRPr="3A93DC59">
        <w:rPr>
          <w:rStyle w:val="FootnoteReference"/>
        </w:rPr>
        <w:footnoteReference w:id="4"/>
      </w:r>
    </w:p>
    <w:p w14:paraId="2A47264C" w14:textId="536EE1CA" w:rsidR="00C13137" w:rsidRDefault="00C13137" w:rsidP="00C13137">
      <w:r>
        <w:t>The Australian and state and territory government contributions are set as a percentage of the total SRS</w:t>
      </w:r>
      <w:r w:rsidR="00667C82">
        <w:t xml:space="preserve"> for each sector</w:t>
      </w:r>
      <w:r w:rsidR="00BF174A">
        <w:t>. This allows for variation due to</w:t>
      </w:r>
      <w:r>
        <w:t xml:space="preserve"> enrolment numbers, indexation and student or school characteristics</w:t>
      </w:r>
      <w:r w:rsidR="005B6C6A">
        <w:t xml:space="preserve">. </w:t>
      </w:r>
    </w:p>
    <w:p w14:paraId="0694FCC4" w14:textId="12252F40" w:rsidR="00C13137" w:rsidRDefault="00C13137" w:rsidP="00C13137">
      <w:r>
        <w:t>The SRS estimates funding at the individual school level and includes:</w:t>
      </w:r>
    </w:p>
    <w:p w14:paraId="1CB1A5CD" w14:textId="138A746B" w:rsidR="00C13137" w:rsidRPr="00992749" w:rsidRDefault="64EAD06D" w:rsidP="00992749">
      <w:pPr>
        <w:pStyle w:val="ListBullet"/>
      </w:pPr>
      <w:r>
        <w:t>a base amount for every primary and secondary student</w:t>
      </w:r>
    </w:p>
    <w:p w14:paraId="66325E98" w14:textId="456CAA1F" w:rsidR="00C13137" w:rsidRPr="00992749" w:rsidRDefault="64EAD06D" w:rsidP="00992749">
      <w:pPr>
        <w:pStyle w:val="ListBullet"/>
      </w:pPr>
      <w:r>
        <w:t>six loadings to provide extra funding for disadvantaged students and schools.</w:t>
      </w:r>
    </w:p>
    <w:p w14:paraId="497B7123" w14:textId="7E8B9667" w:rsidR="005A3052" w:rsidRDefault="23538FAE" w:rsidP="3A93DC59">
      <w:r w:rsidRPr="3A93DC59">
        <w:t xml:space="preserve">The formula to calculate </w:t>
      </w:r>
      <w:r w:rsidR="60AFE035" w:rsidRPr="3A93DC59">
        <w:t xml:space="preserve">a </w:t>
      </w:r>
      <w:r w:rsidRPr="3A93DC59">
        <w:t xml:space="preserve">school’s SRS is </w:t>
      </w:r>
      <w:r w:rsidR="49F3ADDF" w:rsidRPr="3A93DC59">
        <w:t>outlined</w:t>
      </w:r>
      <w:r w:rsidRPr="3A93DC59">
        <w:t xml:space="preserve"> in Part 3, Division 2 of the Act.</w:t>
      </w:r>
      <w:r w:rsidRPr="3A93DC59">
        <w:br w:type="page"/>
      </w:r>
    </w:p>
    <w:p w14:paraId="2B89131F" w14:textId="42956872" w:rsidR="00A95D09" w:rsidRDefault="294B1ACE" w:rsidP="421ADA8C">
      <w:pPr>
        <w:pStyle w:val="Caption"/>
      </w:pPr>
      <w:bookmarkStart w:id="240" w:name="_Toc200636973"/>
      <w:r w:rsidRPr="3A93DC59">
        <w:lastRenderedPageBreak/>
        <w:t xml:space="preserve">Figure </w:t>
      </w:r>
      <w:r>
        <w:fldChar w:fldCharType="begin"/>
      </w:r>
      <w:r>
        <w:instrText xml:space="preserve"> SEQ Figure \* ARABIC </w:instrText>
      </w:r>
      <w:r>
        <w:fldChar w:fldCharType="separate"/>
      </w:r>
      <w:r w:rsidR="00587C96">
        <w:rPr>
          <w:noProof/>
        </w:rPr>
        <w:t>1</w:t>
      </w:r>
      <w:r>
        <w:fldChar w:fldCharType="end"/>
      </w:r>
      <w:bookmarkStart w:id="241" w:name="_Toc98836230"/>
      <w:r w:rsidR="0148B570" w:rsidRPr="3A93DC59">
        <w:t>:</w:t>
      </w:r>
      <w:r w:rsidR="2D5D5D63" w:rsidRPr="3A93DC59">
        <w:t xml:space="preserve"> </w:t>
      </w:r>
      <w:r w:rsidRPr="3A93DC59">
        <w:t>The SRS determines total public funding for schooling</w:t>
      </w:r>
      <w:bookmarkEnd w:id="240"/>
      <w:bookmarkEnd w:id="241"/>
    </w:p>
    <w:p w14:paraId="571E4C0D" w14:textId="22265980" w:rsidR="00272045" w:rsidRPr="00BE1270" w:rsidRDefault="00A95D09" w:rsidP="00D32646">
      <w:pPr>
        <w:rPr>
          <w:iCs/>
        </w:rPr>
      </w:pPr>
      <w:r w:rsidRPr="00165728">
        <w:rPr>
          <w:noProof/>
          <w:lang w:eastAsia="en-AU"/>
        </w:rPr>
        <w:drawing>
          <wp:inline distT="0" distB="0" distL="0" distR="0" wp14:anchorId="4199F1FC" wp14:editId="065101AC">
            <wp:extent cx="4092671" cy="3752850"/>
            <wp:effectExtent l="0" t="0" r="3175" b="0"/>
            <wp:docPr id="9" name="Picture 9" descr="The exhibit depicts the base per student amounts and loadings that comprise the Schooling Resource Standard (SRS).&#10;The SRS provides a base amount for every primary and secondary student discounted for non-government schools according to the school community's capacity to contribute, and six loadings that provide extra funding for disadvantaged students and schools.&#10;Five of the loadings are expressed as a percentage applied per student for a school or system and include loadings for students with disability, students with low English proficiency, Indigenous students, students with socio-educational disadvantage, students in regional and remote areas. The sixth loading is a set dollar amount per school based on school siz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exhibit depicts the base per student amounts and loadings that comprise the Schooling Resource Standard (SRS).&#10;The SRS provides a base amount for every primary and secondary student discounted for non-government schools according to the school community's capacity to contribute, and six loadings that provide extra funding for disadvantaged students and schools.&#10;Five of the loadings are expressed as a percentage applied per student for a school or system and include loadings for students with disability, students with low English proficiency, Indigenous students, students with socio-educational disadvantage, students in regional and remote areas. The sixth loading is a set dollar amount per school based on school size.">
                      <a:extLst>
                        <a:ext uri="{C183D7F6-B498-43B3-948B-1728B52AA6E4}">
                          <adec:decorative xmlns:adec="http://schemas.microsoft.com/office/drawing/2017/decorative" val="0"/>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92671" cy="3752850"/>
                    </a:xfrm>
                    <a:prstGeom prst="rect">
                      <a:avLst/>
                    </a:prstGeom>
                    <a:noFill/>
                    <a:ln>
                      <a:noFill/>
                    </a:ln>
                  </pic:spPr>
                </pic:pic>
              </a:graphicData>
            </a:graphic>
          </wp:inline>
        </w:drawing>
      </w:r>
      <w:r w:rsidR="001056B2">
        <w:rPr>
          <w:iCs/>
        </w:rPr>
        <w:br/>
      </w:r>
      <w:r w:rsidR="00272045" w:rsidRPr="00272045">
        <w:rPr>
          <w:iCs/>
        </w:rPr>
        <w:t xml:space="preserve">Source. Developed by the National School Resourcing Board based on the </w:t>
      </w:r>
      <w:r w:rsidR="00272045" w:rsidRPr="001056B2">
        <w:rPr>
          <w:i/>
        </w:rPr>
        <w:t>Australian Education Act 2013</w:t>
      </w:r>
    </w:p>
    <w:p w14:paraId="0F3235FD" w14:textId="36DADC76" w:rsidR="00C13137" w:rsidRPr="00484A44" w:rsidRDefault="00C13137" w:rsidP="00643BFC">
      <w:pPr>
        <w:pStyle w:val="Heading3"/>
      </w:pPr>
      <w:bookmarkStart w:id="242" w:name="_Toc160180307"/>
      <w:bookmarkStart w:id="243" w:name="_Toc160634420"/>
      <w:bookmarkStart w:id="244" w:name="_Toc161909373"/>
      <w:bookmarkStart w:id="245" w:name="_Toc184816211"/>
      <w:bookmarkStart w:id="246" w:name="_Toc210306615"/>
      <w:bookmarkStart w:id="247" w:name="_Toc210317441"/>
      <w:bookmarkStart w:id="248" w:name="_Toc210815595"/>
      <w:r>
        <w:t>Australian Government funding arrangements</w:t>
      </w:r>
      <w:bookmarkEnd w:id="242"/>
      <w:bookmarkEnd w:id="243"/>
      <w:bookmarkEnd w:id="244"/>
      <w:bookmarkEnd w:id="245"/>
      <w:bookmarkEnd w:id="246"/>
      <w:bookmarkEnd w:id="247"/>
      <w:bookmarkEnd w:id="248"/>
    </w:p>
    <w:p w14:paraId="144DEF3F" w14:textId="35D49F97" w:rsidR="0003580B" w:rsidRDefault="20CE32BD" w:rsidP="421ADA8C">
      <w:r w:rsidRPr="3A93DC59">
        <w:t xml:space="preserve">The Act is the mechanism through which the Commonwealth provides funding to state and territory treasury departments to distribute to approved authorities. Approved authorities are legal entities who receive Australian Government recurrent funding for one or more schools. </w:t>
      </w:r>
      <w:r w:rsidR="5FE29A30" w:rsidRPr="3A93DC59">
        <w:t>Australian</w:t>
      </w:r>
      <w:r w:rsidR="35CFAD2D" w:rsidRPr="3A93DC59">
        <w:t xml:space="preserve"> </w:t>
      </w:r>
      <w:r w:rsidR="5FE29A30" w:rsidRPr="3A93DC59">
        <w:t xml:space="preserve">Government </w:t>
      </w:r>
      <w:r w:rsidRPr="3A93DC59">
        <w:t xml:space="preserve">funding is allocated </w:t>
      </w:r>
      <w:r w:rsidR="74F850DB" w:rsidRPr="3A93DC59">
        <w:t xml:space="preserve">to approved </w:t>
      </w:r>
      <w:r w:rsidR="5478C690" w:rsidRPr="3A93DC59">
        <w:t xml:space="preserve">authorities </w:t>
      </w:r>
      <w:r w:rsidRPr="3A93DC59">
        <w:t>based on the SRS.</w:t>
      </w:r>
    </w:p>
    <w:p w14:paraId="0CE0108B" w14:textId="55E97B8E" w:rsidR="00C13137" w:rsidRDefault="16EFBD8E" w:rsidP="00C13137">
      <w:r>
        <w:t>In 2023</w:t>
      </w:r>
      <w:r w:rsidR="23538FAE">
        <w:t xml:space="preserve">, the Australian Government </w:t>
      </w:r>
      <w:r w:rsidR="6C63008C">
        <w:t xml:space="preserve">was </w:t>
      </w:r>
      <w:r w:rsidR="23538FAE">
        <w:t>moving towards consistently funding:</w:t>
      </w:r>
    </w:p>
    <w:p w14:paraId="0AE75102" w14:textId="5753F748" w:rsidR="00C13137" w:rsidRPr="00992749" w:rsidRDefault="64EAD06D" w:rsidP="00992749">
      <w:pPr>
        <w:pStyle w:val="ListBullet"/>
      </w:pPr>
      <w:r>
        <w:t>20</w:t>
      </w:r>
      <w:r w:rsidR="00E80A65">
        <w:t xml:space="preserve"> per cent</w:t>
      </w:r>
      <w:r>
        <w:t xml:space="preserve"> of the SRS for government schools</w:t>
      </w:r>
    </w:p>
    <w:p w14:paraId="671B6927" w14:textId="4B4272ED" w:rsidR="00C13137" w:rsidRDefault="2128C6E3" w:rsidP="00992749">
      <w:pPr>
        <w:pStyle w:val="ListBullet"/>
      </w:pPr>
      <w:r>
        <w:t>80</w:t>
      </w:r>
      <w:r w:rsidR="00E80A65">
        <w:t xml:space="preserve"> per cent</w:t>
      </w:r>
      <w:r>
        <w:t xml:space="preserve"> of the SRS for non-government schools.</w:t>
      </w:r>
    </w:p>
    <w:p w14:paraId="0E22995C" w14:textId="38022FC8" w:rsidR="00644953" w:rsidRPr="00992749" w:rsidRDefault="00644953" w:rsidP="00644953">
      <w:r>
        <w:t>Where necessary, the Australian Government is increasing funding incrementally to meet the targets of at least 20 and 80 per cent by 2023. Where the Commonwealth is funding above the target amounts, the amount will transition to the agreed target percentage by 2029 at the latest.</w:t>
      </w:r>
    </w:p>
    <w:p w14:paraId="113AF43A" w14:textId="76E256B0" w:rsidR="00C13137" w:rsidRPr="00484A44" w:rsidRDefault="00C13137" w:rsidP="00643BFC">
      <w:pPr>
        <w:pStyle w:val="Heading3"/>
      </w:pPr>
      <w:bookmarkStart w:id="249" w:name="_Toc160180308"/>
      <w:bookmarkStart w:id="250" w:name="_Toc160634421"/>
      <w:bookmarkStart w:id="251" w:name="_Toc161909374"/>
      <w:bookmarkStart w:id="252" w:name="_Toc184816212"/>
      <w:bookmarkStart w:id="253" w:name="_Toc210306616"/>
      <w:bookmarkStart w:id="254" w:name="_Toc210317442"/>
      <w:bookmarkStart w:id="255" w:name="_Toc210815596"/>
      <w:r>
        <w:t>State and territory government funding arrangements</w:t>
      </w:r>
      <w:bookmarkEnd w:id="249"/>
      <w:bookmarkEnd w:id="250"/>
      <w:bookmarkEnd w:id="251"/>
      <w:bookmarkEnd w:id="252"/>
      <w:bookmarkEnd w:id="253"/>
      <w:bookmarkEnd w:id="254"/>
      <w:bookmarkEnd w:id="255"/>
    </w:p>
    <w:p w14:paraId="1DB82133" w14:textId="7B796BDD" w:rsidR="0003580B" w:rsidRPr="000D0243" w:rsidRDefault="7A5A4378" w:rsidP="421ADA8C">
      <w:r w:rsidRPr="3A93DC59">
        <w:t xml:space="preserve">The Act requires state and territory governments to contribute a minimum amount of funding at a total sector level to each of the government and non-government school sectors, </w:t>
      </w:r>
      <w:proofErr w:type="gramStart"/>
      <w:r w:rsidRPr="3A93DC59">
        <w:t>in order for</w:t>
      </w:r>
      <w:proofErr w:type="gramEnd"/>
      <w:r w:rsidRPr="3A93DC59">
        <w:t xml:space="preserve"> that state or territory to receive the Australian Government contributions.</w:t>
      </w:r>
      <w:r w:rsidR="20CE32BD" w:rsidRPr="3A93DC59">
        <w:t xml:space="preserve"> </w:t>
      </w:r>
      <w:r w:rsidR="0400B670" w:rsidRPr="3A93DC59">
        <w:t>All s</w:t>
      </w:r>
      <w:r w:rsidR="20CE32BD" w:rsidRPr="3A93DC59">
        <w:t>tates and territories have</w:t>
      </w:r>
      <w:r w:rsidR="273FABEA" w:rsidRPr="3A93DC59">
        <w:t xml:space="preserve"> </w:t>
      </w:r>
      <w:r w:rsidR="0E02EE46" w:rsidRPr="3A93DC59">
        <w:t>agreed</w:t>
      </w:r>
      <w:r w:rsidR="273FABEA" w:rsidRPr="3A93DC59">
        <w:t xml:space="preserve"> </w:t>
      </w:r>
      <w:r w:rsidR="20CE32BD" w:rsidRPr="3A93DC59">
        <w:t>with the Australian Government</w:t>
      </w:r>
      <w:r w:rsidR="762BD27C" w:rsidRPr="3A93DC59">
        <w:t xml:space="preserve"> </w:t>
      </w:r>
      <w:r w:rsidR="3C294A45" w:rsidRPr="3A93DC59">
        <w:t xml:space="preserve">regarding </w:t>
      </w:r>
      <w:r w:rsidR="1623FAF1" w:rsidRPr="3A93DC59">
        <w:t>how to calculate required shares.</w:t>
      </w:r>
    </w:p>
    <w:p w14:paraId="09E9D90C" w14:textId="11B3A45F" w:rsidR="00C13137" w:rsidRPr="001642C2" w:rsidRDefault="20CE32BD" w:rsidP="421ADA8C">
      <w:r w:rsidRPr="3A93DC59">
        <w:t xml:space="preserve">The </w:t>
      </w:r>
      <w:r w:rsidR="762BD27C" w:rsidRPr="3A93DC59">
        <w:t xml:space="preserve">state and territory </w:t>
      </w:r>
      <w:r w:rsidRPr="3A93DC59">
        <w:t>bilateral agreements</w:t>
      </w:r>
      <w:r w:rsidR="7108F59F" w:rsidRPr="3A93DC59">
        <w:t>, originally signed in 2018 (with some agreements revised in 2021-22),</w:t>
      </w:r>
      <w:r w:rsidR="13FD61DF" w:rsidRPr="3A93DC59">
        <w:t xml:space="preserve"> also include</w:t>
      </w:r>
      <w:r w:rsidR="24A979E1" w:rsidRPr="3A93DC59">
        <w:t>d</w:t>
      </w:r>
      <w:r w:rsidRPr="3A93DC59">
        <w:t xml:space="preserve"> an agreed funding transition pathway</w:t>
      </w:r>
      <w:r w:rsidR="38CE23DE" w:rsidRPr="3A93DC59">
        <w:t xml:space="preserve"> for the government and non</w:t>
      </w:r>
      <w:r w:rsidR="5C03765B" w:rsidRPr="3A93DC59">
        <w:t>-</w:t>
      </w:r>
      <w:r w:rsidR="38CE23DE" w:rsidRPr="3A93DC59">
        <w:t>government sectors</w:t>
      </w:r>
      <w:r w:rsidRPr="3A93DC59">
        <w:t xml:space="preserve"> for each calendar year from 2018 </w:t>
      </w:r>
      <w:r w:rsidR="4355B222" w:rsidRPr="3A93DC59">
        <w:t xml:space="preserve">to </w:t>
      </w:r>
      <w:r w:rsidRPr="3A93DC59">
        <w:t xml:space="preserve">2023. </w:t>
      </w:r>
      <w:r w:rsidR="30908743" w:rsidRPr="3A93DC59">
        <w:t xml:space="preserve">Each state </w:t>
      </w:r>
      <w:r w:rsidR="32855892" w:rsidRPr="3A93DC59">
        <w:t>or</w:t>
      </w:r>
      <w:r w:rsidR="30908743" w:rsidRPr="3A93DC59">
        <w:t xml:space="preserve"> territory </w:t>
      </w:r>
      <w:r w:rsidR="24A979E1" w:rsidRPr="3A93DC59">
        <w:t xml:space="preserve">was </w:t>
      </w:r>
      <w:r w:rsidR="30908743" w:rsidRPr="3A93DC59">
        <w:t xml:space="preserve">expected </w:t>
      </w:r>
      <w:r w:rsidR="30908743" w:rsidRPr="3A93DC59">
        <w:lastRenderedPageBreak/>
        <w:t xml:space="preserve">to contribute minimum funding using the appropriate shares in their agreed transition pathways and the SRS for the appropriate sector. </w:t>
      </w:r>
    </w:p>
    <w:p w14:paraId="5D11A2B6" w14:textId="6888B776" w:rsidR="6225BD4C" w:rsidRDefault="0003580B">
      <w:r>
        <w:t xml:space="preserve">State and territory governments </w:t>
      </w:r>
      <w:r w:rsidR="00CD5EE5">
        <w:t xml:space="preserve">have </w:t>
      </w:r>
      <w:r>
        <w:t>discretion to fund above these requirements.</w:t>
      </w:r>
      <w:r w:rsidR="00D56E58">
        <w:t xml:space="preserve"> </w:t>
      </w:r>
    </w:p>
    <w:p w14:paraId="6D96AAD5" w14:textId="2DB75B52" w:rsidR="004D6528" w:rsidRDefault="00C13137" w:rsidP="000C28EE">
      <w:pPr>
        <w:rPr>
          <w:highlight w:val="lightGray"/>
        </w:rPr>
      </w:pPr>
      <w:r w:rsidRPr="001642C2">
        <w:rPr>
          <w:highlight w:val="lightGray"/>
        </w:rPr>
        <w:br w:type="page"/>
      </w:r>
    </w:p>
    <w:p w14:paraId="763B38E6" w14:textId="4C8F32D6" w:rsidR="004D6528" w:rsidRPr="00484A44" w:rsidRDefault="004D6528" w:rsidP="004D6528">
      <w:pPr>
        <w:pStyle w:val="Heading1-Numbered"/>
      </w:pPr>
      <w:bookmarkStart w:id="256" w:name="_Ref97036401"/>
      <w:bookmarkStart w:id="257" w:name="_Toc160180110"/>
      <w:bookmarkStart w:id="258" w:name="_Toc210815597"/>
      <w:r>
        <w:lastRenderedPageBreak/>
        <w:t xml:space="preserve">Reporting </w:t>
      </w:r>
      <w:bookmarkEnd w:id="256"/>
      <w:bookmarkEnd w:id="257"/>
      <w:r w:rsidR="00D262DC">
        <w:t>requirement</w:t>
      </w:r>
      <w:r w:rsidR="0000213F">
        <w:t>s</w:t>
      </w:r>
      <w:bookmarkEnd w:id="258"/>
    </w:p>
    <w:p w14:paraId="5BC4B6CF" w14:textId="113715B7" w:rsidR="0021598D" w:rsidRPr="0021598D" w:rsidRDefault="5A79A4DD" w:rsidP="3A93DC59">
      <w:r w:rsidRPr="3A93DC59">
        <w:t xml:space="preserve">Section 35 (s 35) of the </w:t>
      </w:r>
      <w:r w:rsidRPr="3A93DC59">
        <w:rPr>
          <w:i/>
          <w:iCs/>
        </w:rPr>
        <w:t>Australian Education Regulations 2023</w:t>
      </w:r>
      <w:r w:rsidRPr="3A93DC59">
        <w:t xml:space="preserve"> (the Regulations) requires that states and territories report annually to the Secretary of the Australian Government Department of Education (the department) on the funding they provide to government and non-government schools. They must also report to the Australian Curriculum, Assessment and Reporting Authority (ACARA) to enable the publication of school level financial data on </w:t>
      </w:r>
      <w:r w:rsidRPr="3A93DC59">
        <w:rPr>
          <w:i/>
          <w:iCs/>
        </w:rPr>
        <w:t>My School</w:t>
      </w:r>
      <w:r w:rsidRPr="3A93DC59">
        <w:t>.</w:t>
      </w:r>
      <w:r w:rsidR="0021598D" w:rsidRPr="3A93DC59">
        <w:rPr>
          <w:rStyle w:val="FootnoteReference"/>
        </w:rPr>
        <w:footnoteReference w:id="5"/>
      </w:r>
    </w:p>
    <w:p w14:paraId="76A1809E" w14:textId="0DFE2E79" w:rsidR="001C7D88" w:rsidRDefault="0FD83808" w:rsidP="421ADA8C">
      <w:r w:rsidRPr="3A93DC59">
        <w:t xml:space="preserve">To assist states and territories in meeting their </w:t>
      </w:r>
      <w:r w:rsidR="31A070F1" w:rsidRPr="3A93DC59">
        <w:t xml:space="preserve">reporting obligations under </w:t>
      </w:r>
      <w:r w:rsidR="4DB75892" w:rsidRPr="3A93DC59">
        <w:t xml:space="preserve">s </w:t>
      </w:r>
      <w:r w:rsidR="476D59B9" w:rsidRPr="3A93DC59">
        <w:t>35 of the Regulations</w:t>
      </w:r>
      <w:r w:rsidR="31A070F1" w:rsidRPr="3A93DC59">
        <w:t xml:space="preserve">, </w:t>
      </w:r>
      <w:r w:rsidR="2E481731" w:rsidRPr="3A93DC59">
        <w:t>the department</w:t>
      </w:r>
      <w:r w:rsidR="43CFC3DB" w:rsidRPr="3A93DC59">
        <w:t xml:space="preserve"> </w:t>
      </w:r>
      <w:r w:rsidR="31A070F1" w:rsidRPr="3A93DC59">
        <w:t xml:space="preserve">publishes </w:t>
      </w:r>
      <w:r w:rsidR="6E4D66A2" w:rsidRPr="3A93DC59">
        <w:rPr>
          <w:i/>
          <w:iCs/>
          <w:noProof/>
        </w:rPr>
        <w:t>Guidance to reporting – state and territory funding contribution requirements</w:t>
      </w:r>
      <w:r w:rsidR="672D453F" w:rsidRPr="3A93DC59">
        <w:rPr>
          <w:noProof/>
        </w:rPr>
        <w:t xml:space="preserve"> (</w:t>
      </w:r>
      <w:r w:rsidR="672D453F" w:rsidRPr="3A93DC59">
        <w:rPr>
          <w:i/>
          <w:iCs/>
          <w:noProof/>
        </w:rPr>
        <w:t>Guidance to Reporting</w:t>
      </w:r>
      <w:r w:rsidR="672D453F" w:rsidRPr="3A93DC59">
        <w:rPr>
          <w:noProof/>
        </w:rPr>
        <w:t>)</w:t>
      </w:r>
      <w:r w:rsidR="12C25E06" w:rsidRPr="3A93DC59">
        <w:t xml:space="preserve"> </w:t>
      </w:r>
      <w:r w:rsidR="7A94A72B" w:rsidRPr="3A93DC59">
        <w:t>on its website.</w:t>
      </w:r>
      <w:r w:rsidR="005A44B1" w:rsidRPr="3A93DC59">
        <w:rPr>
          <w:rStyle w:val="FootnoteReference"/>
        </w:rPr>
        <w:footnoteReference w:id="6"/>
      </w:r>
      <w:r w:rsidR="7A94A72B" w:rsidRPr="3A93DC59">
        <w:t xml:space="preserve"> The document is updated</w:t>
      </w:r>
      <w:r w:rsidR="4C61055A" w:rsidRPr="3A93DC59">
        <w:t xml:space="preserve">, in consultation with all </w:t>
      </w:r>
      <w:r w:rsidR="31A1E73F" w:rsidRPr="3A93DC59">
        <w:t>jurisdictions</w:t>
      </w:r>
      <w:r w:rsidR="4C61055A" w:rsidRPr="3A93DC59">
        <w:t xml:space="preserve">, to reflect </w:t>
      </w:r>
      <w:r w:rsidR="31A1E73F" w:rsidRPr="3A93DC59">
        <w:t xml:space="preserve">changes made to processes </w:t>
      </w:r>
      <w:proofErr w:type="gramStart"/>
      <w:r w:rsidR="31A1E73F" w:rsidRPr="3A93DC59">
        <w:t>as a result of</w:t>
      </w:r>
      <w:proofErr w:type="gramEnd"/>
      <w:r w:rsidR="31A1E73F" w:rsidRPr="3A93DC59">
        <w:t xml:space="preserve"> the Board’s findings and recommendations. </w:t>
      </w:r>
    </w:p>
    <w:p w14:paraId="2F9D05A5" w14:textId="2607E877" w:rsidR="00180CE0" w:rsidRDefault="00B96957" w:rsidP="00651FFB">
      <w:r>
        <w:t xml:space="preserve">Reporting for </w:t>
      </w:r>
      <w:r w:rsidR="00773D72">
        <w:t xml:space="preserve">this review </w:t>
      </w:r>
      <w:r w:rsidR="008C7B50">
        <w:t>for</w:t>
      </w:r>
      <w:r w:rsidR="00773D72">
        <w:t xml:space="preserve"> the </w:t>
      </w:r>
      <w:r w:rsidR="00655F10">
        <w:t>2023</w:t>
      </w:r>
      <w:r w:rsidR="00773D72">
        <w:t xml:space="preserve"> funding year</w:t>
      </w:r>
      <w:r w:rsidR="00666B19">
        <w:t xml:space="preserve"> is based on </w:t>
      </w:r>
      <w:r w:rsidR="00C17BEB">
        <w:t>t</w:t>
      </w:r>
      <w:r w:rsidR="0065736D">
        <w:t xml:space="preserve">he </w:t>
      </w:r>
      <w:r w:rsidR="0065736D" w:rsidRPr="009849A1">
        <w:rPr>
          <w:i/>
          <w:iCs/>
        </w:rPr>
        <w:t>Guidance</w:t>
      </w:r>
      <w:r w:rsidR="009849A1" w:rsidRPr="009849A1">
        <w:rPr>
          <w:i/>
          <w:iCs/>
        </w:rPr>
        <w:t xml:space="preserve"> to Reporting</w:t>
      </w:r>
      <w:r w:rsidR="008D4070">
        <w:rPr>
          <w:i/>
          <w:iCs/>
        </w:rPr>
        <w:t xml:space="preserve"> </w:t>
      </w:r>
      <w:r w:rsidR="008D4070">
        <w:t xml:space="preserve">published on </w:t>
      </w:r>
      <w:r w:rsidR="00200164">
        <w:t>the department</w:t>
      </w:r>
      <w:r w:rsidR="00426577">
        <w:t>’s</w:t>
      </w:r>
      <w:r w:rsidR="008D4070">
        <w:t xml:space="preserve"> website </w:t>
      </w:r>
      <w:r w:rsidR="008D4070" w:rsidRPr="002723D5">
        <w:t xml:space="preserve">in </w:t>
      </w:r>
      <w:r w:rsidR="00DE4421">
        <w:t>April 2024</w:t>
      </w:r>
      <w:r w:rsidR="0062736C" w:rsidRPr="002723D5">
        <w:t xml:space="preserve"> (</w:t>
      </w:r>
      <w:r w:rsidR="0062736C" w:rsidRPr="008C7B50">
        <w:t>see</w:t>
      </w:r>
      <w:r w:rsidR="00DC28EC">
        <w:t xml:space="preserve"> </w:t>
      </w:r>
      <w:r w:rsidR="00B966D7" w:rsidRPr="001B7E25">
        <w:rPr>
          <w:i/>
          <w:u w:val="single"/>
        </w:rPr>
        <w:fldChar w:fldCharType="begin"/>
      </w:r>
      <w:r w:rsidR="00B966D7" w:rsidRPr="001B7E25">
        <w:rPr>
          <w:i/>
          <w:u w:val="single"/>
        </w:rPr>
        <w:instrText xml:space="preserve"> REF _Ref190334167 \h </w:instrText>
      </w:r>
      <w:r w:rsidR="006C1F07" w:rsidRPr="001B7E25">
        <w:rPr>
          <w:i/>
          <w:u w:val="single"/>
        </w:rPr>
        <w:instrText xml:space="preserve"> \* MERGEFORMAT </w:instrText>
      </w:r>
      <w:r w:rsidR="00B966D7" w:rsidRPr="001B7E25">
        <w:rPr>
          <w:i/>
          <w:u w:val="single"/>
        </w:rPr>
      </w:r>
      <w:r w:rsidR="00B966D7" w:rsidRPr="001B7E25">
        <w:rPr>
          <w:i/>
          <w:u w:val="single"/>
        </w:rPr>
        <w:fldChar w:fldCharType="separate"/>
      </w:r>
      <w:r w:rsidR="00587C96" w:rsidRPr="00587C96">
        <w:rPr>
          <w:i/>
        </w:rPr>
        <w:t>Appendix D – Guidance to reporting state and territory funding contribution requirements</w:t>
      </w:r>
      <w:r w:rsidR="00B966D7" w:rsidRPr="001B7E25">
        <w:rPr>
          <w:i/>
          <w:u w:val="single"/>
        </w:rPr>
        <w:fldChar w:fldCharType="end"/>
      </w:r>
      <w:r w:rsidR="0062736C">
        <w:t>)</w:t>
      </w:r>
      <w:r w:rsidR="00666B19">
        <w:t xml:space="preserve">. </w:t>
      </w:r>
    </w:p>
    <w:p w14:paraId="4B086462" w14:textId="0CF1B442" w:rsidR="004D6528" w:rsidRPr="00594075" w:rsidRDefault="17FEC23E" w:rsidP="421ADA8C">
      <w:r w:rsidRPr="3A93DC59">
        <w:t xml:space="preserve">The </w:t>
      </w:r>
      <w:r w:rsidRPr="3A93DC59">
        <w:rPr>
          <w:i/>
          <w:iCs/>
        </w:rPr>
        <w:t>Guidance</w:t>
      </w:r>
      <w:r w:rsidR="16618832" w:rsidRPr="3A93DC59">
        <w:rPr>
          <w:i/>
          <w:iCs/>
        </w:rPr>
        <w:t xml:space="preserve"> to Reporting</w:t>
      </w:r>
      <w:r w:rsidR="45A88EE5" w:rsidRPr="3A93DC59">
        <w:t xml:space="preserve"> </w:t>
      </w:r>
      <w:r w:rsidR="3CEE8BF2" w:rsidRPr="3A93DC59">
        <w:t>require</w:t>
      </w:r>
      <w:r w:rsidR="1B5AE9FA" w:rsidRPr="3A93DC59">
        <w:t>s</w:t>
      </w:r>
      <w:r w:rsidR="086FB0E3" w:rsidRPr="3A93DC59">
        <w:t xml:space="preserve"> that</w:t>
      </w:r>
      <w:r w:rsidR="759CA865" w:rsidRPr="3A93DC59">
        <w:t xml:space="preserve"> all jurisdiction</w:t>
      </w:r>
      <w:r w:rsidR="592D98B1" w:rsidRPr="3A93DC59">
        <w:t>s</w:t>
      </w:r>
      <w:r w:rsidR="1E54C2CF" w:rsidRPr="3A93DC59">
        <w:t>:</w:t>
      </w:r>
    </w:p>
    <w:p w14:paraId="21CA225E" w14:textId="4A25A84E" w:rsidR="00594075" w:rsidRPr="00992749" w:rsidRDefault="24665894" w:rsidP="00992749">
      <w:pPr>
        <w:pStyle w:val="ListBullet"/>
      </w:pPr>
      <w:r>
        <w:t>report to the Commonwealth by 30 November</w:t>
      </w:r>
      <w:r w:rsidR="00953D6B">
        <w:t xml:space="preserve"> </w:t>
      </w:r>
      <w:r w:rsidR="00953D6B" w:rsidRPr="003E0002">
        <w:rPr>
          <w:rFonts w:eastAsia="Calibri" w:cs="Arial"/>
        </w:rPr>
        <w:t>each year on funding requirements for the previous year</w:t>
      </w:r>
    </w:p>
    <w:p w14:paraId="629525DF" w14:textId="555DA220" w:rsidR="00594075" w:rsidRPr="00992749" w:rsidRDefault="27D9B060" w:rsidP="421ADA8C">
      <w:pPr>
        <w:pStyle w:val="ListBullet"/>
      </w:pPr>
      <w:r w:rsidRPr="3A93DC59">
        <w:t xml:space="preserve">provide </w:t>
      </w:r>
      <w:r w:rsidR="38A1495A" w:rsidRPr="3A93DC59">
        <w:t xml:space="preserve">‘evidence </w:t>
      </w:r>
      <w:r w:rsidRPr="3A93DC59">
        <w:t>that the amount has been certified and is consistent with the agreed methodology as set out in the bilateral agreement through a reasonable assurance engagement in</w:t>
      </w:r>
      <w:r w:rsidR="76141E1A" w:rsidRPr="3A93DC59">
        <w:t xml:space="preserve"> </w:t>
      </w:r>
      <w:r w:rsidRPr="3A93DC59">
        <w:t>line with the Australian Auditing and Assurance Standards</w:t>
      </w:r>
      <w:r w:rsidR="4DB75892" w:rsidRPr="3A93DC59">
        <w:t>’</w:t>
      </w:r>
    </w:p>
    <w:p w14:paraId="7D9B0797" w14:textId="5B920307" w:rsidR="009045F5" w:rsidRPr="00BB1B4E" w:rsidRDefault="24665894" w:rsidP="00992749">
      <w:pPr>
        <w:pStyle w:val="ListBullet"/>
      </w:pPr>
      <w:r>
        <w:t xml:space="preserve">report leases against </w:t>
      </w:r>
      <w:r w:rsidR="4FF937D2">
        <w:t xml:space="preserve">Australian Accounting Standards Board Standard </w:t>
      </w:r>
      <w:r w:rsidR="50D4A9DC">
        <w:t xml:space="preserve">AASB </w:t>
      </w:r>
      <w:r w:rsidR="2A5A9922" w:rsidRPr="004F27E0">
        <w:t>16</w:t>
      </w:r>
      <w:r w:rsidR="09C802B1" w:rsidRPr="004F27E0">
        <w:t xml:space="preserve"> </w:t>
      </w:r>
      <w:r w:rsidR="1F6D5DE1" w:rsidRPr="004F27E0">
        <w:t>Leases</w:t>
      </w:r>
      <w:r w:rsidR="1F6D5DE1">
        <w:t xml:space="preserve"> (AASB</w:t>
      </w:r>
      <w:r w:rsidR="008E2EC0">
        <w:noBreakHyphen/>
      </w:r>
      <w:r w:rsidR="1F6D5DE1">
        <w:t>16)</w:t>
      </w:r>
    </w:p>
    <w:p w14:paraId="1C05660C" w14:textId="7EF20124" w:rsidR="00727919" w:rsidRPr="00992749" w:rsidRDefault="564D1993" w:rsidP="421ADA8C">
      <w:pPr>
        <w:pStyle w:val="ListBullet"/>
      </w:pPr>
      <w:r w:rsidRPr="3A93DC59">
        <w:t xml:space="preserve">separately identify and attribute by sector (where possible) any education regulatory costs agreed </w:t>
      </w:r>
      <w:r w:rsidR="02CCF054" w:rsidRPr="3A93DC59">
        <w:t>in the jurisdiction’s bilateral agreement</w:t>
      </w:r>
    </w:p>
    <w:p w14:paraId="77B57106" w14:textId="77777777" w:rsidR="005D2166" w:rsidRPr="005C45D2" w:rsidRDefault="74DCFB7C">
      <w:pPr>
        <w:pStyle w:val="ListBullet"/>
        <w:rPr>
          <w:rFonts w:asciiTheme="minorHAnsi" w:eastAsiaTheme="minorEastAsia" w:hAnsiTheme="minorHAnsi"/>
        </w:rPr>
      </w:pPr>
      <w:r>
        <w:t>only count school education reform costs</w:t>
      </w:r>
      <w:r w:rsidR="04AAD2A5">
        <w:t xml:space="preserve"> that are new, time-limited expenditure</w:t>
      </w:r>
      <w:r w:rsidR="274AB287">
        <w:t xml:space="preserve"> provided </w:t>
      </w:r>
      <w:r w:rsidR="274AB287" w:rsidRPr="005C45D2">
        <w:t>for the benefit of school education</w:t>
      </w:r>
    </w:p>
    <w:p w14:paraId="605A2EF9" w14:textId="36D6D01C" w:rsidR="00F546CA" w:rsidRDefault="005D2166" w:rsidP="68C740B3">
      <w:pPr>
        <w:pStyle w:val="ListBullet"/>
      </w:pPr>
      <w:r w:rsidRPr="005C45D2">
        <w:t>quantify, and where possible, certify each mitigating factor through the reasonable assurance engagement.</w:t>
      </w:r>
      <w:r w:rsidR="653F5A86" w:rsidRPr="005C45D2">
        <w:t xml:space="preserve"> </w:t>
      </w:r>
    </w:p>
    <w:p w14:paraId="69FA8621" w14:textId="77777777" w:rsidR="00F546CA" w:rsidRDefault="00F546CA">
      <w:pPr>
        <w:spacing w:before="0" w:after="160"/>
      </w:pPr>
      <w:r>
        <w:br w:type="page"/>
      </w:r>
    </w:p>
    <w:p w14:paraId="498D5C8C" w14:textId="2E74C7E1" w:rsidR="00B502BC" w:rsidRDefault="445A2C82" w:rsidP="522447BD">
      <w:pPr>
        <w:pStyle w:val="Heading2-Numbered"/>
        <w:tabs>
          <w:tab w:val="clear" w:pos="6260"/>
          <w:tab w:val="num" w:pos="993"/>
        </w:tabs>
        <w:ind w:left="540"/>
      </w:pPr>
      <w:bookmarkStart w:id="259" w:name="_Toc188365390"/>
      <w:bookmarkStart w:id="260" w:name="_Toc188365391"/>
      <w:bookmarkStart w:id="261" w:name="_Toc188365392"/>
      <w:bookmarkStart w:id="262" w:name="_Toc188365393"/>
      <w:bookmarkStart w:id="263" w:name="_Toc188365394"/>
      <w:bookmarkStart w:id="264" w:name="_Toc210815598"/>
      <w:bookmarkStart w:id="265" w:name="_Toc106953810"/>
      <w:bookmarkStart w:id="266" w:name="_Toc123647057"/>
      <w:bookmarkStart w:id="267" w:name="_Toc127451656"/>
      <w:bookmarkStart w:id="268" w:name="_Toc130204907"/>
      <w:bookmarkEnd w:id="259"/>
      <w:bookmarkEnd w:id="260"/>
      <w:bookmarkEnd w:id="261"/>
      <w:bookmarkEnd w:id="262"/>
      <w:bookmarkEnd w:id="263"/>
      <w:r>
        <w:lastRenderedPageBreak/>
        <w:t>Compliance with reporting timeframes</w:t>
      </w:r>
      <w:bookmarkEnd w:id="264"/>
    </w:p>
    <w:p w14:paraId="5D9D9081" w14:textId="045FB6C4" w:rsidR="00E56981" w:rsidRDefault="007F2AF7" w:rsidP="007974D6">
      <w:r>
        <w:t>Consistent</w:t>
      </w:r>
      <w:r w:rsidR="008C7B50">
        <w:t xml:space="preserve"> with s</w:t>
      </w:r>
      <w:r w:rsidR="0037682E">
        <w:t xml:space="preserve"> </w:t>
      </w:r>
      <w:r w:rsidR="008C7B50">
        <w:t>35 of the</w:t>
      </w:r>
      <w:r w:rsidR="008C7B50" w:rsidRPr="008C7B50">
        <w:t xml:space="preserve"> Regulations</w:t>
      </w:r>
      <w:r w:rsidR="008C7B50">
        <w:t xml:space="preserve">, </w:t>
      </w:r>
      <w:r w:rsidR="00200164">
        <w:t xml:space="preserve">the </w:t>
      </w:r>
      <w:r w:rsidR="00E4463B">
        <w:t>Board</w:t>
      </w:r>
      <w:r w:rsidR="0014639C">
        <w:t xml:space="preserve"> </w:t>
      </w:r>
      <w:r w:rsidR="00D81AA0">
        <w:t>found</w:t>
      </w:r>
      <w:r w:rsidR="00E4463B" w:rsidRPr="00A7242D">
        <w:t xml:space="preserve"> </w:t>
      </w:r>
      <w:r w:rsidR="0014639C">
        <w:t>that</w:t>
      </w:r>
      <w:r w:rsidR="00A7242D" w:rsidRPr="00A7242D">
        <w:t xml:space="preserve"> </w:t>
      </w:r>
      <w:r w:rsidR="006E439D">
        <w:t>6</w:t>
      </w:r>
      <w:r w:rsidR="00A7242D" w:rsidRPr="00A7242D">
        <w:t xml:space="preserve"> states and territories </w:t>
      </w:r>
      <w:r w:rsidR="00091A29">
        <w:t>met</w:t>
      </w:r>
      <w:r w:rsidR="00542529">
        <w:t xml:space="preserve"> </w:t>
      </w:r>
      <w:r w:rsidR="00A7242D" w:rsidRPr="00A7242D">
        <w:t xml:space="preserve">the </w:t>
      </w:r>
      <w:r w:rsidR="00091A29">
        <w:t xml:space="preserve">agreed </w:t>
      </w:r>
      <w:r w:rsidR="00A7242D" w:rsidRPr="00A7242D">
        <w:t xml:space="preserve">reporting </w:t>
      </w:r>
      <w:r w:rsidR="0014639C">
        <w:t>time</w:t>
      </w:r>
      <w:r w:rsidR="00F82298">
        <w:t>line</w:t>
      </w:r>
      <w:r w:rsidR="00E166BF">
        <w:t xml:space="preserve"> </w:t>
      </w:r>
      <w:r w:rsidR="00EB745B">
        <w:t xml:space="preserve">of 30 </w:t>
      </w:r>
      <w:r w:rsidR="000D6C37">
        <w:t>November 2024</w:t>
      </w:r>
      <w:r w:rsidR="00A7242D" w:rsidRPr="00A7242D">
        <w:t>. Victoria provided its report on 2</w:t>
      </w:r>
      <w:r w:rsidR="00A7242D">
        <w:t xml:space="preserve"> December</w:t>
      </w:r>
      <w:r w:rsidR="0004342C">
        <w:t xml:space="preserve"> </w:t>
      </w:r>
      <w:r w:rsidR="00A7242D" w:rsidRPr="00A7242D">
        <w:t>2024 and Queensland provided its report on 11</w:t>
      </w:r>
      <w:r w:rsidR="0004342C">
        <w:t xml:space="preserve"> December </w:t>
      </w:r>
      <w:r w:rsidR="00A7242D" w:rsidRPr="00A7242D">
        <w:t xml:space="preserve">2024. Both states provided </w:t>
      </w:r>
      <w:r w:rsidR="00200164">
        <w:t>the department</w:t>
      </w:r>
      <w:r w:rsidR="00A7242D" w:rsidRPr="00A7242D">
        <w:t xml:space="preserve"> with prior notice that their reports would be delayed. </w:t>
      </w:r>
    </w:p>
    <w:p w14:paraId="2A7D1585" w14:textId="6869EBCC" w:rsidR="006A0E5B" w:rsidRPr="00EA531D" w:rsidRDefault="5B3A6E30" w:rsidP="522447BD">
      <w:pPr>
        <w:pStyle w:val="Caption"/>
      </w:pPr>
      <w:bookmarkStart w:id="269" w:name="_Toc200636983"/>
      <w:r w:rsidRPr="3A93DC59">
        <w:t xml:space="preserve">Table </w:t>
      </w:r>
      <w:r>
        <w:fldChar w:fldCharType="begin"/>
      </w:r>
      <w:r>
        <w:instrText xml:space="preserve"> SEQ Table \* ARABIC </w:instrText>
      </w:r>
      <w:r>
        <w:fldChar w:fldCharType="separate"/>
      </w:r>
      <w:r w:rsidR="00587C96">
        <w:rPr>
          <w:noProof/>
        </w:rPr>
        <w:t>1</w:t>
      </w:r>
      <w:r>
        <w:fldChar w:fldCharType="end"/>
      </w:r>
      <w:r w:rsidR="0148B570" w:rsidRPr="3A93DC59">
        <w:t>:</w:t>
      </w:r>
      <w:r w:rsidRPr="3A93DC59">
        <w:t xml:space="preserve"> Assessment of jurisdictions’ meeting reporting timeframes</w:t>
      </w:r>
      <w:bookmarkEnd w:id="269"/>
    </w:p>
    <w:tbl>
      <w:tblPr>
        <w:tblStyle w:val="TableGrid"/>
        <w:tblW w:w="5000" w:type="pct"/>
        <w:tblBorders>
          <w:bottom w:val="single" w:sz="4" w:space="0" w:color="auto"/>
          <w:insideH w:val="single" w:sz="4" w:space="0" w:color="auto"/>
        </w:tblBorders>
        <w:tblLook w:val="04A0" w:firstRow="1" w:lastRow="0" w:firstColumn="1" w:lastColumn="0" w:noHBand="0" w:noVBand="1"/>
      </w:tblPr>
      <w:tblGrid>
        <w:gridCol w:w="1265"/>
        <w:gridCol w:w="699"/>
        <w:gridCol w:w="758"/>
        <w:gridCol w:w="759"/>
        <w:gridCol w:w="1656"/>
        <w:gridCol w:w="759"/>
        <w:gridCol w:w="759"/>
        <w:gridCol w:w="1656"/>
        <w:gridCol w:w="759"/>
      </w:tblGrid>
      <w:tr w:rsidR="001D408F" w:rsidRPr="0004342C" w14:paraId="7469AFE6" w14:textId="77777777" w:rsidTr="006A0E5B">
        <w:trPr>
          <w:cnfStyle w:val="100000000000" w:firstRow="1" w:lastRow="0" w:firstColumn="0" w:lastColumn="0" w:oddVBand="0" w:evenVBand="0" w:oddHBand="0" w:evenHBand="0" w:firstRowFirstColumn="0" w:firstRowLastColumn="0" w:lastRowFirstColumn="0" w:lastRowLastColumn="0"/>
        </w:trPr>
        <w:tc>
          <w:tcPr>
            <w:tcW w:w="702" w:type="pct"/>
            <w:shd w:val="clear" w:color="auto" w:fill="00355F"/>
          </w:tcPr>
          <w:p w14:paraId="5382C36C" w14:textId="0B76E163" w:rsidR="00F30CB5" w:rsidRPr="0004342C" w:rsidRDefault="00F30CB5" w:rsidP="00F30CB5">
            <w:pPr>
              <w:spacing w:line="276" w:lineRule="auto"/>
              <w:jc w:val="center"/>
              <w:rPr>
                <w:rFonts w:asciiTheme="minorHAnsi" w:eastAsia="Times New Roman" w:hAnsiTheme="minorHAnsi" w:cstheme="minorHAnsi"/>
                <w:sz w:val="22"/>
              </w:rPr>
            </w:pPr>
          </w:p>
        </w:tc>
        <w:tc>
          <w:tcPr>
            <w:tcW w:w="390" w:type="pct"/>
            <w:shd w:val="clear" w:color="auto" w:fill="00355F"/>
          </w:tcPr>
          <w:p w14:paraId="565914C7" w14:textId="59198F6E" w:rsidR="00F30CB5" w:rsidRPr="00411625" w:rsidRDefault="00F30CB5" w:rsidP="00F30CB5">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ACT</w:t>
            </w:r>
          </w:p>
        </w:tc>
        <w:tc>
          <w:tcPr>
            <w:tcW w:w="422" w:type="pct"/>
            <w:shd w:val="clear" w:color="auto" w:fill="00355F"/>
          </w:tcPr>
          <w:p w14:paraId="2695E22A" w14:textId="2C3C9235" w:rsidR="00F30CB5" w:rsidRPr="00411625" w:rsidRDefault="00F30CB5" w:rsidP="00F30CB5">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NSW</w:t>
            </w:r>
          </w:p>
        </w:tc>
        <w:tc>
          <w:tcPr>
            <w:tcW w:w="422" w:type="pct"/>
            <w:shd w:val="clear" w:color="auto" w:fill="00355F"/>
          </w:tcPr>
          <w:p w14:paraId="0971E39A" w14:textId="234CA349" w:rsidR="00F30CB5" w:rsidRPr="00411625" w:rsidRDefault="00F30CB5" w:rsidP="00F30CB5">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NT</w:t>
            </w:r>
          </w:p>
        </w:tc>
        <w:tc>
          <w:tcPr>
            <w:tcW w:w="883" w:type="pct"/>
            <w:shd w:val="clear" w:color="auto" w:fill="00355F"/>
          </w:tcPr>
          <w:p w14:paraId="1D2C535D" w14:textId="7B8EA534" w:rsidR="00F30CB5" w:rsidRPr="00411625" w:rsidRDefault="00F30CB5" w:rsidP="00F30CB5">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QLD</w:t>
            </w:r>
          </w:p>
        </w:tc>
        <w:tc>
          <w:tcPr>
            <w:tcW w:w="422" w:type="pct"/>
            <w:shd w:val="clear" w:color="auto" w:fill="00355F"/>
          </w:tcPr>
          <w:p w14:paraId="12605348" w14:textId="53EC9B51" w:rsidR="00F30CB5" w:rsidRPr="00411625" w:rsidRDefault="00F30CB5" w:rsidP="00F30CB5">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SA</w:t>
            </w:r>
          </w:p>
        </w:tc>
        <w:tc>
          <w:tcPr>
            <w:tcW w:w="422" w:type="pct"/>
            <w:shd w:val="clear" w:color="auto" w:fill="00355F"/>
          </w:tcPr>
          <w:p w14:paraId="007B26B6" w14:textId="2C1D933E" w:rsidR="00F30CB5" w:rsidRPr="00411625" w:rsidRDefault="00F30CB5" w:rsidP="00F30CB5">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TAS</w:t>
            </w:r>
          </w:p>
        </w:tc>
        <w:tc>
          <w:tcPr>
            <w:tcW w:w="913" w:type="pct"/>
            <w:shd w:val="clear" w:color="auto" w:fill="00355F"/>
          </w:tcPr>
          <w:p w14:paraId="5D4C024C" w14:textId="77777777" w:rsidR="00F30CB5" w:rsidRPr="00411625" w:rsidRDefault="00F30CB5" w:rsidP="00F30CB5">
            <w:pPr>
              <w:spacing w:line="276" w:lineRule="auto"/>
              <w:jc w:val="center"/>
              <w:rPr>
                <w:rFonts w:asciiTheme="minorHAnsi" w:eastAsia="Times New Roman" w:hAnsiTheme="minorHAnsi" w:cstheme="minorHAnsi"/>
                <w:b w:val="0"/>
                <w:bCs/>
                <w:sz w:val="22"/>
              </w:rPr>
            </w:pPr>
            <w:r w:rsidRPr="00411625">
              <w:rPr>
                <w:rFonts w:asciiTheme="minorHAnsi" w:eastAsia="Times New Roman" w:hAnsiTheme="minorHAnsi" w:cstheme="minorHAnsi"/>
                <w:bCs/>
                <w:sz w:val="22"/>
              </w:rPr>
              <w:t>VIC</w:t>
            </w:r>
          </w:p>
        </w:tc>
        <w:tc>
          <w:tcPr>
            <w:tcW w:w="422" w:type="pct"/>
            <w:shd w:val="clear" w:color="auto" w:fill="00355F"/>
          </w:tcPr>
          <w:p w14:paraId="6F07BAD3" w14:textId="77777777" w:rsidR="00F30CB5" w:rsidRPr="00411625" w:rsidRDefault="00F30CB5" w:rsidP="00F30CB5">
            <w:pPr>
              <w:spacing w:line="276" w:lineRule="auto"/>
              <w:jc w:val="center"/>
              <w:rPr>
                <w:rFonts w:asciiTheme="minorHAnsi" w:eastAsia="Times New Roman" w:hAnsiTheme="minorHAnsi" w:cstheme="minorHAnsi"/>
                <w:b w:val="0"/>
                <w:bCs/>
                <w:sz w:val="22"/>
              </w:rPr>
            </w:pPr>
            <w:r w:rsidRPr="00411625">
              <w:rPr>
                <w:rFonts w:asciiTheme="minorHAnsi" w:eastAsia="Times New Roman" w:hAnsiTheme="minorHAnsi" w:cstheme="minorHAnsi"/>
                <w:bCs/>
                <w:sz w:val="22"/>
              </w:rPr>
              <w:t>WA</w:t>
            </w:r>
          </w:p>
        </w:tc>
      </w:tr>
      <w:tr w:rsidR="001D408F" w:rsidRPr="0004342C" w14:paraId="41C69AFF" w14:textId="77777777" w:rsidTr="006A0E5B">
        <w:trPr>
          <w:cnfStyle w:val="000000100000" w:firstRow="0" w:lastRow="0" w:firstColumn="0" w:lastColumn="0" w:oddVBand="0" w:evenVBand="0" w:oddHBand="1" w:evenHBand="0" w:firstRowFirstColumn="0" w:firstRowLastColumn="0" w:lastRowFirstColumn="0" w:lastRowLastColumn="0"/>
        </w:trPr>
        <w:tc>
          <w:tcPr>
            <w:tcW w:w="702" w:type="pct"/>
            <w:shd w:val="clear" w:color="auto" w:fill="9BC2E6"/>
          </w:tcPr>
          <w:p w14:paraId="3B06C4C9" w14:textId="25217E4C" w:rsidR="00F30CB5" w:rsidRPr="00411625" w:rsidRDefault="00881713" w:rsidP="00224E9C">
            <w:pPr>
              <w:spacing w:before="0" w:after="0" w:line="276" w:lineRule="auto"/>
              <w:rPr>
                <w:rFonts w:asciiTheme="minorHAnsi" w:eastAsia="Times New Roman" w:hAnsiTheme="minorHAnsi" w:cstheme="minorHAnsi"/>
              </w:rPr>
            </w:pPr>
            <w:r>
              <w:rPr>
                <w:rFonts w:asciiTheme="minorHAnsi" w:eastAsia="Times New Roman" w:hAnsiTheme="minorHAnsi" w:cstheme="minorHAnsi"/>
              </w:rPr>
              <w:t>S</w:t>
            </w:r>
            <w:r w:rsidR="00F30CB5" w:rsidRPr="00411625">
              <w:rPr>
                <w:rFonts w:asciiTheme="minorHAnsi" w:eastAsia="Times New Roman" w:hAnsiTheme="minorHAnsi" w:cstheme="minorHAnsi"/>
              </w:rPr>
              <w:t>ubmitted by 30</w:t>
            </w:r>
            <w:r w:rsidR="007E58FA">
              <w:rPr>
                <w:rFonts w:asciiTheme="minorHAnsi" w:eastAsia="Times New Roman" w:hAnsiTheme="minorHAnsi" w:cstheme="minorHAnsi"/>
              </w:rPr>
              <w:t xml:space="preserve"> November</w:t>
            </w:r>
            <w:r w:rsidR="001D408F">
              <w:rPr>
                <w:rFonts w:asciiTheme="minorHAnsi" w:eastAsia="Times New Roman" w:hAnsiTheme="minorHAnsi" w:cstheme="minorHAnsi"/>
              </w:rPr>
              <w:t xml:space="preserve"> 20</w:t>
            </w:r>
            <w:r w:rsidR="00F30CB5" w:rsidRPr="00411625">
              <w:rPr>
                <w:rFonts w:asciiTheme="minorHAnsi" w:eastAsia="Times New Roman" w:hAnsiTheme="minorHAnsi" w:cstheme="minorHAnsi"/>
              </w:rPr>
              <w:t>24</w:t>
            </w:r>
          </w:p>
        </w:tc>
        <w:tc>
          <w:tcPr>
            <w:tcW w:w="390" w:type="pct"/>
            <w:shd w:val="clear" w:color="auto" w:fill="F2F2F2" w:themeFill="background1" w:themeFillShade="F2"/>
          </w:tcPr>
          <w:p w14:paraId="457F3023" w14:textId="44A05F47" w:rsidR="00F30CB5" w:rsidRPr="00456C4B" w:rsidRDefault="00F30CB5" w:rsidP="00224E9C">
            <w:pPr>
              <w:spacing w:before="0" w:after="0" w:line="276" w:lineRule="auto"/>
              <w:jc w:val="center"/>
              <w:rPr>
                <w:rFonts w:ascii="Wingdings 2" w:eastAsia="Times New Roman" w:hAnsi="Wingdings 2" w:cs="Arial"/>
                <w:b/>
                <w:bCs/>
                <w:sz w:val="28"/>
                <w:szCs w:val="28"/>
              </w:rPr>
            </w:pPr>
            <w:r w:rsidRPr="00456C4B">
              <w:rPr>
                <w:rFonts w:ascii="Wingdings 2" w:eastAsia="Times New Roman" w:hAnsi="Wingdings 2" w:cs="Arial"/>
                <w:b/>
                <w:bCs/>
                <w:sz w:val="28"/>
                <w:szCs w:val="28"/>
              </w:rPr>
              <w:t>P</w:t>
            </w:r>
          </w:p>
        </w:tc>
        <w:tc>
          <w:tcPr>
            <w:tcW w:w="422" w:type="pct"/>
            <w:shd w:val="clear" w:color="auto" w:fill="F2F2F2" w:themeFill="background1" w:themeFillShade="F2"/>
          </w:tcPr>
          <w:p w14:paraId="41C09271" w14:textId="2AC1CA74" w:rsidR="00F30CB5" w:rsidRPr="00456C4B" w:rsidRDefault="00F30CB5" w:rsidP="00224E9C">
            <w:pPr>
              <w:spacing w:before="0" w:after="0" w:line="276" w:lineRule="auto"/>
              <w:jc w:val="center"/>
              <w:rPr>
                <w:rFonts w:ascii="Wingdings 2" w:eastAsia="Times New Roman" w:hAnsi="Wingdings 2" w:cs="Arial"/>
                <w:b/>
                <w:bCs/>
                <w:sz w:val="28"/>
                <w:szCs w:val="28"/>
              </w:rPr>
            </w:pPr>
            <w:r w:rsidRPr="00456C4B">
              <w:rPr>
                <w:rFonts w:ascii="Wingdings 2" w:eastAsia="Times New Roman" w:hAnsi="Wingdings 2" w:cs="Arial"/>
                <w:b/>
                <w:bCs/>
                <w:sz w:val="28"/>
                <w:szCs w:val="28"/>
              </w:rPr>
              <w:t>P</w:t>
            </w:r>
          </w:p>
        </w:tc>
        <w:tc>
          <w:tcPr>
            <w:tcW w:w="422" w:type="pct"/>
            <w:shd w:val="clear" w:color="auto" w:fill="F2F2F2" w:themeFill="background1" w:themeFillShade="F2"/>
          </w:tcPr>
          <w:p w14:paraId="5BA6BADB" w14:textId="4E20F299" w:rsidR="00F30CB5" w:rsidRPr="00456C4B" w:rsidRDefault="00F30CB5" w:rsidP="00224E9C">
            <w:pPr>
              <w:spacing w:before="0" w:after="0" w:line="276" w:lineRule="auto"/>
              <w:jc w:val="center"/>
              <w:rPr>
                <w:rFonts w:ascii="Wingdings 2" w:eastAsia="Times New Roman" w:hAnsi="Wingdings 2" w:cs="Arial"/>
                <w:b/>
                <w:bCs/>
                <w:sz w:val="28"/>
                <w:szCs w:val="28"/>
              </w:rPr>
            </w:pPr>
            <w:r w:rsidRPr="00456C4B">
              <w:rPr>
                <w:rFonts w:ascii="Wingdings 2" w:eastAsia="Times New Roman" w:hAnsi="Wingdings 2" w:cs="Arial"/>
                <w:b/>
                <w:bCs/>
                <w:sz w:val="28"/>
                <w:szCs w:val="28"/>
              </w:rPr>
              <w:t>P</w:t>
            </w:r>
          </w:p>
        </w:tc>
        <w:tc>
          <w:tcPr>
            <w:tcW w:w="883" w:type="pct"/>
            <w:shd w:val="clear" w:color="auto" w:fill="F2F2F2" w:themeFill="background1" w:themeFillShade="F2"/>
          </w:tcPr>
          <w:p w14:paraId="2A64AF0F" w14:textId="77777777" w:rsidR="00F30CB5" w:rsidRPr="00456C4B" w:rsidRDefault="00F30CB5" w:rsidP="00224E9C">
            <w:pPr>
              <w:spacing w:before="0" w:after="0" w:line="276" w:lineRule="auto"/>
              <w:jc w:val="center"/>
              <w:rPr>
                <w:rFonts w:asciiTheme="minorHAnsi" w:eastAsia="Times New Roman" w:hAnsiTheme="minorHAnsi" w:cstheme="minorHAnsi"/>
                <w:sz w:val="28"/>
                <w:szCs w:val="28"/>
              </w:rPr>
            </w:pPr>
            <w:r w:rsidRPr="00456C4B">
              <w:rPr>
                <w:rFonts w:ascii="Wingdings 2" w:eastAsia="Times New Roman" w:hAnsi="Wingdings 2" w:cs="Arial"/>
                <w:b/>
                <w:bCs/>
                <w:sz w:val="28"/>
                <w:szCs w:val="28"/>
              </w:rPr>
              <w:t>O</w:t>
            </w:r>
            <w:r w:rsidRPr="00456C4B">
              <w:rPr>
                <w:rFonts w:asciiTheme="minorHAnsi" w:eastAsia="Times New Roman" w:hAnsiTheme="minorHAnsi" w:cstheme="minorHAnsi"/>
                <w:sz w:val="28"/>
                <w:szCs w:val="28"/>
              </w:rPr>
              <w:t xml:space="preserve"> </w:t>
            </w:r>
          </w:p>
          <w:p w14:paraId="48269C1C" w14:textId="3FB6B0BE" w:rsidR="00F30CB5" w:rsidRPr="00C74054" w:rsidRDefault="00881713" w:rsidP="00224E9C">
            <w:pPr>
              <w:spacing w:before="0" w:after="0" w:line="276" w:lineRule="auto"/>
              <w:jc w:val="center"/>
              <w:rPr>
                <w:rFonts w:ascii="Wingdings 2" w:eastAsia="Times New Roman" w:hAnsi="Wingdings 2" w:cs="Arial"/>
                <w:b/>
                <w:bCs/>
              </w:rPr>
            </w:pPr>
            <w:r>
              <w:rPr>
                <w:rFonts w:asciiTheme="minorHAnsi" w:eastAsia="Times New Roman" w:hAnsiTheme="minorHAnsi" w:cstheme="minorHAnsi"/>
                <w:sz w:val="18"/>
                <w:szCs w:val="18"/>
              </w:rPr>
              <w:t>(</w:t>
            </w:r>
            <w:r w:rsidR="001D417A" w:rsidRPr="00A30F65">
              <w:rPr>
                <w:rFonts w:asciiTheme="minorHAnsi" w:eastAsia="Times New Roman" w:hAnsiTheme="minorHAnsi" w:cstheme="minorHAnsi"/>
                <w:sz w:val="18"/>
                <w:szCs w:val="18"/>
              </w:rPr>
              <w:t>Submitted</w:t>
            </w:r>
            <w:r w:rsidR="00F30CB5" w:rsidRPr="00A30F65">
              <w:rPr>
                <w:rFonts w:asciiTheme="minorHAnsi" w:eastAsia="Times New Roman" w:hAnsiTheme="minorHAnsi" w:cstheme="minorHAnsi"/>
                <w:sz w:val="18"/>
                <w:szCs w:val="18"/>
              </w:rPr>
              <w:t xml:space="preserve"> 11</w:t>
            </w:r>
            <w:r w:rsidR="001D408F">
              <w:rPr>
                <w:rFonts w:asciiTheme="minorHAnsi" w:eastAsia="Times New Roman" w:hAnsiTheme="minorHAnsi" w:cstheme="minorHAnsi"/>
                <w:sz w:val="18"/>
                <w:szCs w:val="18"/>
              </w:rPr>
              <w:t> December </w:t>
            </w:r>
            <w:r w:rsidR="00F30CB5" w:rsidRPr="00A30F65">
              <w:rPr>
                <w:rFonts w:asciiTheme="minorHAnsi" w:eastAsia="Times New Roman" w:hAnsiTheme="minorHAnsi" w:cstheme="minorHAnsi"/>
                <w:sz w:val="18"/>
                <w:szCs w:val="18"/>
              </w:rPr>
              <w:t>2024</w:t>
            </w:r>
            <w:r w:rsidR="000C303D">
              <w:rPr>
                <w:rFonts w:asciiTheme="minorHAnsi" w:eastAsia="Times New Roman" w:hAnsiTheme="minorHAnsi" w:cstheme="minorHAnsi"/>
                <w:sz w:val="18"/>
                <w:szCs w:val="18"/>
              </w:rPr>
              <w:t>)</w:t>
            </w:r>
          </w:p>
        </w:tc>
        <w:tc>
          <w:tcPr>
            <w:tcW w:w="422" w:type="pct"/>
            <w:shd w:val="clear" w:color="auto" w:fill="F2F2F2" w:themeFill="background1" w:themeFillShade="F2"/>
          </w:tcPr>
          <w:p w14:paraId="272C3504" w14:textId="370F64D8" w:rsidR="00F30CB5" w:rsidRPr="00456C4B" w:rsidRDefault="00F30CB5" w:rsidP="00224E9C">
            <w:pPr>
              <w:spacing w:before="0" w:after="0" w:line="276" w:lineRule="auto"/>
              <w:jc w:val="center"/>
              <w:rPr>
                <w:rFonts w:ascii="Wingdings 2" w:eastAsia="Times New Roman" w:hAnsi="Wingdings 2" w:cs="Arial"/>
                <w:b/>
                <w:bCs/>
                <w:sz w:val="28"/>
                <w:szCs w:val="28"/>
              </w:rPr>
            </w:pPr>
            <w:r w:rsidRPr="00456C4B">
              <w:rPr>
                <w:rFonts w:ascii="Wingdings 2" w:eastAsia="Times New Roman" w:hAnsi="Wingdings 2" w:cs="Arial"/>
                <w:b/>
                <w:bCs/>
                <w:sz w:val="28"/>
                <w:szCs w:val="28"/>
              </w:rPr>
              <w:t>P</w:t>
            </w:r>
          </w:p>
        </w:tc>
        <w:tc>
          <w:tcPr>
            <w:tcW w:w="422" w:type="pct"/>
            <w:shd w:val="clear" w:color="auto" w:fill="F2F2F2" w:themeFill="background1" w:themeFillShade="F2"/>
          </w:tcPr>
          <w:p w14:paraId="78E90B14" w14:textId="05A67C61" w:rsidR="00F30CB5" w:rsidRPr="00456C4B" w:rsidRDefault="00F30CB5" w:rsidP="00224E9C">
            <w:pPr>
              <w:spacing w:before="0" w:after="0" w:line="276" w:lineRule="auto"/>
              <w:jc w:val="center"/>
              <w:rPr>
                <w:rFonts w:ascii="Wingdings 2" w:eastAsia="Times New Roman" w:hAnsi="Wingdings 2" w:cs="Arial"/>
                <w:b/>
                <w:bCs/>
                <w:sz w:val="28"/>
                <w:szCs w:val="28"/>
              </w:rPr>
            </w:pPr>
            <w:r w:rsidRPr="00456C4B">
              <w:rPr>
                <w:rFonts w:ascii="Wingdings 2" w:eastAsia="Times New Roman" w:hAnsi="Wingdings 2" w:cs="Arial"/>
                <w:b/>
                <w:bCs/>
                <w:sz w:val="28"/>
                <w:szCs w:val="28"/>
              </w:rPr>
              <w:t>P</w:t>
            </w:r>
          </w:p>
        </w:tc>
        <w:tc>
          <w:tcPr>
            <w:tcW w:w="913" w:type="pct"/>
            <w:shd w:val="clear" w:color="auto" w:fill="F2F2F2" w:themeFill="background1" w:themeFillShade="F2"/>
          </w:tcPr>
          <w:p w14:paraId="6672FDDD" w14:textId="77777777" w:rsidR="00F30CB5" w:rsidRPr="00456C4B" w:rsidRDefault="00F30CB5" w:rsidP="00224E9C">
            <w:pPr>
              <w:spacing w:before="0" w:after="0" w:line="276" w:lineRule="auto"/>
              <w:jc w:val="center"/>
              <w:rPr>
                <w:rFonts w:asciiTheme="minorHAnsi" w:eastAsia="Times New Roman" w:hAnsiTheme="minorHAnsi" w:cstheme="minorHAnsi"/>
                <w:b/>
                <w:bCs/>
                <w:sz w:val="28"/>
                <w:szCs w:val="28"/>
              </w:rPr>
            </w:pPr>
            <w:r w:rsidRPr="00456C4B">
              <w:rPr>
                <w:rFonts w:ascii="Wingdings 2" w:eastAsia="Times New Roman" w:hAnsi="Wingdings 2" w:cs="Arial"/>
                <w:b/>
                <w:bCs/>
                <w:sz w:val="28"/>
                <w:szCs w:val="28"/>
              </w:rPr>
              <w:t>O</w:t>
            </w:r>
            <w:r w:rsidRPr="00456C4B">
              <w:rPr>
                <w:rFonts w:asciiTheme="minorHAnsi" w:eastAsia="Times New Roman" w:hAnsiTheme="minorHAnsi" w:cstheme="minorHAnsi"/>
                <w:b/>
                <w:bCs/>
                <w:sz w:val="28"/>
                <w:szCs w:val="28"/>
              </w:rPr>
              <w:t xml:space="preserve"> </w:t>
            </w:r>
          </w:p>
          <w:p w14:paraId="6D4D4936" w14:textId="51F81900" w:rsidR="00F30CB5" w:rsidRPr="0004342C" w:rsidRDefault="00881713" w:rsidP="00224E9C">
            <w:pPr>
              <w:spacing w:before="0" w:after="0" w:line="276" w:lineRule="auto"/>
              <w:jc w:val="center"/>
              <w:rPr>
                <w:rFonts w:asciiTheme="minorHAnsi" w:eastAsia="Times New Roman" w:hAnsiTheme="minorHAnsi" w:cstheme="minorHAnsi"/>
                <w:b/>
                <w:bCs/>
              </w:rPr>
            </w:pPr>
            <w:r>
              <w:rPr>
                <w:rFonts w:asciiTheme="minorHAnsi" w:eastAsia="Times New Roman" w:hAnsiTheme="minorHAnsi" w:cstheme="minorHAnsi"/>
                <w:sz w:val="18"/>
                <w:szCs w:val="18"/>
              </w:rPr>
              <w:t>(</w:t>
            </w:r>
            <w:r w:rsidR="001D417A">
              <w:rPr>
                <w:rFonts w:asciiTheme="minorHAnsi" w:eastAsia="Times New Roman" w:hAnsiTheme="minorHAnsi" w:cstheme="minorHAnsi"/>
                <w:sz w:val="18"/>
                <w:szCs w:val="18"/>
              </w:rPr>
              <w:t>S</w:t>
            </w:r>
            <w:r w:rsidR="00F30CB5" w:rsidRPr="00A30F65">
              <w:rPr>
                <w:rFonts w:asciiTheme="minorHAnsi" w:eastAsia="Times New Roman" w:hAnsiTheme="minorHAnsi" w:cstheme="minorHAnsi"/>
                <w:sz w:val="18"/>
                <w:szCs w:val="18"/>
              </w:rPr>
              <w:t xml:space="preserve">ubmitted </w:t>
            </w:r>
            <w:r w:rsidR="00D87768">
              <w:rPr>
                <w:rFonts w:asciiTheme="minorHAnsi" w:eastAsia="Times New Roman" w:hAnsiTheme="minorHAnsi" w:cstheme="minorHAnsi"/>
                <w:sz w:val="18"/>
                <w:szCs w:val="18"/>
              </w:rPr>
              <w:t>11</w:t>
            </w:r>
            <w:r w:rsidR="001D408F">
              <w:rPr>
                <w:rFonts w:asciiTheme="minorHAnsi" w:eastAsia="Times New Roman" w:hAnsiTheme="minorHAnsi" w:cstheme="minorHAnsi"/>
                <w:sz w:val="18"/>
                <w:szCs w:val="18"/>
              </w:rPr>
              <w:t> December 2024</w:t>
            </w:r>
            <w:r>
              <w:rPr>
                <w:rFonts w:asciiTheme="minorHAnsi" w:eastAsia="Times New Roman" w:hAnsiTheme="minorHAnsi" w:cstheme="minorHAnsi"/>
                <w:sz w:val="18"/>
                <w:szCs w:val="18"/>
              </w:rPr>
              <w:t>)</w:t>
            </w:r>
          </w:p>
        </w:tc>
        <w:tc>
          <w:tcPr>
            <w:tcW w:w="422" w:type="pct"/>
            <w:shd w:val="clear" w:color="auto" w:fill="F2F2F2" w:themeFill="background1" w:themeFillShade="F2"/>
          </w:tcPr>
          <w:p w14:paraId="5DA8C3D8" w14:textId="319CF88E" w:rsidR="00F30CB5" w:rsidRPr="00456C4B" w:rsidRDefault="00F30CB5" w:rsidP="00224E9C">
            <w:pPr>
              <w:spacing w:before="0" w:after="0" w:line="276" w:lineRule="auto"/>
              <w:jc w:val="center"/>
              <w:rPr>
                <w:rFonts w:asciiTheme="minorHAnsi" w:eastAsia="Times New Roman" w:hAnsiTheme="minorHAnsi" w:cstheme="minorHAnsi"/>
                <w:b/>
                <w:bCs/>
                <w:sz w:val="28"/>
                <w:szCs w:val="28"/>
              </w:rPr>
            </w:pPr>
            <w:r w:rsidRPr="00456C4B">
              <w:rPr>
                <w:rFonts w:ascii="Wingdings 2" w:eastAsia="Times New Roman" w:hAnsi="Wingdings 2" w:cs="Arial"/>
                <w:b/>
                <w:bCs/>
                <w:sz w:val="28"/>
                <w:szCs w:val="28"/>
              </w:rPr>
              <w:t>P</w:t>
            </w:r>
          </w:p>
        </w:tc>
      </w:tr>
    </w:tbl>
    <w:p w14:paraId="4794D3C8" w14:textId="6DDEE254" w:rsidR="00E24641" w:rsidRDefault="4764E781" w:rsidP="421ADA8C">
      <w:r w:rsidRPr="3A93DC59">
        <w:t xml:space="preserve">The Board considers, while there were minor delays by 2 jurisdictions in providing their annual reports, the current reporting process is mature, and all jurisdictions made efforts to ensure their annual report meets the </w:t>
      </w:r>
      <w:r w:rsidR="799DE161" w:rsidRPr="3A93DC59">
        <w:t>Australian Government’s</w:t>
      </w:r>
      <w:r w:rsidRPr="3A93DC59">
        <w:t xml:space="preserve"> reporting timeframes.</w:t>
      </w:r>
    </w:p>
    <w:tbl>
      <w:tblPr>
        <w:tblStyle w:val="PullOutBox22"/>
        <w:tblpPr w:leftFromText="180" w:rightFromText="180" w:vertAnchor="text" w:horzAnchor="margin" w:tblpY="31"/>
        <w:tblW w:w="0" w:type="auto"/>
        <w:tblLook w:val="04A0" w:firstRow="1" w:lastRow="0" w:firstColumn="1" w:lastColumn="0" w:noHBand="0" w:noVBand="1"/>
      </w:tblPr>
      <w:tblGrid>
        <w:gridCol w:w="9054"/>
      </w:tblGrid>
      <w:tr w:rsidR="007974D6" w:rsidRPr="00484A44" w14:paraId="57EAC162" w14:textId="77777777" w:rsidTr="3A93DC59">
        <w:trPr>
          <w:tblHeader/>
        </w:trPr>
        <w:tc>
          <w:tcPr>
            <w:tcW w:w="9054" w:type="dxa"/>
          </w:tcPr>
          <w:p w14:paraId="740C3EE9" w14:textId="6050E7DF" w:rsidR="007974D6" w:rsidRPr="00825A82" w:rsidRDefault="007974D6" w:rsidP="007974D6">
            <w:pPr>
              <w:pStyle w:val="BoxHeading-Box"/>
              <w:framePr w:hSpace="0" w:wrap="auto" w:vAnchor="margin" w:hAnchor="text" w:yAlign="inline"/>
            </w:pPr>
            <w:r w:rsidRPr="00825A82">
              <w:t>Finding 1</w:t>
            </w:r>
          </w:p>
          <w:p w14:paraId="3BA584F7" w14:textId="4234A9CF" w:rsidR="007974D6" w:rsidRPr="007974D6" w:rsidRDefault="0A869E32" w:rsidP="421ADA8C">
            <w:proofErr w:type="gramStart"/>
            <w:r w:rsidRPr="3A93DC59">
              <w:t>The majority of</w:t>
            </w:r>
            <w:proofErr w:type="gramEnd"/>
            <w:r w:rsidRPr="3A93DC59">
              <w:t xml:space="preserve"> jurisdictions met the reporting timeline of 30 November 2024 for the submission of their annual report for the 2023 funding year, with some minor delays and process variations that were later addressed.</w:t>
            </w:r>
          </w:p>
        </w:tc>
      </w:tr>
    </w:tbl>
    <w:p w14:paraId="352DFAEC" w14:textId="4EA4FCCD" w:rsidR="007974D6" w:rsidRPr="002B2C2C" w:rsidRDefault="007974D6" w:rsidP="007974D6">
      <w:pPr>
        <w:pStyle w:val="Heading2-Numbered"/>
        <w:ind w:left="540"/>
      </w:pPr>
      <w:bookmarkStart w:id="270" w:name="_Toc210815599"/>
      <w:r>
        <w:t>Annual report contents and pro forma</w:t>
      </w:r>
      <w:bookmarkEnd w:id="270"/>
      <w:r>
        <w:t xml:space="preserve"> </w:t>
      </w:r>
    </w:p>
    <w:p w14:paraId="2B68CE2B" w14:textId="4C1CCBA1" w:rsidR="00BC4CEC" w:rsidRDefault="1C4A37EB" w:rsidP="421ADA8C">
      <w:r w:rsidRPr="3A93DC59">
        <w:t xml:space="preserve">The </w:t>
      </w:r>
      <w:r w:rsidRPr="3A93DC59">
        <w:rPr>
          <w:i/>
          <w:iCs/>
        </w:rPr>
        <w:t xml:space="preserve">Guidance </w:t>
      </w:r>
      <w:r w:rsidR="002571DD">
        <w:rPr>
          <w:i/>
          <w:iCs/>
        </w:rPr>
        <w:t>to</w:t>
      </w:r>
      <w:r w:rsidR="002571DD" w:rsidRPr="3A93DC59">
        <w:rPr>
          <w:i/>
          <w:iCs/>
        </w:rPr>
        <w:t xml:space="preserve"> </w:t>
      </w:r>
      <w:r w:rsidRPr="3A93DC59">
        <w:rPr>
          <w:i/>
          <w:iCs/>
        </w:rPr>
        <w:t xml:space="preserve">Reporting </w:t>
      </w:r>
      <w:r w:rsidRPr="3A93DC59">
        <w:t xml:space="preserve">requires jurisdictions to submit their annual reports using </w:t>
      </w:r>
      <w:r w:rsidR="589E817D" w:rsidRPr="3A93DC59">
        <w:t xml:space="preserve">a </w:t>
      </w:r>
      <w:r w:rsidRPr="3A93DC59">
        <w:t xml:space="preserve">pro forma template or edited template to cover the same evidence and relevant issues. The table below outlines whether each state and territory correctly completed the pro forma required under the </w:t>
      </w:r>
      <w:r w:rsidRPr="3A93DC59">
        <w:rPr>
          <w:i/>
          <w:iCs/>
        </w:rPr>
        <w:t>Guidance to Reporting</w:t>
      </w:r>
      <w:r w:rsidRPr="3A93DC59">
        <w:t>.</w:t>
      </w:r>
    </w:p>
    <w:p w14:paraId="6EBA0968" w14:textId="5442B07C" w:rsidR="00BC4CEC" w:rsidRDefault="1C4A37EB" w:rsidP="3A93DC59">
      <w:pPr>
        <w:pStyle w:val="Caption"/>
        <w:rPr>
          <w:i/>
          <w:iCs/>
        </w:rPr>
      </w:pPr>
      <w:bookmarkStart w:id="271" w:name="_Toc200636984"/>
      <w:r w:rsidRPr="3A93DC59">
        <w:t xml:space="preserve">Table </w:t>
      </w:r>
      <w:r>
        <w:fldChar w:fldCharType="begin"/>
      </w:r>
      <w:r>
        <w:instrText xml:space="preserve"> SEQ Table \* ARABIC </w:instrText>
      </w:r>
      <w:r>
        <w:fldChar w:fldCharType="separate"/>
      </w:r>
      <w:r w:rsidR="00587C96">
        <w:rPr>
          <w:noProof/>
        </w:rPr>
        <w:t>2</w:t>
      </w:r>
      <w:r>
        <w:fldChar w:fldCharType="end"/>
      </w:r>
      <w:r w:rsidRPr="3A93DC59">
        <w:t xml:space="preserve">: Assessment of jurisdictions’ annual reports against the </w:t>
      </w:r>
      <w:r w:rsidRPr="3A93DC59">
        <w:rPr>
          <w:i/>
          <w:iCs/>
        </w:rPr>
        <w:t>Guidance to Reporting</w:t>
      </w:r>
      <w:bookmarkEnd w:id="271"/>
    </w:p>
    <w:tbl>
      <w:tblPr>
        <w:tblStyle w:val="TableGrid"/>
        <w:tblW w:w="5000" w:type="pct"/>
        <w:tblBorders>
          <w:bottom w:val="single" w:sz="4" w:space="0" w:color="auto"/>
          <w:insideH w:val="single" w:sz="4" w:space="0" w:color="auto"/>
        </w:tblBorders>
        <w:tblLook w:val="04A0" w:firstRow="1" w:lastRow="0" w:firstColumn="1" w:lastColumn="0" w:noHBand="0" w:noVBand="1"/>
      </w:tblPr>
      <w:tblGrid>
        <w:gridCol w:w="1216"/>
        <w:gridCol w:w="982"/>
        <w:gridCol w:w="982"/>
        <w:gridCol w:w="981"/>
        <w:gridCol w:w="981"/>
        <w:gridCol w:w="981"/>
        <w:gridCol w:w="981"/>
        <w:gridCol w:w="981"/>
        <w:gridCol w:w="985"/>
      </w:tblGrid>
      <w:tr w:rsidR="00BC4CEC" w:rsidRPr="0004342C" w14:paraId="60A87C6F" w14:textId="77777777" w:rsidTr="3A93DC59">
        <w:trPr>
          <w:cnfStyle w:val="100000000000" w:firstRow="1" w:lastRow="0" w:firstColumn="0" w:lastColumn="0" w:oddVBand="0" w:evenVBand="0" w:oddHBand="0" w:evenHBand="0" w:firstRowFirstColumn="0" w:firstRowLastColumn="0" w:lastRowFirstColumn="0" w:lastRowLastColumn="0"/>
        </w:trPr>
        <w:tc>
          <w:tcPr>
            <w:tcW w:w="670" w:type="pct"/>
            <w:shd w:val="clear" w:color="auto" w:fill="00355F"/>
          </w:tcPr>
          <w:p w14:paraId="7207C70D" w14:textId="77777777" w:rsidR="00BC4CEC" w:rsidRPr="0004342C" w:rsidRDefault="00BC4CEC">
            <w:pPr>
              <w:spacing w:line="276" w:lineRule="auto"/>
              <w:jc w:val="center"/>
              <w:rPr>
                <w:rFonts w:asciiTheme="minorHAnsi" w:eastAsia="Times New Roman" w:hAnsiTheme="minorHAnsi" w:cstheme="minorHAnsi"/>
                <w:sz w:val="22"/>
              </w:rPr>
            </w:pPr>
          </w:p>
        </w:tc>
        <w:tc>
          <w:tcPr>
            <w:tcW w:w="541" w:type="pct"/>
            <w:shd w:val="clear" w:color="auto" w:fill="00355F"/>
          </w:tcPr>
          <w:p w14:paraId="2F6C29B2" w14:textId="77777777" w:rsidR="00BC4CEC" w:rsidRPr="00411625" w:rsidRDefault="00BC4CEC">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ACT</w:t>
            </w:r>
          </w:p>
        </w:tc>
        <w:tc>
          <w:tcPr>
            <w:tcW w:w="541" w:type="pct"/>
            <w:shd w:val="clear" w:color="auto" w:fill="00355F"/>
          </w:tcPr>
          <w:p w14:paraId="638861C3" w14:textId="77777777" w:rsidR="00BC4CEC" w:rsidRPr="00411625" w:rsidRDefault="00BC4CEC">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NSW</w:t>
            </w:r>
          </w:p>
        </w:tc>
        <w:tc>
          <w:tcPr>
            <w:tcW w:w="541" w:type="pct"/>
            <w:shd w:val="clear" w:color="auto" w:fill="00355F"/>
          </w:tcPr>
          <w:p w14:paraId="021B565A" w14:textId="77777777" w:rsidR="00BC4CEC" w:rsidRPr="00411625" w:rsidRDefault="00BC4CEC">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NT</w:t>
            </w:r>
          </w:p>
        </w:tc>
        <w:tc>
          <w:tcPr>
            <w:tcW w:w="541" w:type="pct"/>
            <w:shd w:val="clear" w:color="auto" w:fill="00355F"/>
          </w:tcPr>
          <w:p w14:paraId="6DCC6C5F" w14:textId="77777777" w:rsidR="00BC4CEC" w:rsidRPr="00411625" w:rsidRDefault="00BC4CEC">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QLD</w:t>
            </w:r>
          </w:p>
        </w:tc>
        <w:tc>
          <w:tcPr>
            <w:tcW w:w="541" w:type="pct"/>
            <w:shd w:val="clear" w:color="auto" w:fill="00355F"/>
          </w:tcPr>
          <w:p w14:paraId="566662C3" w14:textId="77777777" w:rsidR="00BC4CEC" w:rsidRPr="00411625" w:rsidRDefault="00BC4CEC">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SA</w:t>
            </w:r>
          </w:p>
        </w:tc>
        <w:tc>
          <w:tcPr>
            <w:tcW w:w="541" w:type="pct"/>
            <w:shd w:val="clear" w:color="auto" w:fill="00355F"/>
          </w:tcPr>
          <w:p w14:paraId="30E7B320" w14:textId="77777777" w:rsidR="00BC4CEC" w:rsidRPr="00411625" w:rsidRDefault="00BC4CEC">
            <w:pPr>
              <w:spacing w:line="276" w:lineRule="auto"/>
              <w:jc w:val="center"/>
              <w:rPr>
                <w:rFonts w:asciiTheme="minorHAnsi" w:eastAsia="Times New Roman" w:hAnsiTheme="minorHAnsi" w:cstheme="minorHAnsi"/>
                <w:bCs/>
              </w:rPr>
            </w:pPr>
            <w:r w:rsidRPr="00411625">
              <w:rPr>
                <w:rFonts w:asciiTheme="minorHAnsi" w:eastAsia="Times New Roman" w:hAnsiTheme="minorHAnsi" w:cstheme="minorHAnsi"/>
                <w:bCs/>
                <w:sz w:val="22"/>
              </w:rPr>
              <w:t>TAS</w:t>
            </w:r>
          </w:p>
        </w:tc>
        <w:tc>
          <w:tcPr>
            <w:tcW w:w="541" w:type="pct"/>
            <w:shd w:val="clear" w:color="auto" w:fill="00355F"/>
          </w:tcPr>
          <w:p w14:paraId="43CF95C3" w14:textId="77777777" w:rsidR="00BC4CEC" w:rsidRPr="00411625" w:rsidRDefault="00BC4CEC">
            <w:pPr>
              <w:spacing w:line="276" w:lineRule="auto"/>
              <w:jc w:val="center"/>
              <w:rPr>
                <w:rFonts w:asciiTheme="minorHAnsi" w:eastAsia="Times New Roman" w:hAnsiTheme="minorHAnsi" w:cstheme="minorHAnsi"/>
                <w:b w:val="0"/>
                <w:bCs/>
                <w:sz w:val="22"/>
              </w:rPr>
            </w:pPr>
            <w:r w:rsidRPr="00411625">
              <w:rPr>
                <w:rFonts w:asciiTheme="minorHAnsi" w:eastAsia="Times New Roman" w:hAnsiTheme="minorHAnsi" w:cstheme="minorHAnsi"/>
                <w:bCs/>
                <w:sz w:val="22"/>
              </w:rPr>
              <w:t>VIC</w:t>
            </w:r>
          </w:p>
        </w:tc>
        <w:tc>
          <w:tcPr>
            <w:tcW w:w="541" w:type="pct"/>
            <w:shd w:val="clear" w:color="auto" w:fill="00355F"/>
          </w:tcPr>
          <w:p w14:paraId="0DB12A17" w14:textId="77777777" w:rsidR="00BC4CEC" w:rsidRPr="00411625" w:rsidRDefault="00BC4CEC">
            <w:pPr>
              <w:spacing w:line="276" w:lineRule="auto"/>
              <w:jc w:val="center"/>
              <w:rPr>
                <w:rFonts w:asciiTheme="minorHAnsi" w:eastAsia="Times New Roman" w:hAnsiTheme="minorHAnsi" w:cstheme="minorHAnsi"/>
                <w:b w:val="0"/>
                <w:bCs/>
                <w:sz w:val="22"/>
              </w:rPr>
            </w:pPr>
            <w:r w:rsidRPr="00411625">
              <w:rPr>
                <w:rFonts w:asciiTheme="minorHAnsi" w:eastAsia="Times New Roman" w:hAnsiTheme="minorHAnsi" w:cstheme="minorHAnsi"/>
                <w:bCs/>
                <w:sz w:val="22"/>
              </w:rPr>
              <w:t>WA</w:t>
            </w:r>
          </w:p>
        </w:tc>
      </w:tr>
      <w:tr w:rsidR="00BC4CEC" w:rsidRPr="00A87F51" w14:paraId="34659159" w14:textId="77777777" w:rsidTr="3A93DC59">
        <w:trPr>
          <w:cnfStyle w:val="000000100000" w:firstRow="0" w:lastRow="0" w:firstColumn="0" w:lastColumn="0" w:oddVBand="0" w:evenVBand="0" w:oddHBand="1" w:evenHBand="0" w:firstRowFirstColumn="0" w:firstRowLastColumn="0" w:lastRowFirstColumn="0" w:lastRowLastColumn="0"/>
          <w:trHeight w:val="1051"/>
        </w:trPr>
        <w:tc>
          <w:tcPr>
            <w:tcW w:w="670" w:type="pct"/>
            <w:shd w:val="clear" w:color="auto" w:fill="9BC2E6"/>
          </w:tcPr>
          <w:p w14:paraId="3ABAA47D" w14:textId="77777777" w:rsidR="00BC4CEC" w:rsidRPr="00A87F51" w:rsidRDefault="1C4A37EB" w:rsidP="3A93DC59">
            <w:pPr>
              <w:spacing w:before="0" w:after="0" w:line="276" w:lineRule="auto"/>
              <w:rPr>
                <w:rFonts w:asciiTheme="minorHAnsi" w:eastAsia="Times New Roman" w:hAnsiTheme="minorHAnsi"/>
              </w:rPr>
            </w:pPr>
            <w:r w:rsidRPr="3A93DC59">
              <w:rPr>
                <w:rFonts w:asciiTheme="minorHAnsi" w:eastAsia="Times New Roman" w:hAnsiTheme="minorHAnsi"/>
                <w:sz w:val="18"/>
                <w:szCs w:val="18"/>
              </w:rPr>
              <w:t>Pro forma completed by jurisdiction</w:t>
            </w:r>
          </w:p>
        </w:tc>
        <w:tc>
          <w:tcPr>
            <w:tcW w:w="541" w:type="pct"/>
            <w:shd w:val="clear" w:color="auto" w:fill="F2F2F2" w:themeFill="background1" w:themeFillShade="F2"/>
          </w:tcPr>
          <w:p w14:paraId="2545140C" w14:textId="77777777" w:rsidR="00BC4CEC" w:rsidRPr="00A87F51" w:rsidRDefault="00BC4CEC">
            <w:pPr>
              <w:spacing w:before="0" w:after="0" w:line="276" w:lineRule="auto"/>
              <w:jc w:val="center"/>
              <w:rPr>
                <w:rFonts w:ascii="Wingdings 2" w:eastAsia="Times New Roman" w:hAnsi="Wingdings 2" w:cs="Arial"/>
                <w:b/>
                <w:bCs/>
              </w:rPr>
            </w:pPr>
            <w:r w:rsidRPr="00A87F51">
              <w:rPr>
                <w:rFonts w:ascii="Wingdings 2" w:eastAsia="Times New Roman" w:hAnsi="Wingdings 2" w:cs="Arial"/>
                <w:b/>
                <w:bCs/>
              </w:rPr>
              <w:t>P</w:t>
            </w:r>
          </w:p>
        </w:tc>
        <w:tc>
          <w:tcPr>
            <w:tcW w:w="541" w:type="pct"/>
            <w:shd w:val="clear" w:color="auto" w:fill="F2F2F2" w:themeFill="background1" w:themeFillShade="F2"/>
          </w:tcPr>
          <w:p w14:paraId="661ED285" w14:textId="77777777" w:rsidR="00BC4CEC" w:rsidRPr="00A87F51" w:rsidRDefault="00BC4CEC">
            <w:pPr>
              <w:spacing w:before="0" w:after="0" w:line="276" w:lineRule="auto"/>
              <w:jc w:val="center"/>
              <w:rPr>
                <w:rFonts w:ascii="Wingdings 2" w:eastAsia="Times New Roman" w:hAnsi="Wingdings 2" w:cs="Arial"/>
                <w:b/>
                <w:bCs/>
              </w:rPr>
            </w:pPr>
            <w:r w:rsidRPr="00A87F51">
              <w:rPr>
                <w:rFonts w:ascii="Wingdings 2" w:eastAsia="Times New Roman" w:hAnsi="Wingdings 2" w:cs="Arial"/>
                <w:b/>
                <w:bCs/>
              </w:rPr>
              <w:t>P</w:t>
            </w:r>
          </w:p>
        </w:tc>
        <w:tc>
          <w:tcPr>
            <w:tcW w:w="541" w:type="pct"/>
            <w:shd w:val="clear" w:color="auto" w:fill="F2F2F2" w:themeFill="background1" w:themeFillShade="F2"/>
          </w:tcPr>
          <w:p w14:paraId="73246077" w14:textId="7935CFD3" w:rsidR="00BC4CEC" w:rsidRPr="00181BAE" w:rsidRDefault="00181BAE">
            <w:pPr>
              <w:spacing w:before="0" w:after="0" w:line="276" w:lineRule="auto"/>
              <w:jc w:val="center"/>
              <w:rPr>
                <w:rFonts w:asciiTheme="minorHAnsi" w:eastAsia="Times New Roman" w:hAnsiTheme="minorHAnsi" w:cstheme="minorHAnsi"/>
                <w:b/>
                <w:bCs/>
              </w:rPr>
            </w:pPr>
            <w:r>
              <w:rPr>
                <w:rFonts w:asciiTheme="minorHAnsi" w:eastAsia="Times New Roman" w:hAnsiTheme="minorHAnsi" w:cstheme="minorHAnsi"/>
                <w:b/>
                <w:bCs/>
              </w:rPr>
              <w:t>#</w:t>
            </w:r>
          </w:p>
        </w:tc>
        <w:tc>
          <w:tcPr>
            <w:tcW w:w="541" w:type="pct"/>
            <w:shd w:val="clear" w:color="auto" w:fill="F2F2F2" w:themeFill="background1" w:themeFillShade="F2"/>
          </w:tcPr>
          <w:p w14:paraId="5595A685" w14:textId="77777777" w:rsidR="00BC4CEC" w:rsidRPr="00A87F51" w:rsidRDefault="00BC4CEC">
            <w:pPr>
              <w:spacing w:before="0" w:after="0" w:line="276" w:lineRule="auto"/>
              <w:jc w:val="center"/>
              <w:rPr>
                <w:rFonts w:ascii="Wingdings 2" w:eastAsia="Times New Roman" w:hAnsi="Wingdings 2" w:cs="Arial"/>
                <w:b/>
                <w:bCs/>
              </w:rPr>
            </w:pPr>
            <w:r w:rsidRPr="00A87F51">
              <w:rPr>
                <w:rFonts w:ascii="Wingdings 2" w:eastAsia="Times New Roman" w:hAnsi="Wingdings 2" w:cs="Arial"/>
                <w:b/>
                <w:bCs/>
              </w:rPr>
              <w:t>P</w:t>
            </w:r>
          </w:p>
        </w:tc>
        <w:tc>
          <w:tcPr>
            <w:tcW w:w="541" w:type="pct"/>
            <w:shd w:val="clear" w:color="auto" w:fill="F2F2F2" w:themeFill="background1" w:themeFillShade="F2"/>
          </w:tcPr>
          <w:p w14:paraId="69222EBB" w14:textId="77777777" w:rsidR="00BC4CEC" w:rsidRPr="00A87F51" w:rsidRDefault="00BC4CEC">
            <w:pPr>
              <w:spacing w:before="0" w:after="0" w:line="276" w:lineRule="auto"/>
              <w:jc w:val="center"/>
              <w:rPr>
                <w:rFonts w:ascii="Wingdings 2" w:eastAsia="Times New Roman" w:hAnsi="Wingdings 2" w:cs="Arial"/>
                <w:b/>
                <w:bCs/>
              </w:rPr>
            </w:pPr>
            <w:r w:rsidRPr="00A87F51">
              <w:rPr>
                <w:rFonts w:ascii="Wingdings 2" w:eastAsia="Times New Roman" w:hAnsi="Wingdings 2" w:cs="Arial"/>
                <w:b/>
                <w:bCs/>
              </w:rPr>
              <w:t>P</w:t>
            </w:r>
          </w:p>
        </w:tc>
        <w:tc>
          <w:tcPr>
            <w:tcW w:w="541" w:type="pct"/>
            <w:shd w:val="clear" w:color="auto" w:fill="F2F2F2" w:themeFill="background1" w:themeFillShade="F2"/>
          </w:tcPr>
          <w:p w14:paraId="2603266B" w14:textId="33A2FC47" w:rsidR="00BC4CEC" w:rsidRPr="00181BAE" w:rsidRDefault="006E5B1D">
            <w:pPr>
              <w:spacing w:before="0" w:after="0" w:line="276" w:lineRule="auto"/>
              <w:jc w:val="center"/>
              <w:rPr>
                <w:rFonts w:asciiTheme="minorHAnsi" w:eastAsia="Times New Roman" w:hAnsiTheme="minorHAnsi" w:cstheme="minorHAnsi"/>
              </w:rPr>
            </w:pPr>
            <w:r w:rsidRPr="00A87F51">
              <w:rPr>
                <w:rFonts w:ascii="Wingdings 2" w:eastAsia="Times New Roman" w:hAnsi="Wingdings 2" w:cs="Arial"/>
                <w:b/>
                <w:bCs/>
              </w:rPr>
              <w:t>P</w:t>
            </w:r>
          </w:p>
        </w:tc>
        <w:tc>
          <w:tcPr>
            <w:tcW w:w="541" w:type="pct"/>
            <w:shd w:val="clear" w:color="auto" w:fill="F2F2F2" w:themeFill="background1" w:themeFillShade="F2"/>
          </w:tcPr>
          <w:p w14:paraId="61E5ACE3" w14:textId="77777777" w:rsidR="00BC4CEC" w:rsidRPr="00A87F51" w:rsidRDefault="00BC4CEC">
            <w:pPr>
              <w:spacing w:before="0" w:after="0" w:line="276" w:lineRule="auto"/>
              <w:jc w:val="center"/>
              <w:rPr>
                <w:rFonts w:asciiTheme="minorHAnsi" w:eastAsia="Times New Roman" w:hAnsiTheme="minorHAnsi" w:cstheme="minorHAnsi"/>
                <w:b/>
                <w:bCs/>
              </w:rPr>
            </w:pPr>
            <w:r w:rsidRPr="00A87F51">
              <w:rPr>
                <w:rFonts w:ascii="Wingdings 2" w:eastAsia="Times New Roman" w:hAnsi="Wingdings 2" w:cs="Arial"/>
                <w:b/>
                <w:bCs/>
              </w:rPr>
              <w:t>P</w:t>
            </w:r>
          </w:p>
        </w:tc>
        <w:tc>
          <w:tcPr>
            <w:tcW w:w="541" w:type="pct"/>
            <w:shd w:val="clear" w:color="auto" w:fill="F2F2F2" w:themeFill="background1" w:themeFillShade="F2"/>
          </w:tcPr>
          <w:p w14:paraId="43266E63" w14:textId="77777777" w:rsidR="00BC4CEC" w:rsidRPr="00A87F51" w:rsidRDefault="00BC4CEC">
            <w:pPr>
              <w:spacing w:before="0" w:after="0" w:line="276" w:lineRule="auto"/>
              <w:jc w:val="center"/>
              <w:rPr>
                <w:rFonts w:asciiTheme="minorHAnsi" w:eastAsia="Times New Roman" w:hAnsiTheme="minorHAnsi" w:cstheme="minorHAnsi"/>
                <w:b/>
                <w:bCs/>
              </w:rPr>
            </w:pPr>
            <w:r w:rsidRPr="00A87F51">
              <w:rPr>
                <w:rFonts w:ascii="Wingdings 2" w:eastAsia="Times New Roman" w:hAnsi="Wingdings 2" w:cs="Arial"/>
                <w:b/>
                <w:bCs/>
              </w:rPr>
              <w:t>P</w:t>
            </w:r>
          </w:p>
        </w:tc>
      </w:tr>
      <w:tr w:rsidR="00E06A5E" w:rsidRPr="00A87F51" w14:paraId="2DF2065E" w14:textId="77777777" w:rsidTr="006E5B1D">
        <w:trPr>
          <w:trHeight w:val="604"/>
        </w:trPr>
        <w:tc>
          <w:tcPr>
            <w:tcW w:w="5000" w:type="pct"/>
            <w:gridSpan w:val="9"/>
            <w:shd w:val="clear" w:color="auto" w:fill="E7E6E6" w:themeFill="background2"/>
            <w:vAlign w:val="top"/>
          </w:tcPr>
          <w:p w14:paraId="6E00C0D1" w14:textId="3CD5DE91" w:rsidR="00E06A5E" w:rsidRPr="00A87F51" w:rsidRDefault="00595403" w:rsidP="3A93DC59">
            <w:pPr>
              <w:rPr>
                <w:rFonts w:ascii="Wingdings 2" w:eastAsia="Times New Roman" w:hAnsi="Wingdings 2" w:cs="Arial"/>
                <w:b/>
                <w:bCs/>
              </w:rPr>
            </w:pPr>
            <w:r w:rsidRPr="3A93DC59">
              <w:t xml:space="preserve"># </w:t>
            </w:r>
            <w:r w:rsidRPr="3A93DC59">
              <w:rPr>
                <w:rFonts w:asciiTheme="minorHAnsi" w:eastAsia="Times New Roman" w:hAnsiTheme="minorHAnsi"/>
              </w:rPr>
              <w:t>NT submitted</w:t>
            </w:r>
            <w:r w:rsidR="00826856">
              <w:rPr>
                <w:rFonts w:asciiTheme="minorHAnsi" w:eastAsia="Times New Roman" w:hAnsiTheme="minorHAnsi"/>
              </w:rPr>
              <w:t xml:space="preserve"> its</w:t>
            </w:r>
            <w:r w:rsidRPr="3A93DC59">
              <w:rPr>
                <w:rFonts w:asciiTheme="minorHAnsi" w:eastAsia="Times New Roman" w:hAnsiTheme="minorHAnsi"/>
              </w:rPr>
              <w:t xml:space="preserve"> annual report where Table 2.1 was not completed</w:t>
            </w:r>
          </w:p>
        </w:tc>
      </w:tr>
    </w:tbl>
    <w:p w14:paraId="1861C8BF" w14:textId="77777777" w:rsidR="00D630B6" w:rsidRDefault="1C4A37EB" w:rsidP="421ADA8C">
      <w:r w:rsidRPr="3A93DC59">
        <w:t xml:space="preserve">The Board observes that all jurisdictions used the pro forma template to complete their annual report and provided information to the Board consistent with the reporting guidelines. </w:t>
      </w:r>
    </w:p>
    <w:p w14:paraId="121AE145" w14:textId="46D20AAA" w:rsidR="00BC4CEC" w:rsidRDefault="5C2933D7" w:rsidP="00BC4CEC">
      <w:r w:rsidRPr="3A93DC59">
        <w:t>Seven</w:t>
      </w:r>
      <w:r w:rsidR="76F67C3E" w:rsidRPr="3A93DC59">
        <w:t xml:space="preserve"> </w:t>
      </w:r>
      <w:r w:rsidR="1C4A37EB" w:rsidRPr="3A93DC59">
        <w:t xml:space="preserve">out of 8 jurisdictions provided complete lists of data sources with their annual reports. The Northern Territory did not </w:t>
      </w:r>
      <w:r w:rsidR="00674F1B" w:rsidRPr="3A93DC59">
        <w:t xml:space="preserve">initially </w:t>
      </w:r>
      <w:r w:rsidR="1C4A37EB" w:rsidRPr="3A93DC59">
        <w:t>provide a complete list of the ‘Table 2.1 - Certification of funding types’ in its annual report,</w:t>
      </w:r>
      <w:r w:rsidR="5B722670" w:rsidRPr="3A93DC59">
        <w:t xml:space="preserve"> as the</w:t>
      </w:r>
      <w:r w:rsidR="1C4A37EB" w:rsidRPr="3A93DC59">
        <w:t xml:space="preserve"> non-government section </w:t>
      </w:r>
      <w:r w:rsidR="5B722670" w:rsidRPr="3A93DC59">
        <w:t xml:space="preserve">was </w:t>
      </w:r>
      <w:r w:rsidR="1C4A37EB" w:rsidRPr="3A93DC59">
        <w:t>not included in the list.</w:t>
      </w:r>
      <w:r w:rsidR="00E46AEA" w:rsidRPr="3A93DC59">
        <w:t xml:space="preserve"> </w:t>
      </w:r>
    </w:p>
    <w:p w14:paraId="2C40E225" w14:textId="1E18C4E8" w:rsidR="00BC4CEC" w:rsidRDefault="1C4A37EB" w:rsidP="0FA5145A">
      <w:pPr>
        <w:rPr>
          <w:lang w:eastAsia="en-AU"/>
        </w:rPr>
      </w:pPr>
      <w:r w:rsidRPr="0FA5145A">
        <w:rPr>
          <w:lang w:eastAsia="en-AU"/>
        </w:rPr>
        <w:lastRenderedPageBreak/>
        <w:t>The Board,</w:t>
      </w:r>
      <w:r>
        <w:t xml:space="preserve"> through the </w:t>
      </w:r>
      <w:r w:rsidR="00DC7692">
        <w:t>Australian Government D</w:t>
      </w:r>
      <w:r>
        <w:t>epartment</w:t>
      </w:r>
      <w:r w:rsidR="00DC7692">
        <w:t xml:space="preserve"> of Education</w:t>
      </w:r>
      <w:r>
        <w:t xml:space="preserve">, requested further information from </w:t>
      </w:r>
      <w:r w:rsidR="00674F1B">
        <w:t>the Northern Territory</w:t>
      </w:r>
      <w:r w:rsidR="00674F1B" w:rsidRPr="0FA5145A">
        <w:rPr>
          <w:lang w:eastAsia="en-AU"/>
        </w:rPr>
        <w:t xml:space="preserve"> </w:t>
      </w:r>
      <w:r>
        <w:t xml:space="preserve">to ensure that all reporting requirements were met. </w:t>
      </w:r>
    </w:p>
    <w:p w14:paraId="770063E9" w14:textId="676C6F82" w:rsidR="00BC4CEC" w:rsidRDefault="39214F36" w:rsidP="421ADA8C">
      <w:r w:rsidRPr="3A93DC59">
        <w:t>T</w:t>
      </w:r>
      <w:r w:rsidR="1C4A37EB" w:rsidRPr="3A93DC59">
        <w:t>he Board found that all data sources used by all jurisdictions to calculate contributions for both the government and non-government sectors were certified by their independent assurer as part of the compliance engagement.</w:t>
      </w:r>
    </w:p>
    <w:tbl>
      <w:tblPr>
        <w:tblStyle w:val="PullOutBox22"/>
        <w:tblpPr w:leftFromText="180" w:rightFromText="180" w:vertAnchor="text" w:horzAnchor="margin" w:tblpY="31"/>
        <w:tblW w:w="0" w:type="auto"/>
        <w:tblLook w:val="04A0" w:firstRow="1" w:lastRow="0" w:firstColumn="1" w:lastColumn="0" w:noHBand="0" w:noVBand="1"/>
      </w:tblPr>
      <w:tblGrid>
        <w:gridCol w:w="9054"/>
      </w:tblGrid>
      <w:tr w:rsidR="00611542" w:rsidRPr="00484A44" w14:paraId="2BB035A4" w14:textId="77777777" w:rsidTr="0695D954">
        <w:trPr>
          <w:tblHeader/>
        </w:trPr>
        <w:tc>
          <w:tcPr>
            <w:tcW w:w="9054" w:type="dxa"/>
          </w:tcPr>
          <w:p w14:paraId="5C4FE221" w14:textId="77777777" w:rsidR="00611542" w:rsidRPr="0059363E" w:rsidRDefault="43E72DE2">
            <w:pPr>
              <w:pStyle w:val="BoxHeading-Box"/>
              <w:framePr w:hSpace="0" w:wrap="auto" w:vAnchor="margin" w:hAnchor="text" w:yAlign="inline"/>
            </w:pPr>
            <w:r>
              <w:t>Finding 2</w:t>
            </w:r>
          </w:p>
          <w:p w14:paraId="7FA302D2" w14:textId="574EED7A" w:rsidR="00611542" w:rsidRPr="00037F41" w:rsidRDefault="7D23A224" w:rsidP="00AE68DF">
            <w:r>
              <w:t xml:space="preserve">All states and territories </w:t>
            </w:r>
            <w:r w:rsidRPr="0695D954">
              <w:rPr>
                <w:rFonts w:cs="Calibri"/>
              </w:rPr>
              <w:t xml:space="preserve">provided </w:t>
            </w:r>
            <w:r>
              <w:t xml:space="preserve">annual reports within the </w:t>
            </w:r>
            <w:r w:rsidR="008954CC">
              <w:t>Australian Government Department of Education’s</w:t>
            </w:r>
            <w:r>
              <w:t xml:space="preserve"> current </w:t>
            </w:r>
            <w:r w:rsidRPr="00674F1B">
              <w:rPr>
                <w:i/>
                <w:iCs/>
              </w:rPr>
              <w:t>Guidance to Reporting</w:t>
            </w:r>
            <w:r>
              <w:t>.</w:t>
            </w:r>
          </w:p>
        </w:tc>
      </w:tr>
    </w:tbl>
    <w:p w14:paraId="0577E569" w14:textId="3412DCAB" w:rsidR="000A16B0" w:rsidRPr="00611542" w:rsidRDefault="000A16B0">
      <w:pPr>
        <w:spacing w:before="0" w:after="160"/>
        <w:rPr>
          <w:highlight w:val="yellow"/>
        </w:rPr>
      </w:pPr>
      <w:bookmarkStart w:id="272" w:name="_Toc188365400"/>
      <w:bookmarkStart w:id="273" w:name="_Toc188365475"/>
      <w:bookmarkStart w:id="274" w:name="_Toc188365401"/>
      <w:bookmarkStart w:id="275" w:name="_Toc188365476"/>
      <w:bookmarkStart w:id="276" w:name="_Toc188365402"/>
      <w:bookmarkStart w:id="277" w:name="_Toc188365477"/>
      <w:bookmarkStart w:id="278" w:name="_Toc188365403"/>
      <w:bookmarkStart w:id="279" w:name="_Toc188365478"/>
      <w:bookmarkStart w:id="280" w:name="_Toc188365404"/>
      <w:bookmarkStart w:id="281" w:name="_Toc188365479"/>
      <w:bookmarkStart w:id="282" w:name="_Toc188365405"/>
      <w:bookmarkStart w:id="283" w:name="_Toc188365480"/>
      <w:bookmarkStart w:id="284" w:name="_Toc188365406"/>
      <w:bookmarkStart w:id="285" w:name="_Toc188365481"/>
      <w:bookmarkStart w:id="286" w:name="_Toc188365407"/>
      <w:bookmarkStart w:id="287" w:name="_Toc188365482"/>
      <w:bookmarkStart w:id="288" w:name="_Toc73456112"/>
      <w:bookmarkStart w:id="289" w:name="_Toc188365408"/>
      <w:bookmarkStart w:id="290" w:name="_Toc188365483"/>
      <w:bookmarkStart w:id="291" w:name="_Toc188365409"/>
      <w:bookmarkStart w:id="292" w:name="_Toc188365484"/>
      <w:bookmarkStart w:id="293" w:name="_Toc188365410"/>
      <w:bookmarkStart w:id="294" w:name="_Toc188365485"/>
      <w:bookmarkStart w:id="295" w:name="_Toc188365411"/>
      <w:bookmarkStart w:id="296" w:name="_Toc188365486"/>
      <w:bookmarkStart w:id="297" w:name="_Toc37253828"/>
      <w:bookmarkStart w:id="298" w:name="_Toc160180114"/>
      <w:bookmarkEnd w:id="265"/>
      <w:bookmarkEnd w:id="266"/>
      <w:bookmarkEnd w:id="267"/>
      <w:bookmarkEnd w:id="268"/>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br w:type="page"/>
      </w:r>
    </w:p>
    <w:p w14:paraId="16D3CFE8" w14:textId="77777777" w:rsidR="001675C2" w:rsidRDefault="001675C2" w:rsidP="001675C2">
      <w:pPr>
        <w:pStyle w:val="Heading1-Numbered"/>
      </w:pPr>
      <w:bookmarkStart w:id="299" w:name="_Toc210815600"/>
      <w:r>
        <w:lastRenderedPageBreak/>
        <w:t>Assurance</w:t>
      </w:r>
      <w:bookmarkEnd w:id="299"/>
    </w:p>
    <w:p w14:paraId="56DBA80F" w14:textId="50BFF2E2" w:rsidR="001675C2" w:rsidRPr="00767A1C" w:rsidRDefault="318849F8" w:rsidP="421ADA8C">
      <w:r w:rsidRPr="3A93DC59">
        <w:t xml:space="preserve">The department updated the </w:t>
      </w:r>
      <w:r w:rsidRPr="3A93DC59">
        <w:rPr>
          <w:rStyle w:val="Emphasis"/>
        </w:rPr>
        <w:t>Guidance to Reporting</w:t>
      </w:r>
      <w:r w:rsidRPr="3A93DC59">
        <w:t xml:space="preserve"> following the Board’s report for the 2018 funding year to require states and territories to provide ‘evidence that the amount has been certified and is consistent with the agreed methodology as set out in the bilateral agreement through a reasonable assurance engagement in line with the Australian Auditing and Assurance Standards.</w:t>
      </w:r>
    </w:p>
    <w:p w14:paraId="43CB2ACE" w14:textId="77777777" w:rsidR="001675C2" w:rsidRPr="00191E67" w:rsidRDefault="318849F8" w:rsidP="421ADA8C">
      <w:r w:rsidRPr="3A93DC59">
        <w:t xml:space="preserve">In this context, the term ‘reasonable assurance’ has a specific meaning. According to the Auditing and Assurance Standards Board (AUASB), reasonable assurance </w:t>
      </w:r>
      <w:r w:rsidRPr="3A93DC59" w:rsidDel="0067682B">
        <w:t xml:space="preserve">means </w:t>
      </w:r>
      <w:r w:rsidRPr="3A93DC59">
        <w:t xml:space="preserve">a high, but not absolute, level of assurance. Compliance with AUASB standards such as </w:t>
      </w:r>
      <w:r w:rsidRPr="3A93DC59">
        <w:rPr>
          <w:i/>
          <w:iCs/>
        </w:rPr>
        <w:t>Standard on Assurance Engagements ASAE</w:t>
      </w:r>
      <w:r w:rsidRPr="3A93DC59">
        <w:t xml:space="preserve"> 3100 </w:t>
      </w:r>
      <w:r w:rsidRPr="3A93DC59">
        <w:rPr>
          <w:i/>
          <w:iCs/>
        </w:rPr>
        <w:t>Compliance Engagements</w:t>
      </w:r>
      <w:r w:rsidRPr="3A93DC59">
        <w:t xml:space="preserve"> (ASAE 3100), also carries a range of detailed obligations addressing issues such as evidence, ethics, independence and quality control.</w:t>
      </w:r>
      <w:r w:rsidR="001675C2" w:rsidRPr="3A93DC59">
        <w:rPr>
          <w:rStyle w:val="FootnoteReference"/>
        </w:rPr>
        <w:footnoteReference w:id="7"/>
      </w:r>
      <w:r w:rsidRPr="3A93DC59">
        <w:t xml:space="preserve"> </w:t>
      </w:r>
    </w:p>
    <w:p w14:paraId="6435F521" w14:textId="77777777" w:rsidR="001675C2" w:rsidRDefault="001675C2" w:rsidP="001675C2">
      <w:r w:rsidRPr="003A0AEA">
        <w:t xml:space="preserve">The Board’s assessment is that all the states and territories completed the required assurance process for the 2023 funding year by engaging an independent auditor to undertake a ‘reasonable assurance engagement’. </w:t>
      </w:r>
    </w:p>
    <w:p w14:paraId="0509DA18" w14:textId="77777777" w:rsidR="001675C2" w:rsidRDefault="318849F8" w:rsidP="421ADA8C">
      <w:r w:rsidRPr="3A93DC59">
        <w:t xml:space="preserve">All jurisdictions engaged independent qualified accountants to complete reviews under the requirements in </w:t>
      </w:r>
      <w:r w:rsidRPr="3A93DC59">
        <w:rPr>
          <w:i/>
          <w:iCs/>
        </w:rPr>
        <w:t>ASAE 3100</w:t>
      </w:r>
      <w:r w:rsidRPr="3A93DC59">
        <w:t xml:space="preserve">. Each state and territory received a certification from the independent assurer that they provided to the department with their annual report. All reports and certifications provided by the independent assurers met the requirements of </w:t>
      </w:r>
      <w:r w:rsidRPr="3A93DC59">
        <w:rPr>
          <w:i/>
          <w:iCs/>
        </w:rPr>
        <w:t>ASAE 3100</w:t>
      </w:r>
      <w:r w:rsidRPr="3A93DC59">
        <w:t xml:space="preserve">. </w:t>
      </w:r>
    </w:p>
    <w:p w14:paraId="3B9A19FA" w14:textId="77777777" w:rsidR="001675C2" w:rsidRDefault="318849F8" w:rsidP="421ADA8C">
      <w:r w:rsidRPr="3A93DC59">
        <w:t>This is the fourth year in which all jurisdictions have met this revised assurance requirement, providing the Board with a consistent and high level of assurance to support its consideration of compliance.</w:t>
      </w:r>
    </w:p>
    <w:tbl>
      <w:tblPr>
        <w:tblStyle w:val="PullOutBox22"/>
        <w:tblpPr w:leftFromText="180" w:rightFromText="180" w:vertAnchor="text" w:horzAnchor="margin" w:tblpY="74"/>
        <w:tblW w:w="0" w:type="auto"/>
        <w:tblLook w:val="04A0" w:firstRow="1" w:lastRow="0" w:firstColumn="1" w:lastColumn="0" w:noHBand="0" w:noVBand="1"/>
      </w:tblPr>
      <w:tblGrid>
        <w:gridCol w:w="9054"/>
      </w:tblGrid>
      <w:tr w:rsidR="001675C2" w:rsidRPr="00E2031A" w14:paraId="54A687B6" w14:textId="77777777" w:rsidTr="3A93DC59">
        <w:trPr>
          <w:trHeight w:val="1320"/>
          <w:tblHeader/>
        </w:trPr>
        <w:tc>
          <w:tcPr>
            <w:tcW w:w="9054" w:type="dxa"/>
          </w:tcPr>
          <w:p w14:paraId="21E34FA2" w14:textId="235F3B81" w:rsidR="001675C2" w:rsidRPr="00E2031A" w:rsidRDefault="001675C2">
            <w:pPr>
              <w:pStyle w:val="BoxHeading-Finding"/>
              <w:framePr w:hSpace="0" w:wrap="auto" w:vAnchor="margin" w:hAnchor="text" w:yAlign="inline"/>
            </w:pPr>
            <w:r w:rsidRPr="00E2031A">
              <w:t xml:space="preserve">Finding </w:t>
            </w:r>
            <w:r w:rsidR="00CC229B">
              <w:t>3</w:t>
            </w:r>
          </w:p>
          <w:p w14:paraId="2872BC17" w14:textId="588662F3" w:rsidR="001675C2" w:rsidRPr="00CC229B" w:rsidRDefault="3DF15C01" w:rsidP="421ADA8C">
            <w:r w:rsidRPr="3A93DC59">
              <w:t>All jurisdictions have completed the required</w:t>
            </w:r>
            <w:r w:rsidR="78AEB620" w:rsidRPr="3A93DC59">
              <w:t xml:space="preserve"> reasonable</w:t>
            </w:r>
            <w:r w:rsidRPr="3A93DC59">
              <w:t xml:space="preserve"> assurance processes by engaging an independent auditor to complete their compliance engagement under the </w:t>
            </w:r>
            <w:r w:rsidRPr="3A93DC59">
              <w:rPr>
                <w:i/>
                <w:iCs/>
              </w:rPr>
              <w:t>Standard on Assurance Engagements ASAE 3100 Compliance Engagements</w:t>
            </w:r>
            <w:r w:rsidRPr="3A93DC59">
              <w:t xml:space="preserve"> in accordance with</w:t>
            </w:r>
            <w:r w:rsidR="24EAC03A" w:rsidRPr="3A93DC59">
              <w:t xml:space="preserve"> the</w:t>
            </w:r>
            <w:r w:rsidRPr="3A93DC59">
              <w:t xml:space="preserve"> </w:t>
            </w:r>
            <w:r w:rsidRPr="3A93DC59">
              <w:rPr>
                <w:i/>
                <w:iCs/>
              </w:rPr>
              <w:t>Guidance to Reporting</w:t>
            </w:r>
            <w:r w:rsidRPr="3A93DC59">
              <w:t>.</w:t>
            </w:r>
          </w:p>
        </w:tc>
      </w:tr>
    </w:tbl>
    <w:p w14:paraId="0DC9F630" w14:textId="77777777" w:rsidR="001675C2" w:rsidRPr="00D453F7" w:rsidRDefault="001675C2" w:rsidP="001675C2">
      <w:r>
        <w:br w:type="page"/>
      </w:r>
    </w:p>
    <w:p w14:paraId="1D6F3AF6" w14:textId="77777777" w:rsidR="00CE227B" w:rsidRDefault="004D6528" w:rsidP="004D6528">
      <w:pPr>
        <w:pStyle w:val="Heading1-Numbered"/>
      </w:pPr>
      <w:bookmarkStart w:id="300" w:name="_Toc210815601"/>
      <w:r>
        <w:lastRenderedPageBreak/>
        <w:t>Funding compliance</w:t>
      </w:r>
      <w:bookmarkEnd w:id="297"/>
      <w:bookmarkEnd w:id="298"/>
      <w:bookmarkEnd w:id="300"/>
    </w:p>
    <w:p w14:paraId="5967FCCE" w14:textId="42E4CDDB" w:rsidR="001A55BA" w:rsidRDefault="16A866ED" w:rsidP="421ADA8C">
      <w:r w:rsidRPr="3A93DC59">
        <w:t>T</w:t>
      </w:r>
      <w:r w:rsidR="2E481731" w:rsidRPr="3A93DC59">
        <w:t>he department</w:t>
      </w:r>
      <w:r w:rsidR="57495BE7" w:rsidRPr="3A93DC59">
        <w:t>’</w:t>
      </w:r>
      <w:r w:rsidR="78EEA16C" w:rsidRPr="3A93DC59">
        <w:t xml:space="preserve">s </w:t>
      </w:r>
      <w:r w:rsidR="78EEA16C" w:rsidRPr="3A93DC59">
        <w:rPr>
          <w:i/>
          <w:iCs/>
        </w:rPr>
        <w:t>Guidance to Reporting</w:t>
      </w:r>
      <w:r w:rsidR="64BBE458" w:rsidRPr="3A93DC59">
        <w:t xml:space="preserve"> </w:t>
      </w:r>
      <w:r w:rsidR="2EA1F169" w:rsidRPr="3A93DC59">
        <w:t xml:space="preserve">requires </w:t>
      </w:r>
      <w:r w:rsidR="1053E359" w:rsidRPr="3A93DC59">
        <w:t>jurisdictions use</w:t>
      </w:r>
      <w:r w:rsidR="1175E191" w:rsidRPr="3A93DC59">
        <w:t xml:space="preserve"> </w:t>
      </w:r>
      <w:r w:rsidR="5F677302" w:rsidRPr="3A93DC59">
        <w:t xml:space="preserve">a prescribed </w:t>
      </w:r>
      <w:r w:rsidR="1175E191" w:rsidRPr="3A93DC59">
        <w:t xml:space="preserve">base methodology for </w:t>
      </w:r>
      <w:r w:rsidR="74466664" w:rsidRPr="3A93DC59">
        <w:t xml:space="preserve">measuring recurrent expenditure in </w:t>
      </w:r>
      <w:r w:rsidR="5F677302" w:rsidRPr="3A93DC59">
        <w:t>calculating their</w:t>
      </w:r>
      <w:r w:rsidR="26877FDD" w:rsidRPr="3A93DC59">
        <w:t xml:space="preserve"> </w:t>
      </w:r>
      <w:r w:rsidR="21B3D4F2" w:rsidRPr="3A93DC59">
        <w:t>funding</w:t>
      </w:r>
      <w:r w:rsidR="20C31093" w:rsidRPr="3A93DC59">
        <w:t xml:space="preserve"> </w:t>
      </w:r>
      <w:r w:rsidR="1175E191" w:rsidRPr="3A93DC59">
        <w:t>contributions</w:t>
      </w:r>
      <w:r w:rsidR="41F942FF" w:rsidRPr="3A93DC59">
        <w:t>.</w:t>
      </w:r>
    </w:p>
    <w:p w14:paraId="055A5B15" w14:textId="2DBB1C26" w:rsidR="001A55BA" w:rsidRDefault="78EEA16C" w:rsidP="421ADA8C">
      <w:r w:rsidRPr="3A93DC59">
        <w:t>The base methodology used for measuring state and territory contributions is the adjusted Net</w:t>
      </w:r>
      <w:r w:rsidR="033B4166" w:rsidRPr="3A93DC59">
        <w:t> </w:t>
      </w:r>
      <w:r w:rsidRPr="3A93DC59">
        <w:t>Recurrent Income per Student (NRIPS) component of the ACARA financial data reporting methodology. It is important to note that under the bilateral agreements</w:t>
      </w:r>
      <w:r w:rsidR="02EB4B2D" w:rsidRPr="3A93DC59">
        <w:t>,</w:t>
      </w:r>
      <w:r w:rsidRPr="3A93DC59">
        <w:t xml:space="preserve"> certain other expenditure types (additional expenditure) can be included as part of a state or territory’s funding contribution in addition to NRIPS. The table</w:t>
      </w:r>
      <w:r w:rsidR="000C579C">
        <w:t>s</w:t>
      </w:r>
      <w:r w:rsidRPr="3A93DC59">
        <w:t xml:space="preserve"> in </w:t>
      </w:r>
      <w:r w:rsidR="00A9705D">
        <w:rPr>
          <w:u w:val="single"/>
        </w:rPr>
        <w:fldChar w:fldCharType="begin"/>
      </w:r>
      <w:r w:rsidR="00A9705D">
        <w:instrText xml:space="preserve"> REF _Ref190334274 \h </w:instrText>
      </w:r>
      <w:r w:rsidR="00E56981">
        <w:rPr>
          <w:u w:val="single"/>
        </w:rPr>
        <w:instrText xml:space="preserve"> \* MERGEFORMAT </w:instrText>
      </w:r>
      <w:r w:rsidR="00A9705D">
        <w:rPr>
          <w:u w:val="single"/>
        </w:rPr>
      </w:r>
      <w:r w:rsidR="00A9705D">
        <w:rPr>
          <w:u w:val="single"/>
        </w:rPr>
        <w:fldChar w:fldCharType="separate"/>
      </w:r>
      <w:r w:rsidR="00587C96" w:rsidRPr="3A93DC59">
        <w:t>Appendix E – Jurisdictions’ reporting</w:t>
      </w:r>
      <w:r w:rsidR="00A9705D">
        <w:rPr>
          <w:u w:val="single"/>
        </w:rPr>
        <w:fldChar w:fldCharType="end"/>
      </w:r>
      <w:r w:rsidRPr="3A93DC59">
        <w:t xml:space="preserve"> provide </w:t>
      </w:r>
      <w:r w:rsidR="4D7B7AE9" w:rsidRPr="3A93DC59">
        <w:t>further information on</w:t>
      </w:r>
      <w:r w:rsidRPr="3A93DC59">
        <w:t xml:space="preserve"> agreed inclusions in bilateral agreements with states and territories.</w:t>
      </w:r>
    </w:p>
    <w:p w14:paraId="4297B5B9" w14:textId="68B0543D" w:rsidR="001A55BA" w:rsidRDefault="78EEA16C" w:rsidP="421ADA8C">
      <w:r w:rsidRPr="3A93DC59">
        <w:t xml:space="preserve">For each expenditure item included in bilateral agreements, </w:t>
      </w:r>
      <w:r w:rsidR="00A929EB">
        <w:t>each</w:t>
      </w:r>
      <w:r w:rsidR="002C4859">
        <w:t xml:space="preserve"> </w:t>
      </w:r>
      <w:r w:rsidRPr="3A93DC59">
        <w:t>state and territory should include evidence that the amount has been certified and is consistent with the agreed methodology as set out in the bilateral agreement through a reasonable assurance engagement in line with the Australian Auditing and Assurance Standards</w:t>
      </w:r>
      <w:r w:rsidR="09698300" w:rsidRPr="3A93DC59">
        <w:t>.</w:t>
      </w:r>
    </w:p>
    <w:p w14:paraId="591788C6" w14:textId="33B64702" w:rsidR="004D6528" w:rsidRPr="00484A44" w:rsidRDefault="3B89BBB7" w:rsidP="522447BD">
      <w:pPr>
        <w:pStyle w:val="Heading2-Numbered"/>
        <w:ind w:left="540"/>
      </w:pPr>
      <w:bookmarkStart w:id="301" w:name="_Toc188365416"/>
      <w:bookmarkStart w:id="302" w:name="_Toc188365417"/>
      <w:bookmarkStart w:id="303" w:name="_Toc188365418"/>
      <w:bookmarkStart w:id="304" w:name="_Toc97561907"/>
      <w:bookmarkStart w:id="305" w:name="_Toc97799710"/>
      <w:bookmarkStart w:id="306" w:name="_Toc37145649"/>
      <w:bookmarkStart w:id="307" w:name="_Toc37148173"/>
      <w:bookmarkStart w:id="308" w:name="_Toc37148975"/>
      <w:bookmarkStart w:id="309" w:name="_Toc37145650"/>
      <w:bookmarkStart w:id="310" w:name="_Toc37148174"/>
      <w:bookmarkStart w:id="311" w:name="_Toc37148976"/>
      <w:bookmarkStart w:id="312" w:name="_Toc37145651"/>
      <w:bookmarkStart w:id="313" w:name="_Toc37148175"/>
      <w:bookmarkStart w:id="314" w:name="_Toc37148977"/>
      <w:bookmarkStart w:id="315" w:name="_Toc37145652"/>
      <w:bookmarkStart w:id="316" w:name="_Toc37148176"/>
      <w:bookmarkStart w:id="317" w:name="_Toc37148978"/>
      <w:bookmarkStart w:id="318" w:name="_Toc37145653"/>
      <w:bookmarkStart w:id="319" w:name="_Toc37148177"/>
      <w:bookmarkStart w:id="320" w:name="_Toc37148979"/>
      <w:bookmarkStart w:id="321" w:name="_Toc37145654"/>
      <w:bookmarkStart w:id="322" w:name="_Toc37148178"/>
      <w:bookmarkStart w:id="323" w:name="_Toc37148980"/>
      <w:bookmarkStart w:id="324" w:name="_Toc37145655"/>
      <w:bookmarkStart w:id="325" w:name="_Toc37148179"/>
      <w:bookmarkStart w:id="326" w:name="_Toc37148981"/>
      <w:bookmarkStart w:id="327" w:name="_Toc37145656"/>
      <w:bookmarkStart w:id="328" w:name="_Toc37148180"/>
      <w:bookmarkStart w:id="329" w:name="_Toc37148982"/>
      <w:bookmarkStart w:id="330" w:name="_Toc37145657"/>
      <w:bookmarkStart w:id="331" w:name="_Toc37148181"/>
      <w:bookmarkStart w:id="332" w:name="_Toc37148983"/>
      <w:bookmarkStart w:id="333" w:name="_Toc37145658"/>
      <w:bookmarkStart w:id="334" w:name="_Toc37148182"/>
      <w:bookmarkStart w:id="335" w:name="_Toc37148984"/>
      <w:bookmarkStart w:id="336" w:name="_Toc37145659"/>
      <w:bookmarkStart w:id="337" w:name="_Toc37148183"/>
      <w:bookmarkStart w:id="338" w:name="_Toc37148985"/>
      <w:bookmarkStart w:id="339" w:name="_Toc37145660"/>
      <w:bookmarkStart w:id="340" w:name="_Toc37148184"/>
      <w:bookmarkStart w:id="341" w:name="_Toc37148986"/>
      <w:bookmarkStart w:id="342" w:name="_Toc37145661"/>
      <w:bookmarkStart w:id="343" w:name="_Toc37148185"/>
      <w:bookmarkStart w:id="344" w:name="_Toc37148987"/>
      <w:bookmarkStart w:id="345" w:name="_Toc37253830"/>
      <w:bookmarkStart w:id="346" w:name="_Toc106953815"/>
      <w:bookmarkStart w:id="347" w:name="_Toc123647062"/>
      <w:bookmarkStart w:id="348" w:name="_Toc127451661"/>
      <w:bookmarkStart w:id="349" w:name="_Toc130204912"/>
      <w:bookmarkStart w:id="350" w:name="_Toc158614552"/>
      <w:bookmarkStart w:id="351" w:name="_Toc158614653"/>
      <w:bookmarkStart w:id="352" w:name="_Toc159485613"/>
      <w:bookmarkStart w:id="353" w:name="_Toc159581874"/>
      <w:bookmarkStart w:id="354" w:name="_Toc159597864"/>
      <w:bookmarkStart w:id="355" w:name="_Toc160180116"/>
      <w:bookmarkStart w:id="356" w:name="_Toc160180316"/>
      <w:bookmarkStart w:id="357" w:name="_Toc160634429"/>
      <w:bookmarkStart w:id="358" w:name="_Toc161909382"/>
      <w:bookmarkStart w:id="359" w:name="_Toc184816220"/>
      <w:bookmarkStart w:id="360" w:name="_Ref190844359"/>
      <w:bookmarkStart w:id="361" w:name="_Toc210815602"/>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t>Overview of the funding methodology</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5B76FE60" w14:textId="12A72DFE" w:rsidR="007E5C5F" w:rsidRDefault="4E822CB7" w:rsidP="421ADA8C">
      <w:r w:rsidRPr="3A93DC59">
        <w:t xml:space="preserve">The reporting processes for provision of financial data to </w:t>
      </w:r>
      <w:r w:rsidR="2E481731" w:rsidRPr="3A93DC59">
        <w:t>the department</w:t>
      </w:r>
      <w:r w:rsidRPr="3A93DC59">
        <w:t xml:space="preserve"> and ACARA by states and territories are separate but interrelated, as both include NRIPS data (calculated using the ACARA methodology) as a key financial measure. </w:t>
      </w:r>
      <w:r w:rsidR="2E481731" w:rsidRPr="3A93DC59">
        <w:t>The department</w:t>
      </w:r>
      <w:r w:rsidRPr="3A93DC59">
        <w:t xml:space="preserve"> and ACARA guidelines prescribe the timeframes for required reporting and assurance activities.</w:t>
      </w:r>
    </w:p>
    <w:p w14:paraId="76E6E992" w14:textId="77C6995D" w:rsidR="004D6528" w:rsidRDefault="4E822CB7" w:rsidP="421ADA8C">
      <w:r w:rsidRPr="3A93DC59">
        <w:t xml:space="preserve">States and territories report financial data and NRIPS for government schools to ACARA for the calendar year (Year T), generally by </w:t>
      </w:r>
      <w:r w:rsidR="233D28EA" w:rsidRPr="3A93DC59">
        <w:t xml:space="preserve">October </w:t>
      </w:r>
      <w:r w:rsidRPr="3A93DC59">
        <w:t>each year following the funding year (</w:t>
      </w:r>
      <w:r w:rsidR="4D77411B" w:rsidRPr="3A93DC59">
        <w:t>Year </w:t>
      </w:r>
      <w:r w:rsidRPr="3A93DC59">
        <w:t xml:space="preserve">T+1). At the same time, </w:t>
      </w:r>
      <w:r w:rsidR="2E481731" w:rsidRPr="3A93DC59">
        <w:t>the department</w:t>
      </w:r>
      <w:r w:rsidRPr="3A93DC59">
        <w:t xml:space="preserve"> reports NRIPS data for the non-government school sector to ACARA. These data are then reviewed, and quality assured by ACARA and the approved independent quality assurance practitioner. </w:t>
      </w:r>
    </w:p>
    <w:p w14:paraId="139B777C" w14:textId="77777777" w:rsidR="004D6528" w:rsidRPr="00484A44" w:rsidRDefault="5A11BC7C" w:rsidP="522447BD">
      <w:pPr>
        <w:pStyle w:val="Heading3"/>
      </w:pPr>
      <w:bookmarkStart w:id="362" w:name="_Toc160180317"/>
      <w:bookmarkStart w:id="363" w:name="_Toc160634430"/>
      <w:bookmarkStart w:id="364" w:name="_Toc161909383"/>
      <w:bookmarkStart w:id="365" w:name="_Toc184816221"/>
      <w:bookmarkStart w:id="366" w:name="_Toc210306623"/>
      <w:bookmarkStart w:id="367" w:name="_Toc210317449"/>
      <w:bookmarkStart w:id="368" w:name="_Toc210815603"/>
      <w:r>
        <w:t>Base methodology</w:t>
      </w:r>
      <w:bookmarkEnd w:id="362"/>
      <w:bookmarkEnd w:id="363"/>
      <w:bookmarkEnd w:id="364"/>
      <w:bookmarkEnd w:id="365"/>
      <w:bookmarkEnd w:id="366"/>
      <w:bookmarkEnd w:id="367"/>
      <w:bookmarkEnd w:id="368"/>
    </w:p>
    <w:p w14:paraId="4E4383D2" w14:textId="742E095B" w:rsidR="004D6528" w:rsidRDefault="5A11BC7C" w:rsidP="421ADA8C">
      <w:r w:rsidRPr="3A93DC59">
        <w:t xml:space="preserve">To avoid duplication, the instrument for determining </w:t>
      </w:r>
      <w:r w:rsidR="4DB75892" w:rsidRPr="3A93DC59">
        <w:t>s 22A</w:t>
      </w:r>
      <w:r w:rsidRPr="3A93DC59">
        <w:t xml:space="preserve"> contributions leverages the existing ACARA </w:t>
      </w:r>
      <w:r w:rsidRPr="3A93DC59">
        <w:rPr>
          <w:i/>
          <w:iCs/>
        </w:rPr>
        <w:t xml:space="preserve">My School </w:t>
      </w:r>
      <w:r w:rsidR="6553B309" w:rsidRPr="3A93DC59">
        <w:rPr>
          <w:i/>
          <w:iCs/>
        </w:rPr>
        <w:t xml:space="preserve">Financial Reporting </w:t>
      </w:r>
      <w:r w:rsidRPr="3A93DC59">
        <w:t>framework. This was developed by ACARA to enable nationally consistent reporting of school income information</w:t>
      </w:r>
      <w:r w:rsidR="6553B309" w:rsidRPr="3A93DC59">
        <w:t xml:space="preserve"> for the purposes of the </w:t>
      </w:r>
      <w:r w:rsidR="6658E8EC" w:rsidRPr="3A93DC59">
        <w:rPr>
          <w:i/>
          <w:iCs/>
        </w:rPr>
        <w:t>M</w:t>
      </w:r>
      <w:r w:rsidR="6553B309" w:rsidRPr="3A93DC59">
        <w:rPr>
          <w:i/>
          <w:iCs/>
        </w:rPr>
        <w:t>y School</w:t>
      </w:r>
      <w:r w:rsidR="6553B309" w:rsidRPr="3A93DC59">
        <w:t xml:space="preserve"> </w:t>
      </w:r>
      <w:r w:rsidR="6553B309" w:rsidRPr="00AF0A7F">
        <w:rPr>
          <w:i/>
          <w:iCs/>
        </w:rPr>
        <w:t>website</w:t>
      </w:r>
      <w:r w:rsidRPr="3A93DC59">
        <w:t>. Its key financial measure is NRIPS</w:t>
      </w:r>
      <w:r w:rsidR="554675FC" w:rsidRPr="3A93DC59">
        <w:t>, which</w:t>
      </w:r>
      <w:r w:rsidRPr="3A93DC59">
        <w:t xml:space="preserve"> forms the basis of the adjusted methodology for measuring contributions</w:t>
      </w:r>
      <w:r w:rsidR="108B718C" w:rsidRPr="3A93DC59">
        <w:t xml:space="preserve"> under </w:t>
      </w:r>
      <w:r w:rsidR="4DB75892" w:rsidRPr="3A93DC59">
        <w:t>s 22A</w:t>
      </w:r>
      <w:r w:rsidRPr="3A93DC59">
        <w:t xml:space="preserve">. </w:t>
      </w:r>
    </w:p>
    <w:p w14:paraId="190466A6" w14:textId="77777777" w:rsidR="004D6528" w:rsidRPr="00484A44" w:rsidRDefault="5A11BC7C" w:rsidP="522447BD">
      <w:pPr>
        <w:pStyle w:val="Heading3"/>
      </w:pPr>
      <w:bookmarkStart w:id="369" w:name="_Toc160180318"/>
      <w:bookmarkStart w:id="370" w:name="_Toc160634431"/>
      <w:bookmarkStart w:id="371" w:name="_Toc161909384"/>
      <w:bookmarkStart w:id="372" w:name="_Toc184816222"/>
      <w:bookmarkStart w:id="373" w:name="_Toc210306624"/>
      <w:bookmarkStart w:id="374" w:name="_Toc210317450"/>
      <w:bookmarkStart w:id="375" w:name="_Toc210815604"/>
      <w:r>
        <w:t>Adjusted methodology</w:t>
      </w:r>
      <w:bookmarkEnd w:id="369"/>
      <w:bookmarkEnd w:id="370"/>
      <w:bookmarkEnd w:id="371"/>
      <w:bookmarkEnd w:id="372"/>
      <w:bookmarkEnd w:id="373"/>
      <w:bookmarkEnd w:id="374"/>
      <w:bookmarkEnd w:id="375"/>
    </w:p>
    <w:p w14:paraId="0E5E5A39" w14:textId="52CBCF27" w:rsidR="00626CAF" w:rsidRDefault="5A11BC7C" w:rsidP="421ADA8C">
      <w:r w:rsidRPr="3A93DC59">
        <w:t xml:space="preserve">To measure state and territory contributions under </w:t>
      </w:r>
      <w:r w:rsidR="4DB75892" w:rsidRPr="3A93DC59">
        <w:t>s 22A</w:t>
      </w:r>
      <w:r w:rsidRPr="3A93DC59">
        <w:t xml:space="preserve">, the ACARA methodology </w:t>
      </w:r>
      <w:r w:rsidR="2088D1A9" w:rsidRPr="3A93DC59">
        <w:t>was</w:t>
      </w:r>
      <w:r w:rsidRPr="3A93DC59">
        <w:t xml:space="preserve"> adjusted to account for differences in the delivery of education </w:t>
      </w:r>
      <w:r w:rsidR="367108EB" w:rsidRPr="3A93DC59">
        <w:t>across jurisdictions</w:t>
      </w:r>
      <w:r w:rsidRPr="3A93DC59">
        <w:t>. The adjustments differ between jurisdictions and are set out in their bilateral agreement</w:t>
      </w:r>
      <w:r w:rsidR="641AB6F4" w:rsidRPr="3A93DC59">
        <w:t>s</w:t>
      </w:r>
      <w:r w:rsidRPr="3A93DC59">
        <w:t>.</w:t>
      </w:r>
    </w:p>
    <w:p w14:paraId="78FCAED1" w14:textId="75BEF67E" w:rsidR="00CA2077" w:rsidRPr="000B134B" w:rsidRDefault="3B022041" w:rsidP="421ADA8C">
      <w:bookmarkStart w:id="376" w:name="_Toc160180319"/>
      <w:bookmarkStart w:id="377" w:name="_Toc160634432"/>
      <w:bookmarkStart w:id="378" w:name="_Toc161909385"/>
      <w:bookmarkStart w:id="379" w:name="_Toc184816223"/>
      <w:r w:rsidRPr="3A93DC59">
        <w:t xml:space="preserve">The </w:t>
      </w:r>
      <w:r w:rsidRPr="3A93DC59">
        <w:rPr>
          <w:i/>
          <w:iCs/>
        </w:rPr>
        <w:t xml:space="preserve">Guidance </w:t>
      </w:r>
      <w:r w:rsidR="00103668">
        <w:rPr>
          <w:i/>
          <w:iCs/>
        </w:rPr>
        <w:t>to</w:t>
      </w:r>
      <w:r w:rsidR="00103668" w:rsidRPr="3A93DC59">
        <w:rPr>
          <w:i/>
          <w:iCs/>
        </w:rPr>
        <w:t xml:space="preserve"> </w:t>
      </w:r>
      <w:r w:rsidRPr="3A93DC59">
        <w:rPr>
          <w:i/>
          <w:iCs/>
        </w:rPr>
        <w:t xml:space="preserve">Reporting </w:t>
      </w:r>
      <w:r w:rsidRPr="3A93DC59">
        <w:t>also</w:t>
      </w:r>
      <w:r w:rsidRPr="3A93DC59">
        <w:rPr>
          <w:i/>
          <w:iCs/>
        </w:rPr>
        <w:t xml:space="preserve"> </w:t>
      </w:r>
      <w:r w:rsidRPr="3A93DC59">
        <w:t>refers to adjustments made to the base methodology for counting state and territory contributions. This includes:</w:t>
      </w:r>
    </w:p>
    <w:p w14:paraId="10CB70D4" w14:textId="363503AA" w:rsidR="00CA2077" w:rsidRPr="001971DA" w:rsidRDefault="3B022041" w:rsidP="421ADA8C">
      <w:pPr>
        <w:pStyle w:val="ListBullet"/>
      </w:pPr>
      <w:r w:rsidRPr="00103668">
        <w:t>My School</w:t>
      </w:r>
      <w:r w:rsidRPr="3A93DC59">
        <w:t xml:space="preserve"> adjustments to remove year 1 minus 2 (referred to by states as preschool, preparatory or kindergarten) and full-fee-paying </w:t>
      </w:r>
      <w:r w:rsidR="00601186" w:rsidRPr="3A93DC59">
        <w:t xml:space="preserve">overseas </w:t>
      </w:r>
      <w:r w:rsidRPr="3A93DC59">
        <w:t>students, which do not attract funding under the SRS</w:t>
      </w:r>
    </w:p>
    <w:p w14:paraId="67B433E1" w14:textId="2C526557" w:rsidR="00CA2077" w:rsidRPr="001971DA" w:rsidRDefault="3B022041" w:rsidP="421ADA8C">
      <w:pPr>
        <w:pStyle w:val="ListBullet"/>
      </w:pPr>
      <w:r w:rsidRPr="3A93DC59">
        <w:t xml:space="preserve">use of allocated </w:t>
      </w:r>
      <w:r w:rsidR="44CC85AD" w:rsidRPr="3A93DC59">
        <w:t>or</w:t>
      </w:r>
      <w:r w:rsidRPr="3A93DC59">
        <w:t xml:space="preserve"> actual funding </w:t>
      </w:r>
    </w:p>
    <w:p w14:paraId="073727CB" w14:textId="77777777" w:rsidR="00CA2077" w:rsidRDefault="00CA2077" w:rsidP="00CA2077">
      <w:pPr>
        <w:pStyle w:val="ListBullet"/>
      </w:pPr>
      <w:r>
        <w:lastRenderedPageBreak/>
        <w:t>other expenditure counted (e.g. from other government agreements)</w:t>
      </w:r>
    </w:p>
    <w:p w14:paraId="69FE3D2F" w14:textId="05500DC2" w:rsidR="00CA2077" w:rsidRPr="001971DA" w:rsidRDefault="00CA2077" w:rsidP="00CA2077">
      <w:pPr>
        <w:pStyle w:val="ListBullet"/>
      </w:pPr>
      <w:r>
        <w:t>i</w:t>
      </w:r>
      <w:r w:rsidRPr="000B134B">
        <w:t>mpact of AASB 16</w:t>
      </w:r>
      <w:r w:rsidR="008337EC">
        <w:t xml:space="preserve"> (Leases)</w:t>
      </w:r>
    </w:p>
    <w:p w14:paraId="597E14E1" w14:textId="77777777" w:rsidR="00CA2077" w:rsidRDefault="3B022041" w:rsidP="421ADA8C">
      <w:pPr>
        <w:pStyle w:val="ListBullet"/>
      </w:pPr>
      <w:r w:rsidRPr="3A93DC59">
        <w:t>additional expenditure and adjustments (e.g. how funding in the 4% cap is counted and what proportion).</w:t>
      </w:r>
    </w:p>
    <w:p w14:paraId="39D178E1" w14:textId="236156F8" w:rsidR="004D6528" w:rsidRPr="00484A44" w:rsidDel="008C1787" w:rsidRDefault="004D6528" w:rsidP="00643BFC">
      <w:pPr>
        <w:pStyle w:val="Heading3"/>
      </w:pPr>
      <w:bookmarkStart w:id="380" w:name="_Toc210306625"/>
      <w:bookmarkStart w:id="381" w:name="_Toc210317451"/>
      <w:bookmarkStart w:id="382" w:name="_Toc210815605"/>
      <w:r>
        <w:t>Reported minimum funding contributions</w:t>
      </w:r>
      <w:bookmarkEnd w:id="376"/>
      <w:bookmarkEnd w:id="377"/>
      <w:bookmarkEnd w:id="378"/>
      <w:bookmarkEnd w:id="379"/>
      <w:bookmarkEnd w:id="380"/>
      <w:bookmarkEnd w:id="381"/>
      <w:bookmarkEnd w:id="382"/>
    </w:p>
    <w:p w14:paraId="3417174C" w14:textId="6E13D3E0" w:rsidR="004D6528" w:rsidRPr="00484A44" w:rsidDel="008C1787" w:rsidRDefault="004D6528" w:rsidP="004D6528">
      <w:r w:rsidRPr="00484A44" w:rsidDel="008C1787">
        <w:t xml:space="preserve">A state or territory’s minimum funding contributions for a funding year </w:t>
      </w:r>
      <w:r w:rsidR="00757C9C" w:rsidDel="008C1787">
        <w:t>are</w:t>
      </w:r>
      <w:r w:rsidRPr="00484A44" w:rsidDel="008C1787">
        <w:t xml:space="preserve"> calculated based on its </w:t>
      </w:r>
      <w:r w:rsidRPr="007B77A8" w:rsidDel="008C1787">
        <w:rPr>
          <w:rStyle w:val="Strong"/>
          <w:b w:val="0"/>
        </w:rPr>
        <w:t>required share</w:t>
      </w:r>
      <w:r w:rsidRPr="00484A44" w:rsidDel="008C1787">
        <w:t xml:space="preserve"> of the SRS for that year, as outlined in its bilateral agreement, and final student enrolments.</w:t>
      </w:r>
    </w:p>
    <w:p w14:paraId="035C3A18" w14:textId="172B8A25" w:rsidR="004D6528" w:rsidRDefault="004D6528" w:rsidP="00373154">
      <w:pPr>
        <w:pStyle w:val="Heading2-Numbered"/>
        <w:ind w:left="540"/>
      </w:pPr>
      <w:bookmarkStart w:id="383" w:name="_Toc188365423"/>
      <w:bookmarkStart w:id="384" w:name="_Ref105676877"/>
      <w:bookmarkStart w:id="385" w:name="_Ref105676885"/>
      <w:bookmarkStart w:id="386" w:name="_Ref105676891"/>
      <w:bookmarkStart w:id="387" w:name="_Toc106953816"/>
      <w:bookmarkStart w:id="388" w:name="_Toc123647063"/>
      <w:bookmarkStart w:id="389" w:name="_Toc127451662"/>
      <w:bookmarkStart w:id="390" w:name="_Toc130204913"/>
      <w:bookmarkStart w:id="391" w:name="_Toc158614553"/>
      <w:bookmarkStart w:id="392" w:name="_Toc158614654"/>
      <w:bookmarkStart w:id="393" w:name="_Toc159485614"/>
      <w:bookmarkStart w:id="394" w:name="_Toc159581875"/>
      <w:bookmarkStart w:id="395" w:name="_Toc159597865"/>
      <w:bookmarkStart w:id="396" w:name="_Toc160180117"/>
      <w:bookmarkStart w:id="397" w:name="_Toc160180320"/>
      <w:bookmarkStart w:id="398" w:name="_Toc160634433"/>
      <w:bookmarkStart w:id="399" w:name="_Toc161909386"/>
      <w:bookmarkStart w:id="400" w:name="_Toc184816224"/>
      <w:bookmarkStart w:id="401" w:name="_Toc210815606"/>
      <w:bookmarkEnd w:id="383"/>
      <w:r>
        <w:t xml:space="preserve">Compliance with funding </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00421CBD">
        <w:t>obligations</w:t>
      </w:r>
      <w:bookmarkEnd w:id="401"/>
    </w:p>
    <w:p w14:paraId="5C47EE4B" w14:textId="0C9209DF" w:rsidR="001C5569" w:rsidRDefault="001C5569" w:rsidP="001C5569">
      <w:r>
        <w:t xml:space="preserve">Section 22A of the Act, in conjunction with each state </w:t>
      </w:r>
      <w:r w:rsidR="008F779D">
        <w:t>or</w:t>
      </w:r>
      <w:r>
        <w:t xml:space="preserve"> territory’s bilateral agreement, provides the percentage of SRS funding that needs to be contributed for both government and non-government </w:t>
      </w:r>
      <w:r w:rsidR="00004D6E">
        <w:t>schools,</w:t>
      </w:r>
      <w:r>
        <w:t xml:space="preserve"> respectively.</w:t>
      </w:r>
    </w:p>
    <w:p w14:paraId="75904668" w14:textId="7B868612" w:rsidR="001C5569" w:rsidRDefault="27251C1F" w:rsidP="421ADA8C">
      <w:r w:rsidRPr="3A93DC59">
        <w:t xml:space="preserve">The Board has assessed </w:t>
      </w:r>
      <w:r w:rsidR="78155475" w:rsidRPr="3A93DC59">
        <w:t xml:space="preserve">all </w:t>
      </w:r>
      <w:r w:rsidR="7D1A34C8" w:rsidRPr="3A93DC59">
        <w:t>jurisdictions</w:t>
      </w:r>
      <w:r w:rsidR="4B7AA442" w:rsidRPr="3A93DC59">
        <w:t>’ funding contributions in their</w:t>
      </w:r>
      <w:r w:rsidR="7D1A34C8" w:rsidRPr="3A93DC59">
        <w:t xml:space="preserve"> </w:t>
      </w:r>
      <w:r w:rsidR="080E5358" w:rsidRPr="3A93DC59">
        <w:t>ann</w:t>
      </w:r>
      <w:r w:rsidR="58F42085" w:rsidRPr="3A93DC59">
        <w:t>ual reports</w:t>
      </w:r>
      <w:r w:rsidR="7B36A660" w:rsidRPr="3A93DC59">
        <w:t xml:space="preserve">. </w:t>
      </w:r>
      <w:r w:rsidR="2D2EA88E" w:rsidRPr="3A93DC59">
        <w:t>The table below outline</w:t>
      </w:r>
      <w:r w:rsidR="707E2125" w:rsidRPr="3A93DC59">
        <w:t>s</w:t>
      </w:r>
      <w:r w:rsidR="2D2EA88E" w:rsidRPr="3A93DC59">
        <w:t xml:space="preserve"> whether each state </w:t>
      </w:r>
      <w:r w:rsidR="036E73BF" w:rsidRPr="3A93DC59">
        <w:t>and</w:t>
      </w:r>
      <w:r w:rsidR="2D2EA88E" w:rsidRPr="3A93DC59">
        <w:t xml:space="preserve"> territory has met or exceeded their funding contributions for government and non-government schools and whether they </w:t>
      </w:r>
      <w:r w:rsidR="25D07EBB" w:rsidRPr="3A93DC59">
        <w:t>used</w:t>
      </w:r>
      <w:r w:rsidR="2D2EA88E" w:rsidRPr="3A93DC59">
        <w:t xml:space="preserve"> the 0.6% immateriality </w:t>
      </w:r>
      <w:r w:rsidR="25D07EBB" w:rsidRPr="3A93DC59">
        <w:t>threshold,</w:t>
      </w:r>
      <w:r w:rsidR="2D2EA88E" w:rsidRPr="3A93DC59">
        <w:t xml:space="preserve"> respectively</w:t>
      </w:r>
      <w:r w:rsidR="43172196" w:rsidRPr="3A93DC59">
        <w:t>.</w:t>
      </w:r>
    </w:p>
    <w:p w14:paraId="68FBBC8D" w14:textId="29168103" w:rsidR="00A95D09" w:rsidRDefault="294B1ACE" w:rsidP="421ADA8C">
      <w:pPr>
        <w:pStyle w:val="Caption"/>
      </w:pPr>
      <w:bookmarkStart w:id="402" w:name="_Ref190335233"/>
      <w:bookmarkStart w:id="403" w:name="_Toc200636985"/>
      <w:r w:rsidRPr="3A93DC59">
        <w:t xml:space="preserve">Table </w:t>
      </w:r>
      <w:r>
        <w:fldChar w:fldCharType="begin"/>
      </w:r>
      <w:r>
        <w:instrText xml:space="preserve"> SEQ Table \* ARABIC </w:instrText>
      </w:r>
      <w:r>
        <w:fldChar w:fldCharType="separate"/>
      </w:r>
      <w:r w:rsidR="00587C96">
        <w:rPr>
          <w:noProof/>
        </w:rPr>
        <w:t>3</w:t>
      </w:r>
      <w:r>
        <w:fldChar w:fldCharType="end"/>
      </w:r>
      <w:bookmarkEnd w:id="402"/>
      <w:r w:rsidR="0148B570" w:rsidRPr="3A93DC59">
        <w:t>:</w:t>
      </w:r>
      <w:r w:rsidRPr="3A93DC59">
        <w:t xml:space="preserve"> Assessment of jurisdictions</w:t>
      </w:r>
      <w:r w:rsidR="3DEB8EC2" w:rsidRPr="3A93DC59">
        <w:t>’</w:t>
      </w:r>
      <w:r w:rsidRPr="3A93DC59">
        <w:t xml:space="preserve"> funding obligations for the 2023 funding year</w:t>
      </w:r>
      <w:bookmarkEnd w:id="403"/>
    </w:p>
    <w:tbl>
      <w:tblPr>
        <w:tblW w:w="5001" w:type="pct"/>
        <w:tblBorders>
          <w:insideH w:val="single" w:sz="4" w:space="0" w:color="auto"/>
        </w:tblBorders>
        <w:tblLook w:val="04A0" w:firstRow="1" w:lastRow="0" w:firstColumn="1" w:lastColumn="0" w:noHBand="0" w:noVBand="1"/>
      </w:tblPr>
      <w:tblGrid>
        <w:gridCol w:w="1835"/>
        <w:gridCol w:w="806"/>
        <w:gridCol w:w="93"/>
        <w:gridCol w:w="896"/>
        <w:gridCol w:w="896"/>
        <w:gridCol w:w="896"/>
        <w:gridCol w:w="896"/>
        <w:gridCol w:w="896"/>
        <w:gridCol w:w="896"/>
        <w:gridCol w:w="962"/>
      </w:tblGrid>
      <w:tr w:rsidR="00D47404" w:rsidRPr="00864DC4" w14:paraId="2B33BF89" w14:textId="77777777" w:rsidTr="00AD1425">
        <w:trPr>
          <w:trHeight w:val="433"/>
        </w:trPr>
        <w:tc>
          <w:tcPr>
            <w:tcW w:w="1011" w:type="pct"/>
            <w:vMerge w:val="restart"/>
            <w:shd w:val="clear" w:color="auto" w:fill="00355F"/>
            <w:vAlign w:val="center"/>
            <w:hideMark/>
          </w:tcPr>
          <w:p w14:paraId="22319379" w14:textId="77777777" w:rsidR="00D47404" w:rsidRPr="00864DC4" w:rsidRDefault="00D47404" w:rsidP="00864DC4">
            <w:pPr>
              <w:rPr>
                <w:b/>
                <w:bCs/>
              </w:rPr>
            </w:pPr>
            <w:r w:rsidRPr="00864DC4">
              <w:rPr>
                <w:b/>
                <w:bCs/>
              </w:rPr>
              <w:t xml:space="preserve">Sector </w:t>
            </w:r>
          </w:p>
        </w:tc>
        <w:tc>
          <w:tcPr>
            <w:tcW w:w="444" w:type="pct"/>
            <w:shd w:val="clear" w:color="auto" w:fill="00355F"/>
          </w:tcPr>
          <w:p w14:paraId="2CD31F50" w14:textId="77777777" w:rsidR="00D47404" w:rsidRPr="00864DC4" w:rsidRDefault="00D47404" w:rsidP="00793BF5">
            <w:pPr>
              <w:spacing w:before="0" w:after="0"/>
              <w:jc w:val="center"/>
              <w:rPr>
                <w:b/>
                <w:bCs/>
              </w:rPr>
            </w:pPr>
          </w:p>
        </w:tc>
        <w:tc>
          <w:tcPr>
            <w:tcW w:w="3545" w:type="pct"/>
            <w:gridSpan w:val="8"/>
            <w:shd w:val="clear" w:color="auto" w:fill="00355F"/>
            <w:noWrap/>
            <w:vAlign w:val="center"/>
            <w:hideMark/>
          </w:tcPr>
          <w:p w14:paraId="62F34F3D" w14:textId="3F07E46E" w:rsidR="00D47404" w:rsidRPr="00864DC4" w:rsidRDefault="00D47404" w:rsidP="00793BF5">
            <w:pPr>
              <w:spacing w:before="0" w:after="0"/>
              <w:jc w:val="center"/>
              <w:rPr>
                <w:b/>
                <w:bCs/>
              </w:rPr>
            </w:pPr>
            <w:r w:rsidRPr="00864DC4">
              <w:rPr>
                <w:b/>
                <w:bCs/>
              </w:rPr>
              <w:t>2023 Funding Year</w:t>
            </w:r>
          </w:p>
        </w:tc>
      </w:tr>
      <w:tr w:rsidR="00E41DB3" w:rsidRPr="00864DC4" w14:paraId="55382A2B" w14:textId="77777777" w:rsidTr="00AD1425">
        <w:trPr>
          <w:trHeight w:val="288"/>
        </w:trPr>
        <w:tc>
          <w:tcPr>
            <w:tcW w:w="1011" w:type="pct"/>
            <w:vMerge/>
            <w:shd w:val="clear" w:color="auto" w:fill="00355F"/>
            <w:vAlign w:val="center"/>
            <w:hideMark/>
          </w:tcPr>
          <w:p w14:paraId="7B47C594" w14:textId="77777777" w:rsidR="00E41DB3" w:rsidRPr="00864DC4" w:rsidRDefault="00E41DB3" w:rsidP="00E41DB3">
            <w:pPr>
              <w:rPr>
                <w:b/>
                <w:bCs/>
              </w:rPr>
            </w:pPr>
          </w:p>
        </w:tc>
        <w:tc>
          <w:tcPr>
            <w:tcW w:w="495" w:type="pct"/>
            <w:gridSpan w:val="2"/>
            <w:shd w:val="clear" w:color="auto" w:fill="00355F"/>
            <w:vAlign w:val="center"/>
          </w:tcPr>
          <w:p w14:paraId="66B52266" w14:textId="46EAD741" w:rsidR="00E41DB3" w:rsidRPr="00864DC4" w:rsidRDefault="00E41DB3" w:rsidP="00E73459">
            <w:pPr>
              <w:jc w:val="center"/>
              <w:rPr>
                <w:b/>
                <w:bCs/>
              </w:rPr>
            </w:pPr>
            <w:r w:rsidRPr="00864DC4">
              <w:rPr>
                <w:b/>
                <w:bCs/>
              </w:rPr>
              <w:t>ACT</w:t>
            </w:r>
          </w:p>
        </w:tc>
        <w:tc>
          <w:tcPr>
            <w:tcW w:w="494" w:type="pct"/>
            <w:shd w:val="clear" w:color="auto" w:fill="00355F"/>
            <w:vAlign w:val="center"/>
            <w:hideMark/>
          </w:tcPr>
          <w:p w14:paraId="0B73C4AB" w14:textId="71305837" w:rsidR="00E41DB3" w:rsidRPr="00864DC4" w:rsidRDefault="00E41DB3" w:rsidP="00E73459">
            <w:pPr>
              <w:jc w:val="center"/>
              <w:rPr>
                <w:b/>
                <w:bCs/>
              </w:rPr>
            </w:pPr>
            <w:r w:rsidRPr="00864DC4">
              <w:rPr>
                <w:b/>
                <w:bCs/>
              </w:rPr>
              <w:t>NSW</w:t>
            </w:r>
          </w:p>
        </w:tc>
        <w:tc>
          <w:tcPr>
            <w:tcW w:w="494" w:type="pct"/>
            <w:shd w:val="clear" w:color="auto" w:fill="00355F"/>
            <w:vAlign w:val="center"/>
          </w:tcPr>
          <w:p w14:paraId="734C7802" w14:textId="6B0130BF" w:rsidR="00E41DB3" w:rsidRPr="00864DC4" w:rsidRDefault="00E41DB3" w:rsidP="00E73459">
            <w:pPr>
              <w:jc w:val="center"/>
              <w:rPr>
                <w:b/>
                <w:bCs/>
              </w:rPr>
            </w:pPr>
            <w:r w:rsidRPr="00864DC4">
              <w:rPr>
                <w:b/>
                <w:bCs/>
              </w:rPr>
              <w:t>NT</w:t>
            </w:r>
          </w:p>
        </w:tc>
        <w:tc>
          <w:tcPr>
            <w:tcW w:w="494" w:type="pct"/>
            <w:shd w:val="clear" w:color="auto" w:fill="00355F"/>
            <w:vAlign w:val="center"/>
            <w:hideMark/>
          </w:tcPr>
          <w:p w14:paraId="57A4E527" w14:textId="77777777" w:rsidR="00E41DB3" w:rsidRPr="00864DC4" w:rsidRDefault="00E41DB3" w:rsidP="00E73459">
            <w:pPr>
              <w:jc w:val="center"/>
              <w:rPr>
                <w:b/>
                <w:bCs/>
              </w:rPr>
            </w:pPr>
            <w:r w:rsidRPr="00864DC4">
              <w:rPr>
                <w:b/>
                <w:bCs/>
              </w:rPr>
              <w:t>QLD</w:t>
            </w:r>
          </w:p>
        </w:tc>
        <w:tc>
          <w:tcPr>
            <w:tcW w:w="494" w:type="pct"/>
            <w:shd w:val="clear" w:color="auto" w:fill="00355F"/>
            <w:vAlign w:val="center"/>
            <w:hideMark/>
          </w:tcPr>
          <w:p w14:paraId="6BF7EFE4" w14:textId="77777777" w:rsidR="00E41DB3" w:rsidRPr="00864DC4" w:rsidRDefault="00E41DB3" w:rsidP="00E73459">
            <w:pPr>
              <w:jc w:val="center"/>
              <w:rPr>
                <w:b/>
                <w:bCs/>
              </w:rPr>
            </w:pPr>
            <w:r w:rsidRPr="00864DC4">
              <w:rPr>
                <w:b/>
                <w:bCs/>
              </w:rPr>
              <w:t>SA</w:t>
            </w:r>
          </w:p>
        </w:tc>
        <w:tc>
          <w:tcPr>
            <w:tcW w:w="494" w:type="pct"/>
            <w:shd w:val="clear" w:color="auto" w:fill="00355F"/>
            <w:vAlign w:val="center"/>
            <w:hideMark/>
          </w:tcPr>
          <w:p w14:paraId="1DDB68CA" w14:textId="77777777" w:rsidR="00E41DB3" w:rsidRPr="00864DC4" w:rsidRDefault="00E41DB3" w:rsidP="00E73459">
            <w:pPr>
              <w:jc w:val="center"/>
              <w:rPr>
                <w:b/>
                <w:bCs/>
              </w:rPr>
            </w:pPr>
            <w:r w:rsidRPr="00864DC4">
              <w:rPr>
                <w:b/>
                <w:bCs/>
              </w:rPr>
              <w:t>TAS</w:t>
            </w:r>
          </w:p>
        </w:tc>
        <w:tc>
          <w:tcPr>
            <w:tcW w:w="494" w:type="pct"/>
            <w:shd w:val="clear" w:color="auto" w:fill="00355F"/>
            <w:vAlign w:val="center"/>
          </w:tcPr>
          <w:p w14:paraId="054FDD43" w14:textId="3B8EACF7" w:rsidR="00E41DB3" w:rsidRPr="00864DC4" w:rsidRDefault="00E41DB3" w:rsidP="00E73459">
            <w:pPr>
              <w:jc w:val="center"/>
              <w:rPr>
                <w:b/>
                <w:bCs/>
              </w:rPr>
            </w:pPr>
            <w:r w:rsidRPr="00864DC4">
              <w:rPr>
                <w:b/>
                <w:bCs/>
              </w:rPr>
              <w:t>VIC</w:t>
            </w:r>
          </w:p>
        </w:tc>
        <w:tc>
          <w:tcPr>
            <w:tcW w:w="531" w:type="pct"/>
            <w:shd w:val="clear" w:color="auto" w:fill="00355F"/>
            <w:vAlign w:val="center"/>
          </w:tcPr>
          <w:p w14:paraId="63E7F894" w14:textId="46339FA3" w:rsidR="00E41DB3" w:rsidRPr="00864DC4" w:rsidRDefault="00E41DB3" w:rsidP="00E73459">
            <w:pPr>
              <w:jc w:val="center"/>
              <w:rPr>
                <w:b/>
                <w:bCs/>
              </w:rPr>
            </w:pPr>
            <w:r w:rsidRPr="00864DC4">
              <w:rPr>
                <w:b/>
                <w:bCs/>
              </w:rPr>
              <w:t>WA</w:t>
            </w:r>
          </w:p>
        </w:tc>
      </w:tr>
      <w:tr w:rsidR="00E41DB3" w:rsidRPr="00864DC4" w14:paraId="3EF86847" w14:textId="77777777" w:rsidTr="00AD1425">
        <w:trPr>
          <w:trHeight w:val="492"/>
        </w:trPr>
        <w:tc>
          <w:tcPr>
            <w:tcW w:w="1011" w:type="pct"/>
            <w:shd w:val="clear" w:color="000000" w:fill="9BC2E6"/>
            <w:vAlign w:val="center"/>
            <w:hideMark/>
          </w:tcPr>
          <w:p w14:paraId="66B69CBE" w14:textId="5F8B9B66" w:rsidR="00E41DB3" w:rsidRPr="00AB726E" w:rsidRDefault="00E41DB3" w:rsidP="00E41DB3">
            <w:r w:rsidRPr="00AB726E">
              <w:t xml:space="preserve">Government </w:t>
            </w:r>
          </w:p>
        </w:tc>
        <w:tc>
          <w:tcPr>
            <w:tcW w:w="495" w:type="pct"/>
            <w:gridSpan w:val="2"/>
            <w:shd w:val="clear" w:color="000000" w:fill="F2F2F2"/>
            <w:vAlign w:val="center"/>
          </w:tcPr>
          <w:p w14:paraId="55E0AADB" w14:textId="3A50B4ED" w:rsidR="00E41DB3" w:rsidRPr="00AB726E" w:rsidRDefault="00E41DB3" w:rsidP="00E73459">
            <w:pPr>
              <w:jc w:val="center"/>
            </w:pPr>
            <w:r w:rsidRPr="00AB726E">
              <w:t>C</w:t>
            </w:r>
          </w:p>
        </w:tc>
        <w:tc>
          <w:tcPr>
            <w:tcW w:w="494" w:type="pct"/>
            <w:shd w:val="clear" w:color="000000" w:fill="F2F2F2"/>
            <w:noWrap/>
            <w:vAlign w:val="center"/>
            <w:hideMark/>
          </w:tcPr>
          <w:p w14:paraId="06A81F29" w14:textId="4E5CB6E1" w:rsidR="00E41DB3" w:rsidRPr="00AB726E" w:rsidRDefault="00E41DB3" w:rsidP="00E73459">
            <w:pPr>
              <w:jc w:val="center"/>
            </w:pPr>
            <w:r w:rsidRPr="00AB726E">
              <w:t>C</w:t>
            </w:r>
          </w:p>
        </w:tc>
        <w:tc>
          <w:tcPr>
            <w:tcW w:w="494" w:type="pct"/>
            <w:shd w:val="clear" w:color="000000" w:fill="F2F2F2"/>
            <w:noWrap/>
            <w:vAlign w:val="center"/>
          </w:tcPr>
          <w:p w14:paraId="7AC01E37" w14:textId="27B7ECE6" w:rsidR="00E41DB3" w:rsidRPr="00AB726E" w:rsidRDefault="00E41DB3" w:rsidP="00E73459">
            <w:pPr>
              <w:jc w:val="center"/>
            </w:pPr>
            <w:r w:rsidRPr="00AB726E">
              <w:t>NC</w:t>
            </w:r>
          </w:p>
        </w:tc>
        <w:tc>
          <w:tcPr>
            <w:tcW w:w="494" w:type="pct"/>
            <w:shd w:val="clear" w:color="000000" w:fill="F2F2F2"/>
            <w:noWrap/>
            <w:vAlign w:val="center"/>
            <w:hideMark/>
          </w:tcPr>
          <w:p w14:paraId="37541845" w14:textId="77777777" w:rsidR="00E41DB3" w:rsidRPr="00AB726E" w:rsidRDefault="00E41DB3" w:rsidP="00E73459">
            <w:pPr>
              <w:jc w:val="center"/>
            </w:pPr>
            <w:r w:rsidRPr="00AB726E">
              <w:t>C</w:t>
            </w:r>
          </w:p>
        </w:tc>
        <w:tc>
          <w:tcPr>
            <w:tcW w:w="494" w:type="pct"/>
            <w:shd w:val="clear" w:color="000000" w:fill="F2F2F2"/>
            <w:noWrap/>
            <w:vAlign w:val="center"/>
            <w:hideMark/>
          </w:tcPr>
          <w:p w14:paraId="3033E54F" w14:textId="77777777" w:rsidR="00E41DB3" w:rsidRPr="00AB726E" w:rsidRDefault="00E41DB3" w:rsidP="00E73459">
            <w:pPr>
              <w:jc w:val="center"/>
            </w:pPr>
            <w:r w:rsidRPr="00AB726E">
              <w:t>IS</w:t>
            </w:r>
          </w:p>
        </w:tc>
        <w:tc>
          <w:tcPr>
            <w:tcW w:w="494" w:type="pct"/>
            <w:shd w:val="clear" w:color="000000" w:fill="F2F2F2"/>
            <w:noWrap/>
            <w:vAlign w:val="center"/>
            <w:hideMark/>
          </w:tcPr>
          <w:p w14:paraId="216DD848" w14:textId="77777777" w:rsidR="00E41DB3" w:rsidRPr="00AB726E" w:rsidRDefault="00E41DB3" w:rsidP="00E73459">
            <w:pPr>
              <w:jc w:val="center"/>
            </w:pPr>
            <w:r w:rsidRPr="00AB726E">
              <w:t>C</w:t>
            </w:r>
          </w:p>
        </w:tc>
        <w:tc>
          <w:tcPr>
            <w:tcW w:w="494" w:type="pct"/>
            <w:shd w:val="clear" w:color="000000" w:fill="F2F2F2"/>
            <w:noWrap/>
            <w:vAlign w:val="center"/>
          </w:tcPr>
          <w:p w14:paraId="0E0EFE67" w14:textId="6B8E65EE" w:rsidR="00E41DB3" w:rsidRPr="00AB726E" w:rsidRDefault="00E41DB3" w:rsidP="00E73459">
            <w:pPr>
              <w:jc w:val="center"/>
            </w:pPr>
            <w:r w:rsidRPr="00AB726E">
              <w:t>NC</w:t>
            </w:r>
          </w:p>
        </w:tc>
        <w:tc>
          <w:tcPr>
            <w:tcW w:w="531" w:type="pct"/>
            <w:shd w:val="clear" w:color="000000" w:fill="F2F2F2"/>
            <w:noWrap/>
            <w:vAlign w:val="center"/>
          </w:tcPr>
          <w:p w14:paraId="70426A64" w14:textId="45801AC3" w:rsidR="00E41DB3" w:rsidRPr="00AB726E" w:rsidRDefault="00E41DB3" w:rsidP="00E73459">
            <w:pPr>
              <w:jc w:val="center"/>
            </w:pPr>
            <w:r w:rsidRPr="00AB726E">
              <w:t>C</w:t>
            </w:r>
          </w:p>
        </w:tc>
      </w:tr>
      <w:tr w:rsidR="00E41DB3" w:rsidRPr="00864DC4" w14:paraId="368F9ED2" w14:textId="77777777" w:rsidTr="00AD1425">
        <w:trPr>
          <w:trHeight w:val="444"/>
        </w:trPr>
        <w:tc>
          <w:tcPr>
            <w:tcW w:w="1011" w:type="pct"/>
            <w:shd w:val="clear" w:color="auto" w:fill="9BC2E6"/>
            <w:vAlign w:val="center"/>
            <w:hideMark/>
          </w:tcPr>
          <w:p w14:paraId="5AC53FA3" w14:textId="21B84F67" w:rsidR="00E41DB3" w:rsidRPr="00AB726E" w:rsidRDefault="00E41DB3" w:rsidP="00E41DB3">
            <w:r w:rsidRPr="00AB726E">
              <w:t>Non-</w:t>
            </w:r>
            <w:r w:rsidR="00C727E3">
              <w:t>g</w:t>
            </w:r>
            <w:r w:rsidRPr="00AB726E">
              <w:t xml:space="preserve">overnment </w:t>
            </w:r>
          </w:p>
        </w:tc>
        <w:tc>
          <w:tcPr>
            <w:tcW w:w="495" w:type="pct"/>
            <w:gridSpan w:val="2"/>
            <w:shd w:val="clear" w:color="000000" w:fill="F2F2F2"/>
            <w:vAlign w:val="center"/>
          </w:tcPr>
          <w:p w14:paraId="1E533248" w14:textId="4539B98B" w:rsidR="00E41DB3" w:rsidRPr="00AB726E" w:rsidRDefault="00E41DB3" w:rsidP="00E73459">
            <w:pPr>
              <w:jc w:val="center"/>
            </w:pPr>
            <w:r w:rsidRPr="00AB726E">
              <w:t>C</w:t>
            </w:r>
          </w:p>
        </w:tc>
        <w:tc>
          <w:tcPr>
            <w:tcW w:w="494" w:type="pct"/>
            <w:shd w:val="clear" w:color="000000" w:fill="F2F2F2"/>
            <w:noWrap/>
            <w:vAlign w:val="center"/>
            <w:hideMark/>
          </w:tcPr>
          <w:p w14:paraId="5C2733DE" w14:textId="63F08CB7" w:rsidR="00E41DB3" w:rsidRPr="00AB726E" w:rsidRDefault="00E41DB3" w:rsidP="00E73459">
            <w:pPr>
              <w:jc w:val="center"/>
            </w:pPr>
            <w:r w:rsidRPr="00AB726E">
              <w:t>C</w:t>
            </w:r>
          </w:p>
        </w:tc>
        <w:tc>
          <w:tcPr>
            <w:tcW w:w="494" w:type="pct"/>
            <w:shd w:val="clear" w:color="000000" w:fill="F2F2F2"/>
            <w:noWrap/>
            <w:vAlign w:val="center"/>
          </w:tcPr>
          <w:p w14:paraId="66FDBBD0" w14:textId="56080167" w:rsidR="00E41DB3" w:rsidRPr="00AB726E" w:rsidRDefault="00E41DB3" w:rsidP="00E73459">
            <w:pPr>
              <w:jc w:val="center"/>
            </w:pPr>
            <w:r w:rsidRPr="00AB726E">
              <w:t>IS</w:t>
            </w:r>
          </w:p>
        </w:tc>
        <w:tc>
          <w:tcPr>
            <w:tcW w:w="494" w:type="pct"/>
            <w:shd w:val="clear" w:color="000000" w:fill="F2F2F2"/>
            <w:noWrap/>
            <w:vAlign w:val="center"/>
            <w:hideMark/>
          </w:tcPr>
          <w:p w14:paraId="2F1B178B" w14:textId="77777777" w:rsidR="00E41DB3" w:rsidRPr="00AB726E" w:rsidRDefault="00E41DB3" w:rsidP="00E73459">
            <w:pPr>
              <w:jc w:val="center"/>
            </w:pPr>
            <w:r w:rsidRPr="00AB726E">
              <w:t>IS</w:t>
            </w:r>
          </w:p>
        </w:tc>
        <w:tc>
          <w:tcPr>
            <w:tcW w:w="494" w:type="pct"/>
            <w:shd w:val="clear" w:color="000000" w:fill="F2F2F2"/>
            <w:noWrap/>
            <w:vAlign w:val="center"/>
            <w:hideMark/>
          </w:tcPr>
          <w:p w14:paraId="3D630870" w14:textId="77777777" w:rsidR="00E41DB3" w:rsidRPr="00AB726E" w:rsidRDefault="00E41DB3" w:rsidP="00E73459">
            <w:pPr>
              <w:jc w:val="center"/>
            </w:pPr>
            <w:r w:rsidRPr="00AB726E">
              <w:t>C</w:t>
            </w:r>
          </w:p>
        </w:tc>
        <w:tc>
          <w:tcPr>
            <w:tcW w:w="494" w:type="pct"/>
            <w:shd w:val="clear" w:color="000000" w:fill="F2F2F2"/>
            <w:noWrap/>
            <w:vAlign w:val="center"/>
            <w:hideMark/>
          </w:tcPr>
          <w:p w14:paraId="205868B6" w14:textId="77777777" w:rsidR="00E41DB3" w:rsidRPr="00AB726E" w:rsidRDefault="00E41DB3" w:rsidP="00E73459">
            <w:pPr>
              <w:jc w:val="center"/>
            </w:pPr>
            <w:r w:rsidRPr="00AB726E">
              <w:t>C</w:t>
            </w:r>
          </w:p>
        </w:tc>
        <w:tc>
          <w:tcPr>
            <w:tcW w:w="494" w:type="pct"/>
            <w:shd w:val="clear" w:color="000000" w:fill="F2F2F2"/>
            <w:noWrap/>
            <w:vAlign w:val="center"/>
          </w:tcPr>
          <w:p w14:paraId="7AB5D7D8" w14:textId="50E9525F" w:rsidR="00E41DB3" w:rsidRPr="00AB726E" w:rsidRDefault="00E41DB3" w:rsidP="00E73459">
            <w:pPr>
              <w:jc w:val="center"/>
            </w:pPr>
            <w:r w:rsidRPr="00AB726E">
              <w:t>IS</w:t>
            </w:r>
          </w:p>
        </w:tc>
        <w:tc>
          <w:tcPr>
            <w:tcW w:w="531" w:type="pct"/>
            <w:shd w:val="clear" w:color="000000" w:fill="F2F2F2"/>
            <w:noWrap/>
            <w:vAlign w:val="center"/>
          </w:tcPr>
          <w:p w14:paraId="2D266F7B" w14:textId="5E8F8FEB" w:rsidR="00E41DB3" w:rsidRPr="00AB726E" w:rsidRDefault="00E41DB3" w:rsidP="00E73459">
            <w:pPr>
              <w:jc w:val="center"/>
            </w:pPr>
            <w:r w:rsidRPr="00AB726E">
              <w:t>C</w:t>
            </w:r>
          </w:p>
        </w:tc>
      </w:tr>
      <w:tr w:rsidR="009A7B35" w:rsidRPr="00864DC4" w14:paraId="4D7BCA46" w14:textId="77777777" w:rsidTr="009A7B35">
        <w:trPr>
          <w:trHeight w:val="444"/>
        </w:trPr>
        <w:tc>
          <w:tcPr>
            <w:tcW w:w="5000" w:type="pct"/>
            <w:gridSpan w:val="10"/>
            <w:shd w:val="clear" w:color="auto" w:fill="E7E6E6" w:themeFill="background2"/>
            <w:vAlign w:val="center"/>
          </w:tcPr>
          <w:p w14:paraId="3ECCAFA9" w14:textId="3ABDAD79" w:rsidR="009A7B35" w:rsidRPr="00864DC4" w:rsidRDefault="009A7B35" w:rsidP="009A7B35">
            <w:r w:rsidRPr="00864DC4">
              <w:t xml:space="preserve">C = </w:t>
            </w:r>
            <w:r w:rsidR="008D7BAE">
              <w:t>c</w:t>
            </w:r>
            <w:r w:rsidRPr="00864DC4">
              <w:t>ompliant</w:t>
            </w:r>
            <w:r w:rsidR="0061788E">
              <w:t xml:space="preserve">    </w:t>
            </w:r>
            <w:r w:rsidRPr="00864DC4">
              <w:t xml:space="preserve"> IS = within immaterial shortfall</w:t>
            </w:r>
            <w:r w:rsidR="0061788E">
              <w:t xml:space="preserve">      </w:t>
            </w:r>
            <w:r w:rsidRPr="00864DC4">
              <w:t xml:space="preserve">NC = </w:t>
            </w:r>
            <w:r w:rsidR="007C6B1F" w:rsidRPr="00864DC4">
              <w:t>non</w:t>
            </w:r>
            <w:r w:rsidRPr="00864DC4">
              <w:t>-compliant</w:t>
            </w:r>
          </w:p>
        </w:tc>
      </w:tr>
    </w:tbl>
    <w:p w14:paraId="6877DAEC" w14:textId="3E86DDC3" w:rsidR="001A48BD" w:rsidRPr="001A48BD" w:rsidRDefault="00AD1425" w:rsidP="001A48BD">
      <w:pPr>
        <w:pStyle w:val="Heading3"/>
      </w:pPr>
      <w:bookmarkStart w:id="404" w:name="_Toc210306627"/>
      <w:bookmarkStart w:id="405" w:name="_Toc210317453"/>
      <w:bookmarkStart w:id="406" w:name="_Toc210815607"/>
      <w:r>
        <w:t>Government sector</w:t>
      </w:r>
      <w:bookmarkEnd w:id="404"/>
      <w:bookmarkEnd w:id="405"/>
      <w:bookmarkEnd w:id="406"/>
    </w:p>
    <w:p w14:paraId="23AB897B" w14:textId="729B8173" w:rsidR="00DD778A" w:rsidRDefault="28C91187" w:rsidP="421ADA8C">
      <w:r w:rsidRPr="3A93DC59">
        <w:t xml:space="preserve">The Board </w:t>
      </w:r>
      <w:r w:rsidR="5AAC89C0" w:rsidRPr="3A93DC59">
        <w:t>found</w:t>
      </w:r>
      <w:r w:rsidRPr="3A93DC59">
        <w:t xml:space="preserve"> that</w:t>
      </w:r>
      <w:r w:rsidR="3CBCF3F3" w:rsidRPr="3A93DC59">
        <w:t xml:space="preserve"> </w:t>
      </w:r>
      <w:r w:rsidR="3963E278" w:rsidRPr="3A93DC59">
        <w:t>6</w:t>
      </w:r>
      <w:r w:rsidR="3CBCF3F3" w:rsidRPr="3A93DC59">
        <w:t xml:space="preserve"> out of </w:t>
      </w:r>
      <w:r w:rsidR="3963E278" w:rsidRPr="3A93DC59">
        <w:t>8</w:t>
      </w:r>
      <w:r w:rsidR="3CBCF3F3" w:rsidRPr="3A93DC59">
        <w:t xml:space="preserve"> jurisdictions met their minimum funding requirements for the government sector in 2023</w:t>
      </w:r>
      <w:r w:rsidR="313F91FE" w:rsidRPr="3A93DC59">
        <w:t xml:space="preserve">. </w:t>
      </w:r>
      <w:r w:rsidR="20A47249" w:rsidRPr="3A93DC59">
        <w:t xml:space="preserve">Detailed reporting, including total contributions is included in </w:t>
      </w:r>
      <w:r w:rsidR="20A47249" w:rsidRPr="00855C3C">
        <w:t>Appendix</w:t>
      </w:r>
      <w:r w:rsidR="3963E278" w:rsidRPr="00855C3C">
        <w:t> </w:t>
      </w:r>
      <w:r w:rsidR="66231547" w:rsidRPr="00855C3C">
        <w:t>E</w:t>
      </w:r>
      <w:r w:rsidR="20A47249" w:rsidRPr="3A93DC59">
        <w:t>.</w:t>
      </w:r>
    </w:p>
    <w:p w14:paraId="6E526FA7" w14:textId="7A0BF561" w:rsidR="00854958" w:rsidRDefault="00EA531D" w:rsidP="421ADA8C">
      <w:r>
        <w:fldChar w:fldCharType="begin"/>
      </w:r>
      <w:r>
        <w:instrText xml:space="preserve"> REF _Ref190335081 \h </w:instrText>
      </w:r>
      <w:r>
        <w:fldChar w:fldCharType="separate"/>
      </w:r>
      <w:r w:rsidR="00587C96" w:rsidRPr="3A93DC59">
        <w:t xml:space="preserve">Figure </w:t>
      </w:r>
      <w:r w:rsidR="00587C96">
        <w:rPr>
          <w:noProof/>
        </w:rPr>
        <w:t>2</w:t>
      </w:r>
      <w:r>
        <w:fldChar w:fldCharType="end"/>
      </w:r>
      <w:r w:rsidR="790227CB" w:rsidRPr="3A93DC59">
        <w:t xml:space="preserve"> </w:t>
      </w:r>
      <w:r w:rsidR="6959FD95" w:rsidRPr="3A93DC59">
        <w:t>displays SRS contributions to the government sector by comparing the required SRS funding share to jurisdictions actual contributions</w:t>
      </w:r>
      <w:r w:rsidR="407CD8BC" w:rsidRPr="3A93DC59">
        <w:t xml:space="preserve">, </w:t>
      </w:r>
      <w:r w:rsidR="71335E7D" w:rsidRPr="3A93DC59">
        <w:t>as well as</w:t>
      </w:r>
      <w:r w:rsidR="407CD8BC" w:rsidRPr="3A93DC59">
        <w:t xml:space="preserve"> the variance between actual and required conditions</w:t>
      </w:r>
      <w:r w:rsidR="6959FD95" w:rsidRPr="3A93DC59">
        <w:t xml:space="preserve">. </w:t>
      </w:r>
    </w:p>
    <w:p w14:paraId="579ECD4D" w14:textId="3177D5DB" w:rsidR="009F1298" w:rsidRDefault="009F1298">
      <w:pPr>
        <w:spacing w:before="0" w:after="160"/>
      </w:pPr>
      <w:r>
        <w:br w:type="page"/>
      </w:r>
    </w:p>
    <w:p w14:paraId="0ED8A6F1" w14:textId="4C92AB5E" w:rsidR="00AA37FB" w:rsidRPr="00370C3C" w:rsidRDefault="682D58B9" w:rsidP="3A93DC59">
      <w:pPr>
        <w:pStyle w:val="Caption"/>
        <w:rPr>
          <w:sz w:val="16"/>
          <w:szCs w:val="16"/>
        </w:rPr>
      </w:pPr>
      <w:bookmarkStart w:id="407" w:name="_Ref190335081"/>
      <w:bookmarkStart w:id="408" w:name="_Toc200636974"/>
      <w:r w:rsidRPr="3A93DC59">
        <w:lastRenderedPageBreak/>
        <w:t xml:space="preserve">Figure </w:t>
      </w:r>
      <w:r>
        <w:fldChar w:fldCharType="begin"/>
      </w:r>
      <w:r>
        <w:instrText xml:space="preserve"> SEQ Figure \* ARABIC </w:instrText>
      </w:r>
      <w:r>
        <w:fldChar w:fldCharType="separate"/>
      </w:r>
      <w:r w:rsidR="00587C96">
        <w:rPr>
          <w:noProof/>
        </w:rPr>
        <w:t>2</w:t>
      </w:r>
      <w:r>
        <w:fldChar w:fldCharType="end"/>
      </w:r>
      <w:bookmarkEnd w:id="407"/>
      <w:r w:rsidR="0148B570" w:rsidRPr="3A93DC59">
        <w:t>:</w:t>
      </w:r>
      <w:r w:rsidR="41034D52" w:rsidRPr="3A93DC59">
        <w:t xml:space="preserve"> </w:t>
      </w:r>
      <w:r w:rsidRPr="3A93DC59">
        <w:t xml:space="preserve">Jurisdictions’ SRS contributions </w:t>
      </w:r>
      <w:r w:rsidR="008D7BAE">
        <w:t>for</w:t>
      </w:r>
      <w:r w:rsidR="008D7BAE" w:rsidRPr="3A93DC59">
        <w:t xml:space="preserve"> </w:t>
      </w:r>
      <w:r w:rsidRPr="3A93DC59">
        <w:t>the government sector</w:t>
      </w:r>
      <w:bookmarkEnd w:id="408"/>
    </w:p>
    <w:p w14:paraId="2F8D5BC5" w14:textId="33DE4B06" w:rsidR="00154A66" w:rsidRDefault="00342A9F" w:rsidP="00AA37FB">
      <w:pPr>
        <w:pStyle w:val="Caption"/>
        <w:rPr>
          <w:lang w:eastAsia="en-AU"/>
        </w:rPr>
      </w:pPr>
      <w:r>
        <w:rPr>
          <w:noProof/>
        </w:rPr>
        <w:drawing>
          <wp:inline distT="0" distB="0" distL="0" distR="0" wp14:anchorId="71F0F55A" wp14:editId="6224ECD0">
            <wp:extent cx="5479084" cy="3021177"/>
            <wp:effectExtent l="0" t="0" r="7620" b="8255"/>
            <wp:docPr id="13192540" name="Chart 1" descr="Figure 2 depicts each jurisdictions' SRS contributions for the government sector. Each jurisdiction is listed along the X axis, with the contribution percentage on the Y axis.&#10;The Australian Capital Territory had a surplus of 9.26% above their required contribution.&#10;New South Wales had a surplus of 8.06% above their required contribution.&#10;The Northern Territory had a shortfall of 1.64% below their required contribution, which is not within the agreed 0.6% immateriality clause.&#10;Queensland had a surplus of 3.49% above their required contribution.&#10;South Australia had a shortfall of 0.36% below their required contribution, which is within the 0.6% immateriality clause.&#10;Tasmania had a surplus of 2.37% above their required contribution.&#10;Victoria had a shortfall of 1.67% below their required contribution, which is not within the agreed 0.6% immateriality clause.&#10;Western Australia had a surplus of 3.78% above their required contribution.">
              <a:extLst xmlns:a="http://schemas.openxmlformats.org/drawingml/2006/main">
                <a:ext uri="{FF2B5EF4-FFF2-40B4-BE49-F238E27FC236}">
                  <a16:creationId xmlns:a16="http://schemas.microsoft.com/office/drawing/2014/main" id="{247306F5-1F3E-C4C7-912D-E4EB282BD7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F0159F" w14:textId="38A1A916" w:rsidR="00F50E82" w:rsidRDefault="2FD817AD" w:rsidP="421ADA8C">
      <w:r w:rsidRPr="3A93DC59">
        <w:t>T</w:t>
      </w:r>
      <w:r w:rsidR="246CE9E1" w:rsidRPr="3A93DC59">
        <w:t xml:space="preserve">he Board </w:t>
      </w:r>
      <w:r w:rsidR="13D0FC0A" w:rsidRPr="3A93DC59">
        <w:t>found that</w:t>
      </w:r>
      <w:r w:rsidR="246CE9E1" w:rsidRPr="3A93DC59">
        <w:t xml:space="preserve"> </w:t>
      </w:r>
      <w:r w:rsidR="77FBA671" w:rsidRPr="3A93DC59">
        <w:t>6</w:t>
      </w:r>
      <w:r w:rsidR="3C5A9D2F" w:rsidRPr="3A93DC59">
        <w:t xml:space="preserve"> </w:t>
      </w:r>
      <w:r w:rsidR="6F96BF1D" w:rsidRPr="3A93DC59">
        <w:t xml:space="preserve">out of </w:t>
      </w:r>
      <w:r w:rsidR="77FBA671" w:rsidRPr="3A93DC59">
        <w:t>8</w:t>
      </w:r>
      <w:r w:rsidR="6F96BF1D" w:rsidRPr="3A93DC59">
        <w:t xml:space="preserve"> states and territories fell within the 0.6</w:t>
      </w:r>
      <w:r w:rsidR="1D65B8A4" w:rsidRPr="3A93DC59">
        <w:t>%</w:t>
      </w:r>
      <w:r w:rsidR="6F96BF1D" w:rsidRPr="3A93DC59">
        <w:t xml:space="preserve"> immateriality clause, me</w:t>
      </w:r>
      <w:r w:rsidR="00F105A4">
        <w:t>e</w:t>
      </w:r>
      <w:r w:rsidR="6F96BF1D" w:rsidRPr="3A93DC59">
        <w:t>t</w:t>
      </w:r>
      <w:r w:rsidR="00F105A4">
        <w:t>ing</w:t>
      </w:r>
      <w:r w:rsidR="6F96BF1D" w:rsidRPr="3A93DC59">
        <w:t xml:space="preserve"> or exceed</w:t>
      </w:r>
      <w:r w:rsidR="00F105A4">
        <w:t>ing</w:t>
      </w:r>
      <w:r w:rsidR="6F96BF1D" w:rsidRPr="3A93DC59">
        <w:t xml:space="preserve"> their agreed funding contribution amounts for government schools in the </w:t>
      </w:r>
      <w:r w:rsidR="405A71F6" w:rsidRPr="3A93DC59">
        <w:t xml:space="preserve">2023 </w:t>
      </w:r>
      <w:r w:rsidR="6F96BF1D" w:rsidRPr="3A93DC59">
        <w:t xml:space="preserve">funding year. </w:t>
      </w:r>
      <w:r w:rsidR="3DD0D6B3" w:rsidRPr="3A93DC59">
        <w:t xml:space="preserve">In </w:t>
      </w:r>
      <w:r>
        <w:fldChar w:fldCharType="begin"/>
      </w:r>
      <w:r>
        <w:instrText xml:space="preserve"> REF _Ref190335081 \h </w:instrText>
      </w:r>
      <w:r>
        <w:fldChar w:fldCharType="separate"/>
      </w:r>
      <w:r w:rsidR="00587C96" w:rsidRPr="3A93DC59">
        <w:t xml:space="preserve">Figure </w:t>
      </w:r>
      <w:r w:rsidR="00587C96">
        <w:rPr>
          <w:noProof/>
        </w:rPr>
        <w:t>2</w:t>
      </w:r>
      <w:r>
        <w:fldChar w:fldCharType="end"/>
      </w:r>
      <w:r w:rsidR="3DD0D6B3" w:rsidRPr="3A93DC59">
        <w:t>, w</w:t>
      </w:r>
      <w:r w:rsidR="4FDF8B43" w:rsidRPr="3A93DC59">
        <w:t>here a jurisdiction has fallen below the bilaterally agreed immaterial shortfall (0.6%) of their SRS target, the variance is noted in red.</w:t>
      </w:r>
    </w:p>
    <w:p w14:paraId="713399F3" w14:textId="6D51DB0A" w:rsidR="00B600DB" w:rsidRDefault="00E3721F" w:rsidP="00B600DB">
      <w:r>
        <w:t>T</w:t>
      </w:r>
      <w:r w:rsidR="00163B9C" w:rsidRPr="00163B9C">
        <w:t xml:space="preserve">he Northern Territory </w:t>
      </w:r>
      <w:r w:rsidR="00F03BEE" w:rsidRPr="00163B9C">
        <w:t xml:space="preserve">and Victoria </w:t>
      </w:r>
      <w:r w:rsidR="00163B9C" w:rsidRPr="00163B9C">
        <w:t xml:space="preserve">were non-compliant with minimum funding requirements for the government sector (see section </w:t>
      </w:r>
      <w:r w:rsidR="00EA531D">
        <w:fldChar w:fldCharType="begin"/>
      </w:r>
      <w:r w:rsidR="00EA531D">
        <w:instrText xml:space="preserve"> REF _Ref190760233 \r \h </w:instrText>
      </w:r>
      <w:r w:rsidR="00EA531D">
        <w:fldChar w:fldCharType="separate"/>
      </w:r>
      <w:r w:rsidR="00587C96">
        <w:t>4.4</w:t>
      </w:r>
      <w:r w:rsidR="00EA531D">
        <w:fldChar w:fldCharType="end"/>
      </w:r>
      <w:r w:rsidR="00EA531D">
        <w:t xml:space="preserve"> </w:t>
      </w:r>
      <w:r w:rsidR="00EF2ADC">
        <w:t>for details</w:t>
      </w:r>
      <w:r w:rsidR="00163B9C" w:rsidRPr="00163B9C">
        <w:t>).</w:t>
      </w:r>
      <w:r w:rsidR="004C640A" w:rsidRPr="004C640A">
        <w:t xml:space="preserve"> </w:t>
      </w:r>
      <w:r w:rsidR="00EA531D">
        <w:fldChar w:fldCharType="begin"/>
      </w:r>
      <w:r w:rsidR="00EA531D">
        <w:instrText xml:space="preserve"> REF _Ref190335081 \h </w:instrText>
      </w:r>
      <w:r w:rsidR="00EA531D">
        <w:fldChar w:fldCharType="separate"/>
      </w:r>
      <w:r w:rsidR="00587C96" w:rsidRPr="3A93DC59">
        <w:t xml:space="preserve">Figure </w:t>
      </w:r>
      <w:r w:rsidR="00587C96">
        <w:rPr>
          <w:noProof/>
        </w:rPr>
        <w:t>2</w:t>
      </w:r>
      <w:r w:rsidR="00EA531D">
        <w:fldChar w:fldCharType="end"/>
      </w:r>
      <w:r w:rsidR="00EA531D">
        <w:t xml:space="preserve"> </w:t>
      </w:r>
      <w:r w:rsidR="004C640A">
        <w:t xml:space="preserve">also shows </w:t>
      </w:r>
      <w:r w:rsidR="004C640A" w:rsidRPr="00163B9C">
        <w:t>South Australia recorded an immaterial shortfall</w:t>
      </w:r>
      <w:r w:rsidR="004C640A">
        <w:t xml:space="preserve"> </w:t>
      </w:r>
      <w:r w:rsidR="004C640A" w:rsidRPr="00163B9C">
        <w:t xml:space="preserve">for the government sector (see section </w:t>
      </w:r>
      <w:r w:rsidR="00EA531D">
        <w:fldChar w:fldCharType="begin"/>
      </w:r>
      <w:r w:rsidR="00EA531D">
        <w:instrText xml:space="preserve"> REF _Ref190335126 \r \h </w:instrText>
      </w:r>
      <w:r w:rsidR="00EA531D">
        <w:fldChar w:fldCharType="separate"/>
      </w:r>
      <w:r w:rsidR="00587C96">
        <w:t>4.3</w:t>
      </w:r>
      <w:r w:rsidR="00EA531D">
        <w:fldChar w:fldCharType="end"/>
      </w:r>
      <w:r w:rsidR="00EA531D">
        <w:t xml:space="preserve"> </w:t>
      </w:r>
      <w:r w:rsidR="004C640A" w:rsidRPr="00163B9C">
        <w:t xml:space="preserve">for details). </w:t>
      </w:r>
    </w:p>
    <w:tbl>
      <w:tblPr>
        <w:tblStyle w:val="PullOutBox22"/>
        <w:tblpPr w:leftFromText="180" w:rightFromText="180" w:vertAnchor="text" w:horzAnchor="margin" w:tblpY="293"/>
        <w:tblW w:w="0" w:type="auto"/>
        <w:shd w:val="clear" w:color="auto" w:fill="FBE4D5" w:themeFill="accent2" w:themeFillTint="33"/>
        <w:tblLook w:val="04A0" w:firstRow="1" w:lastRow="0" w:firstColumn="1" w:lastColumn="0" w:noHBand="0" w:noVBand="1"/>
      </w:tblPr>
      <w:tblGrid>
        <w:gridCol w:w="9054"/>
      </w:tblGrid>
      <w:tr w:rsidR="00203A83" w:rsidRPr="00E2031A" w14:paraId="427A3482" w14:textId="77777777" w:rsidTr="0FA5145A">
        <w:trPr>
          <w:trHeight w:val="993"/>
          <w:tblHeader/>
        </w:trPr>
        <w:tc>
          <w:tcPr>
            <w:tcW w:w="9054" w:type="dxa"/>
            <w:shd w:val="clear" w:color="auto" w:fill="FBE4D5" w:themeFill="accent2" w:themeFillTint="33"/>
          </w:tcPr>
          <w:p w14:paraId="572C23D4" w14:textId="77777777" w:rsidR="00203A83" w:rsidRPr="00E2031A" w:rsidRDefault="76FB2EAC" w:rsidP="008A5388">
            <w:pPr>
              <w:pStyle w:val="BoxHeading-Finding"/>
              <w:framePr w:hSpace="0" w:wrap="auto" w:vAnchor="margin" w:hAnchor="text" w:yAlign="inline"/>
            </w:pPr>
            <w:r>
              <w:t>Finding 4</w:t>
            </w:r>
          </w:p>
          <w:p w14:paraId="53677181" w14:textId="77777777" w:rsidR="00203A83" w:rsidRPr="00160300" w:rsidRDefault="76FB2EAC" w:rsidP="008A5388">
            <w:pPr>
              <w:pStyle w:val="Normal-Pulloutboxlast"/>
            </w:pPr>
            <w:r>
              <w:t xml:space="preserve">The Board found that, for the government sector, 6 out of 8 states and territories were compliant with their minimum funding requirements for the 2023 funding year under section 22A of the </w:t>
            </w:r>
            <w:r w:rsidRPr="0FA5145A">
              <w:rPr>
                <w:i/>
                <w:iCs/>
              </w:rPr>
              <w:t>Australian Education Act 2013.</w:t>
            </w:r>
            <w:r>
              <w:t xml:space="preserve"> </w:t>
            </w:r>
          </w:p>
        </w:tc>
      </w:tr>
    </w:tbl>
    <w:p w14:paraId="5DBABD1B" w14:textId="77777777" w:rsidR="009F1298" w:rsidRDefault="009F1298">
      <w:pPr>
        <w:spacing w:before="0" w:after="160"/>
      </w:pPr>
      <w:r>
        <w:br w:type="page"/>
      </w:r>
    </w:p>
    <w:p w14:paraId="42071492" w14:textId="77777777" w:rsidR="00AD1425" w:rsidRDefault="00AD1425" w:rsidP="00AD1425">
      <w:pPr>
        <w:pStyle w:val="Heading3"/>
      </w:pPr>
      <w:bookmarkStart w:id="409" w:name="_Toc210306628"/>
      <w:bookmarkStart w:id="410" w:name="_Toc210317454"/>
      <w:bookmarkStart w:id="411" w:name="_Toc210815608"/>
      <w:r>
        <w:lastRenderedPageBreak/>
        <w:t>Non-government sector</w:t>
      </w:r>
      <w:bookmarkEnd w:id="409"/>
      <w:bookmarkEnd w:id="410"/>
      <w:bookmarkEnd w:id="411"/>
    </w:p>
    <w:p w14:paraId="77928668" w14:textId="1228495E" w:rsidR="00BC508F" w:rsidRDefault="00EA531D" w:rsidP="3A93DC59">
      <w:pPr>
        <w:rPr>
          <w:lang w:eastAsia="en-AU"/>
        </w:rPr>
      </w:pPr>
      <w:r>
        <w:rPr>
          <w:lang w:eastAsia="en-AU"/>
        </w:rPr>
        <w:fldChar w:fldCharType="begin"/>
      </w:r>
      <w:r>
        <w:rPr>
          <w:lang w:eastAsia="en-AU"/>
        </w:rPr>
        <w:instrText xml:space="preserve"> REF _Ref190335092 \h </w:instrText>
      </w:r>
      <w:r>
        <w:rPr>
          <w:lang w:eastAsia="en-AU"/>
        </w:rPr>
      </w:r>
      <w:r>
        <w:rPr>
          <w:lang w:eastAsia="en-AU"/>
        </w:rPr>
        <w:fldChar w:fldCharType="separate"/>
      </w:r>
      <w:r w:rsidR="00587C96" w:rsidRPr="3A93DC59">
        <w:t xml:space="preserve">Figure </w:t>
      </w:r>
      <w:r w:rsidR="00587C96">
        <w:rPr>
          <w:noProof/>
        </w:rPr>
        <w:t>3</w:t>
      </w:r>
      <w:r>
        <w:rPr>
          <w:lang w:eastAsia="en-AU"/>
        </w:rPr>
        <w:fldChar w:fldCharType="end"/>
      </w:r>
      <w:r w:rsidR="790227CB" w:rsidRPr="3A93DC59">
        <w:rPr>
          <w:lang w:eastAsia="en-AU"/>
        </w:rPr>
        <w:t xml:space="preserve"> </w:t>
      </w:r>
      <w:r w:rsidR="6C1138C0" w:rsidRPr="3A93DC59">
        <w:rPr>
          <w:lang w:eastAsia="en-AU"/>
        </w:rPr>
        <w:t xml:space="preserve">displays the contributions </w:t>
      </w:r>
      <w:r w:rsidR="00E43865">
        <w:rPr>
          <w:lang w:eastAsia="en-AU"/>
        </w:rPr>
        <w:t>for</w:t>
      </w:r>
      <w:r w:rsidR="00E43865" w:rsidRPr="3A93DC59">
        <w:rPr>
          <w:lang w:eastAsia="en-AU"/>
        </w:rPr>
        <w:t xml:space="preserve"> </w:t>
      </w:r>
      <w:r w:rsidR="6C1138C0" w:rsidRPr="3A93DC59">
        <w:rPr>
          <w:lang w:eastAsia="en-AU"/>
        </w:rPr>
        <w:t>the non-government sector by all jurisdictions.</w:t>
      </w:r>
    </w:p>
    <w:p w14:paraId="0A7524D3" w14:textId="4E0E3360" w:rsidR="004D1F4D" w:rsidRDefault="682D58B9" w:rsidP="3A93DC59">
      <w:pPr>
        <w:pStyle w:val="Caption"/>
        <w:rPr>
          <w:lang w:eastAsia="en-AU"/>
        </w:rPr>
      </w:pPr>
      <w:bookmarkStart w:id="412" w:name="_Ref190335092"/>
      <w:bookmarkStart w:id="413" w:name="_Toc200636975"/>
      <w:r w:rsidRPr="3A93DC59">
        <w:t xml:space="preserve">Figure </w:t>
      </w:r>
      <w:r>
        <w:fldChar w:fldCharType="begin"/>
      </w:r>
      <w:r>
        <w:instrText xml:space="preserve"> SEQ Figure \* ARABIC </w:instrText>
      </w:r>
      <w:r>
        <w:fldChar w:fldCharType="separate"/>
      </w:r>
      <w:r w:rsidR="00587C96">
        <w:rPr>
          <w:noProof/>
        </w:rPr>
        <w:t>3</w:t>
      </w:r>
      <w:r>
        <w:fldChar w:fldCharType="end"/>
      </w:r>
      <w:bookmarkEnd w:id="412"/>
      <w:r w:rsidR="41034D52" w:rsidRPr="3A93DC59">
        <w:t>:</w:t>
      </w:r>
      <w:r w:rsidRPr="3A93DC59">
        <w:t xml:space="preserve"> Jurisdictions’ SRS contributions </w:t>
      </w:r>
      <w:r w:rsidR="003F68AC">
        <w:t>for</w:t>
      </w:r>
      <w:r w:rsidR="003F68AC" w:rsidRPr="3A93DC59">
        <w:t xml:space="preserve"> </w:t>
      </w:r>
      <w:r w:rsidRPr="3A93DC59">
        <w:t>the non-government sector</w:t>
      </w:r>
      <w:bookmarkEnd w:id="413"/>
    </w:p>
    <w:p w14:paraId="0EEEFABA" w14:textId="77777777" w:rsidR="00192B14" w:rsidRDefault="00913233" w:rsidP="00192B14">
      <w:pPr>
        <w:spacing w:before="0" w:after="160"/>
        <w:rPr>
          <w:lang w:eastAsia="en-AU"/>
        </w:rPr>
      </w:pPr>
      <w:r>
        <w:rPr>
          <w:noProof/>
        </w:rPr>
        <w:drawing>
          <wp:inline distT="0" distB="0" distL="0" distR="0" wp14:anchorId="4B160ED8" wp14:editId="05416F92">
            <wp:extent cx="5427878" cy="2428647"/>
            <wp:effectExtent l="0" t="0" r="1905" b="10160"/>
            <wp:docPr id="1732821028" name="Chart 1" descr="Figure 3 depicts each jurisdictions' SRS contributions for the non-government sector. Each jurisdiction is listed along X axis, with the contribution percentage on the Y axis.&#10;The Australian Capital Territory provided funding equal to their required contribution. &#10;New South Wales had a surplus of 0.81% above their required contribution.&#10;The Northern Territory had a shortfall of 0.60% below their required contribution, but within the 0.6% immateriality clause.&#10;Queensland had a shortfall of 0.03% below their required contribution, but within the 0.6% immateriality clause.&#10;South Australia had a surplus of 3.38% above their required contribution.&#10;Tasmania had a surplus of 0.05% above their required contribution.&#10;Victoria had a shortfall of 0.55% below their required contribution, but within the 0.6% immateriality clause.&#10;Western Australia had a surplus of 0.21% above their required contribution.">
              <a:extLst xmlns:a="http://schemas.openxmlformats.org/drawingml/2006/main">
                <a:ext uri="{FF2B5EF4-FFF2-40B4-BE49-F238E27FC236}">
                  <a16:creationId xmlns:a16="http://schemas.microsoft.com/office/drawing/2014/main" id="{5B2C4377-C08A-271B-A8CD-7A57FB1617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32D3D0D" w14:textId="3409AFC1" w:rsidR="00F73240" w:rsidRDefault="00EF779B" w:rsidP="00192B14">
      <w:pPr>
        <w:spacing w:before="0" w:after="160"/>
        <w:rPr>
          <w:lang w:eastAsia="en-AU"/>
        </w:rPr>
      </w:pPr>
      <w:r>
        <w:rPr>
          <w:lang w:eastAsia="en-AU"/>
        </w:rPr>
        <w:t>T</w:t>
      </w:r>
      <w:r w:rsidR="000C223B">
        <w:rPr>
          <w:lang w:eastAsia="en-AU"/>
        </w:rPr>
        <w:t>he Board considers that</w:t>
      </w:r>
      <w:r w:rsidR="00B600DB" w:rsidRPr="000F5983">
        <w:rPr>
          <w:lang w:eastAsia="en-AU"/>
        </w:rPr>
        <w:t xml:space="preserve"> </w:t>
      </w:r>
      <w:r w:rsidR="00ED1E25" w:rsidRPr="000F5983">
        <w:rPr>
          <w:lang w:eastAsia="en-AU"/>
        </w:rPr>
        <w:t>all</w:t>
      </w:r>
      <w:r w:rsidR="00B600DB" w:rsidRPr="000F5983">
        <w:rPr>
          <w:lang w:eastAsia="en-AU"/>
        </w:rPr>
        <w:t xml:space="preserve"> states and </w:t>
      </w:r>
      <w:r w:rsidR="00B600DB" w:rsidRPr="000F5983">
        <w:t xml:space="preserve">territories </w:t>
      </w:r>
      <w:r w:rsidR="00B600DB" w:rsidRPr="000F5983">
        <w:rPr>
          <w:lang w:eastAsia="en-AU"/>
        </w:rPr>
        <w:t xml:space="preserve">met or exceeded their agreed funding contribution amounts for non-government schools in the </w:t>
      </w:r>
      <w:r w:rsidR="004F2E25" w:rsidRPr="000F5983">
        <w:rPr>
          <w:lang w:eastAsia="en-AU"/>
        </w:rPr>
        <w:t xml:space="preserve">2023 </w:t>
      </w:r>
      <w:r w:rsidR="00B600DB" w:rsidRPr="000F5983">
        <w:rPr>
          <w:lang w:eastAsia="en-AU"/>
        </w:rPr>
        <w:t>funding year</w:t>
      </w:r>
      <w:r w:rsidR="00B339C0">
        <w:rPr>
          <w:lang w:eastAsia="en-AU"/>
        </w:rPr>
        <w:t>.</w:t>
      </w:r>
      <w:r w:rsidR="00B04BBE">
        <w:rPr>
          <w:lang w:eastAsia="en-AU"/>
        </w:rPr>
        <w:t xml:space="preserve"> </w:t>
      </w:r>
      <w:r w:rsidR="00B339C0">
        <w:rPr>
          <w:lang w:eastAsia="en-AU"/>
        </w:rPr>
        <w:t>A</w:t>
      </w:r>
      <w:r w:rsidR="00B04BBE">
        <w:rPr>
          <w:lang w:eastAsia="en-AU"/>
        </w:rPr>
        <w:t>s</w:t>
      </w:r>
      <w:r>
        <w:rPr>
          <w:lang w:eastAsia="en-AU"/>
        </w:rPr>
        <w:t xml:space="preserve"> </w:t>
      </w:r>
      <w:r w:rsidR="00123D9F">
        <w:rPr>
          <w:lang w:eastAsia="en-AU"/>
        </w:rPr>
        <w:fldChar w:fldCharType="begin"/>
      </w:r>
      <w:r w:rsidR="00123D9F">
        <w:rPr>
          <w:lang w:eastAsia="en-AU"/>
        </w:rPr>
        <w:instrText xml:space="preserve"> REF _Ref190335092 \h </w:instrText>
      </w:r>
      <w:r w:rsidR="00123D9F">
        <w:rPr>
          <w:lang w:eastAsia="en-AU"/>
        </w:rPr>
      </w:r>
      <w:r w:rsidR="00123D9F">
        <w:rPr>
          <w:lang w:eastAsia="en-AU"/>
        </w:rPr>
        <w:fldChar w:fldCharType="separate"/>
      </w:r>
      <w:r w:rsidR="00587C96" w:rsidRPr="3A93DC59">
        <w:t xml:space="preserve">Figure </w:t>
      </w:r>
      <w:r w:rsidR="00587C96">
        <w:rPr>
          <w:noProof/>
        </w:rPr>
        <w:t>3</w:t>
      </w:r>
      <w:r w:rsidR="00123D9F">
        <w:rPr>
          <w:lang w:eastAsia="en-AU"/>
        </w:rPr>
        <w:fldChar w:fldCharType="end"/>
      </w:r>
      <w:r w:rsidR="00123D9F">
        <w:rPr>
          <w:lang w:eastAsia="en-AU"/>
        </w:rPr>
        <w:t xml:space="preserve"> </w:t>
      </w:r>
      <w:r>
        <w:rPr>
          <w:lang w:eastAsia="en-AU"/>
        </w:rPr>
        <w:t>refers</w:t>
      </w:r>
      <w:r w:rsidR="00B339C0">
        <w:rPr>
          <w:lang w:eastAsia="en-AU"/>
        </w:rPr>
        <w:t>,</w:t>
      </w:r>
      <w:r w:rsidR="00B600DB" w:rsidRPr="000F5983">
        <w:rPr>
          <w:lang w:eastAsia="en-AU"/>
        </w:rPr>
        <w:t xml:space="preserve"> </w:t>
      </w:r>
      <w:r w:rsidR="00B339C0">
        <w:rPr>
          <w:lang w:eastAsia="en-AU"/>
        </w:rPr>
        <w:t>t</w:t>
      </w:r>
      <w:r w:rsidR="00B507E5" w:rsidRPr="000F5983">
        <w:rPr>
          <w:lang w:eastAsia="en-AU"/>
        </w:rPr>
        <w:t>he Board notes</w:t>
      </w:r>
      <w:r w:rsidR="000F5983" w:rsidRPr="000F5983">
        <w:rPr>
          <w:lang w:eastAsia="en-AU"/>
        </w:rPr>
        <w:t xml:space="preserve"> </w:t>
      </w:r>
      <w:r w:rsidR="007A21D6" w:rsidRPr="000F5983">
        <w:rPr>
          <w:lang w:eastAsia="en-AU"/>
        </w:rPr>
        <w:t>the Northern Territory</w:t>
      </w:r>
      <w:r w:rsidR="007A21D6">
        <w:rPr>
          <w:lang w:eastAsia="en-AU"/>
        </w:rPr>
        <w:t>,</w:t>
      </w:r>
      <w:r w:rsidR="007A21D6" w:rsidRPr="000F5983">
        <w:rPr>
          <w:lang w:eastAsia="en-AU"/>
        </w:rPr>
        <w:t xml:space="preserve"> </w:t>
      </w:r>
      <w:r w:rsidR="000F5983" w:rsidRPr="000F5983">
        <w:rPr>
          <w:lang w:eastAsia="en-AU"/>
        </w:rPr>
        <w:t xml:space="preserve">Queensland and </w:t>
      </w:r>
      <w:r w:rsidR="007A21D6" w:rsidRPr="000F5983">
        <w:rPr>
          <w:lang w:eastAsia="en-AU"/>
        </w:rPr>
        <w:t xml:space="preserve">Victoria </w:t>
      </w:r>
      <w:r w:rsidR="000F5983" w:rsidRPr="000F5983">
        <w:rPr>
          <w:lang w:eastAsia="en-AU"/>
        </w:rPr>
        <w:t>reported immaterial shortfalls</w:t>
      </w:r>
      <w:r w:rsidR="009D6104">
        <w:rPr>
          <w:lang w:eastAsia="en-AU"/>
        </w:rPr>
        <w:t>.</w:t>
      </w:r>
    </w:p>
    <w:tbl>
      <w:tblPr>
        <w:tblStyle w:val="PullOutBox22"/>
        <w:tblpPr w:leftFromText="180" w:rightFromText="180" w:vertAnchor="text" w:horzAnchor="margin" w:tblpY="293"/>
        <w:tblW w:w="0" w:type="auto"/>
        <w:shd w:val="clear" w:color="auto" w:fill="FBE4D5" w:themeFill="accent2" w:themeFillTint="33"/>
        <w:tblLook w:val="04A0" w:firstRow="1" w:lastRow="0" w:firstColumn="1" w:lastColumn="0" w:noHBand="0" w:noVBand="1"/>
      </w:tblPr>
      <w:tblGrid>
        <w:gridCol w:w="9054"/>
      </w:tblGrid>
      <w:tr w:rsidR="00C53FE4" w:rsidRPr="00E2031A" w14:paraId="2719F73B" w14:textId="77777777" w:rsidTr="0695D954">
        <w:trPr>
          <w:trHeight w:val="300"/>
          <w:tblHeader/>
        </w:trPr>
        <w:tc>
          <w:tcPr>
            <w:tcW w:w="9054" w:type="dxa"/>
            <w:shd w:val="clear" w:color="auto" w:fill="FBE4D5" w:themeFill="accent2" w:themeFillTint="33"/>
          </w:tcPr>
          <w:p w14:paraId="3FD29DCC" w14:textId="59C7BD3D" w:rsidR="00C53FE4" w:rsidRPr="00E2031A" w:rsidRDefault="2BEB59E0" w:rsidP="008A5388">
            <w:pPr>
              <w:pStyle w:val="BoxHeading-Finding"/>
              <w:framePr w:hSpace="0" w:wrap="auto" w:vAnchor="margin" w:hAnchor="text" w:yAlign="inline"/>
            </w:pPr>
            <w:r>
              <w:t>Finding 5</w:t>
            </w:r>
          </w:p>
          <w:p w14:paraId="0DFC6777" w14:textId="1C14E332" w:rsidR="00C53FE4" w:rsidRPr="00160300" w:rsidRDefault="2BEB59E0" w:rsidP="008A5388">
            <w:pPr>
              <w:pStyle w:val="Normal-Pulloutboxlast"/>
            </w:pPr>
            <w:r>
              <w:t xml:space="preserve">The Board found that, for the </w:t>
            </w:r>
            <w:r w:rsidRPr="004132DF">
              <w:t>non-government</w:t>
            </w:r>
            <w:r>
              <w:t xml:space="preserve"> sector, all states and territories were compliant with their minimum funding requirements for the 2023 funding year under section 22A of the </w:t>
            </w:r>
            <w:r w:rsidRPr="0695D954">
              <w:rPr>
                <w:i/>
                <w:iCs/>
              </w:rPr>
              <w:t>Australian Education Act 2013.</w:t>
            </w:r>
            <w:r>
              <w:t xml:space="preserve"> </w:t>
            </w:r>
          </w:p>
        </w:tc>
      </w:tr>
    </w:tbl>
    <w:p w14:paraId="185FD3AC" w14:textId="26AB6689" w:rsidR="00D71B43" w:rsidRDefault="00F466CA" w:rsidP="00D71B43">
      <w:pPr>
        <w:pStyle w:val="Heading2-Numbered"/>
        <w:ind w:left="540"/>
      </w:pPr>
      <w:bookmarkStart w:id="414" w:name="_Ref190335126"/>
      <w:bookmarkStart w:id="415" w:name="_Toc210815609"/>
      <w:r>
        <w:t>Immaterial shortfalls</w:t>
      </w:r>
      <w:bookmarkEnd w:id="414"/>
      <w:bookmarkEnd w:id="415"/>
    </w:p>
    <w:p w14:paraId="1F005F84" w14:textId="77777777" w:rsidR="00A00E6C" w:rsidRDefault="00A00E6C" w:rsidP="00A00E6C">
      <w:pPr>
        <w:pStyle w:val="Heading3"/>
      </w:pPr>
      <w:bookmarkStart w:id="416" w:name="_Toc210306630"/>
      <w:bookmarkStart w:id="417" w:name="_Toc210317456"/>
      <w:bookmarkStart w:id="418" w:name="_Toc210815610"/>
      <w:r>
        <w:t>Immateriality clause</w:t>
      </w:r>
      <w:bookmarkEnd w:id="416"/>
      <w:bookmarkEnd w:id="417"/>
      <w:bookmarkEnd w:id="418"/>
    </w:p>
    <w:p w14:paraId="1BBC224A" w14:textId="2374ACDF" w:rsidR="00F66730" w:rsidRDefault="00F66730" w:rsidP="00F66730">
      <w:r>
        <w:t xml:space="preserve">At the time of their reporting, six out of eight states and territories fell within the 0.6 per cent immateriality clause, met or exceeded their agreed funding contribution amounts for government schools in the 2021 funding year. A table of </w:t>
      </w:r>
      <w:proofErr w:type="gramStart"/>
      <w:r>
        <w:t>jurisdictions’</w:t>
      </w:r>
      <w:proofErr w:type="gramEnd"/>
      <w:r>
        <w:t xml:space="preserve"> required and reported funding is at Appendix E.</w:t>
      </w:r>
    </w:p>
    <w:p w14:paraId="6C5D0EFC" w14:textId="3F217D8C" w:rsidR="00A00E6C" w:rsidRPr="00F87A21" w:rsidRDefault="0A3DEE82" w:rsidP="3A93DC59">
      <w:pPr>
        <w:rPr>
          <w:lang w:eastAsia="en-AU"/>
        </w:rPr>
      </w:pPr>
      <w:r w:rsidRPr="3A93DC59">
        <w:t xml:space="preserve">Under the bilateral agreements, 7 of the 8 jurisdictions agreed to an immaterial </w:t>
      </w:r>
      <w:r w:rsidR="00300977" w:rsidRPr="3A93DC59">
        <w:t>shortfall</w:t>
      </w:r>
      <w:r w:rsidRPr="3A93DC59">
        <w:t xml:space="preserve"> clause, which is calculated as 0.6% of the total SRS</w:t>
      </w:r>
      <w:r w:rsidR="39EB89BD" w:rsidRPr="3A93DC59">
        <w:t xml:space="preserve">. </w:t>
      </w:r>
      <w:r w:rsidRPr="3A93DC59">
        <w:t>As the Australian Capital Territory does not have an immaterial shortfall clause in its bilateral agreement, it is</w:t>
      </w:r>
      <w:r w:rsidR="00510699" w:rsidRPr="3A93DC59">
        <w:t xml:space="preserve"> </w:t>
      </w:r>
      <w:r w:rsidRPr="3A93DC59">
        <w:t xml:space="preserve">considered non-compliant if its reported contribution falls short by any amount </w:t>
      </w:r>
      <w:r w:rsidR="7AA30645" w:rsidRPr="3A93DC59">
        <w:t xml:space="preserve">(see section </w:t>
      </w:r>
      <w:r>
        <w:fldChar w:fldCharType="begin"/>
      </w:r>
      <w:r>
        <w:instrText xml:space="preserve"> REF _Ref190844359 \r \h </w:instrText>
      </w:r>
      <w:r>
        <w:fldChar w:fldCharType="separate"/>
      </w:r>
      <w:r w:rsidR="00587C96">
        <w:t>4.1</w:t>
      </w:r>
      <w:r>
        <w:fldChar w:fldCharType="end"/>
      </w:r>
      <w:r w:rsidR="00243463" w:rsidRPr="3A93DC59">
        <w:t xml:space="preserve"> </w:t>
      </w:r>
      <w:r w:rsidR="7AA30645" w:rsidRPr="3A93DC59">
        <w:t>and</w:t>
      </w:r>
      <w:r w:rsidR="7AA30645" w:rsidRPr="3A93DC59">
        <w:rPr>
          <w:lang w:eastAsia="en-AU"/>
        </w:rPr>
        <w:t xml:space="preserve"> </w:t>
      </w:r>
      <w:r w:rsidR="7AA30645" w:rsidRPr="00987152">
        <w:rPr>
          <w:lang w:eastAsia="en-AU"/>
        </w:rPr>
        <w:t>Appendix E</w:t>
      </w:r>
      <w:r w:rsidR="7AA30645" w:rsidRPr="3A93DC59">
        <w:rPr>
          <w:lang w:eastAsia="en-AU"/>
        </w:rPr>
        <w:t xml:space="preserve"> for details).</w:t>
      </w:r>
    </w:p>
    <w:p w14:paraId="3A7CFC57" w14:textId="7E25046F" w:rsidR="00AA1BC9" w:rsidRDefault="3E41E69E" w:rsidP="00A00E6C">
      <w:r>
        <w:t>The bilateral agreements outline</w:t>
      </w:r>
      <w:r w:rsidR="64B625E6">
        <w:t xml:space="preserve"> </w:t>
      </w:r>
      <w:r w:rsidR="061E4109">
        <w:t>t</w:t>
      </w:r>
      <w:r w:rsidR="0A3DEE82">
        <w:t>he immaterial shortfall account</w:t>
      </w:r>
      <w:r w:rsidR="4FBD384F">
        <w:t>s</w:t>
      </w:r>
      <w:r w:rsidR="0A3DEE82">
        <w:t xml:space="preserve"> for the timing constraint of state budget processes being finalised in advance of the year, and the required contribution for the reporting year being finalised at the end of the year following the annual School Census. </w:t>
      </w:r>
    </w:p>
    <w:p w14:paraId="5CFDF1AB" w14:textId="20BEB312" w:rsidR="00472C43" w:rsidRDefault="4278AC34" w:rsidP="3A93DC59">
      <w:pPr>
        <w:rPr>
          <w:lang w:eastAsia="en-AU"/>
        </w:rPr>
      </w:pPr>
      <w:r w:rsidRPr="3A93DC59">
        <w:rPr>
          <w:lang w:eastAsia="en-AU"/>
        </w:rPr>
        <w:t xml:space="preserve">The Board </w:t>
      </w:r>
      <w:r w:rsidR="0A006F18" w:rsidRPr="3A93DC59">
        <w:rPr>
          <w:lang w:eastAsia="en-AU"/>
        </w:rPr>
        <w:t>note</w:t>
      </w:r>
      <w:r w:rsidRPr="3A93DC59">
        <w:rPr>
          <w:lang w:eastAsia="en-AU"/>
        </w:rPr>
        <w:t>s</w:t>
      </w:r>
      <w:r w:rsidR="5949F393" w:rsidRPr="3A93DC59">
        <w:rPr>
          <w:lang w:eastAsia="en-AU"/>
        </w:rPr>
        <w:t xml:space="preserve"> that </w:t>
      </w:r>
      <w:r w:rsidR="28A7C412" w:rsidRPr="3A93DC59">
        <w:rPr>
          <w:lang w:eastAsia="en-AU"/>
        </w:rPr>
        <w:t>4</w:t>
      </w:r>
      <w:r w:rsidR="5949F393" w:rsidRPr="3A93DC59">
        <w:rPr>
          <w:lang w:eastAsia="en-AU"/>
        </w:rPr>
        <w:t xml:space="preserve"> of the </w:t>
      </w:r>
      <w:r w:rsidR="1D497221" w:rsidRPr="3A93DC59">
        <w:rPr>
          <w:lang w:eastAsia="en-AU"/>
        </w:rPr>
        <w:t>7</w:t>
      </w:r>
      <w:r w:rsidR="3972261B" w:rsidRPr="3A93DC59">
        <w:rPr>
          <w:lang w:eastAsia="en-AU"/>
        </w:rPr>
        <w:t xml:space="preserve"> eligible</w:t>
      </w:r>
      <w:r w:rsidR="5949F393" w:rsidRPr="3A93DC59">
        <w:rPr>
          <w:lang w:eastAsia="en-AU"/>
        </w:rPr>
        <w:t xml:space="preserve"> jurisdictions recorded immaterial shortfalls as allowed under their bilateral agreements. </w:t>
      </w:r>
      <w:r w:rsidR="1A0B578F" w:rsidRPr="3A93DC59">
        <w:rPr>
          <w:lang w:eastAsia="en-AU"/>
        </w:rPr>
        <w:t xml:space="preserve">South Australia had an immaterial shortfall for its contribution </w:t>
      </w:r>
      <w:r w:rsidR="28FA2B33" w:rsidRPr="3A93DC59">
        <w:rPr>
          <w:lang w:eastAsia="en-AU"/>
        </w:rPr>
        <w:t xml:space="preserve">to the </w:t>
      </w:r>
      <w:r w:rsidR="28FA2B33" w:rsidRPr="3A93DC59">
        <w:rPr>
          <w:lang w:eastAsia="en-AU"/>
        </w:rPr>
        <w:lastRenderedPageBreak/>
        <w:t>government sector and</w:t>
      </w:r>
      <w:r w:rsidR="1A0B578F" w:rsidRPr="3A93DC59">
        <w:rPr>
          <w:lang w:eastAsia="en-AU"/>
        </w:rPr>
        <w:t xml:space="preserve"> </w:t>
      </w:r>
      <w:r w:rsidR="28FA2B33" w:rsidRPr="3A93DC59">
        <w:rPr>
          <w:lang w:eastAsia="en-AU"/>
        </w:rPr>
        <w:t xml:space="preserve">the </w:t>
      </w:r>
      <w:r w:rsidR="28A7C412" w:rsidRPr="3A93DC59">
        <w:rPr>
          <w:lang w:eastAsia="en-AU"/>
        </w:rPr>
        <w:t xml:space="preserve">Northern Territory, </w:t>
      </w:r>
      <w:r w:rsidR="5949F393" w:rsidRPr="3A93DC59">
        <w:rPr>
          <w:lang w:eastAsia="en-AU"/>
        </w:rPr>
        <w:t>Queensland</w:t>
      </w:r>
      <w:r w:rsidR="28A7C412" w:rsidRPr="3A93DC59">
        <w:rPr>
          <w:lang w:eastAsia="en-AU"/>
        </w:rPr>
        <w:t>,</w:t>
      </w:r>
      <w:r w:rsidR="5949F393" w:rsidRPr="3A93DC59">
        <w:rPr>
          <w:lang w:eastAsia="en-AU"/>
        </w:rPr>
        <w:t xml:space="preserve"> </w:t>
      </w:r>
      <w:r w:rsidR="28A7C412" w:rsidRPr="3A93DC59">
        <w:rPr>
          <w:lang w:eastAsia="en-AU"/>
        </w:rPr>
        <w:t xml:space="preserve">and Victoria </w:t>
      </w:r>
      <w:r w:rsidR="5949F393" w:rsidRPr="3A93DC59">
        <w:rPr>
          <w:lang w:eastAsia="en-AU"/>
        </w:rPr>
        <w:t xml:space="preserve">recorded </w:t>
      </w:r>
      <w:r w:rsidR="28FA2B33" w:rsidRPr="3A93DC59">
        <w:rPr>
          <w:lang w:eastAsia="en-AU"/>
        </w:rPr>
        <w:t xml:space="preserve">immaterial </w:t>
      </w:r>
      <w:r w:rsidR="5949F393" w:rsidRPr="3A93DC59">
        <w:rPr>
          <w:lang w:eastAsia="en-AU"/>
        </w:rPr>
        <w:t>shortfalls</w:t>
      </w:r>
      <w:r w:rsidR="28FA2B33" w:rsidRPr="3A93DC59">
        <w:rPr>
          <w:lang w:eastAsia="en-AU"/>
        </w:rPr>
        <w:t xml:space="preserve"> </w:t>
      </w:r>
      <w:r w:rsidR="07059836" w:rsidRPr="3A93DC59">
        <w:rPr>
          <w:lang w:eastAsia="en-AU"/>
        </w:rPr>
        <w:t>for</w:t>
      </w:r>
      <w:r w:rsidR="28FA2B33" w:rsidRPr="3A93DC59">
        <w:rPr>
          <w:lang w:eastAsia="en-AU"/>
        </w:rPr>
        <w:t xml:space="preserve"> their non</w:t>
      </w:r>
      <w:r w:rsidR="26A1D68F" w:rsidRPr="3A93DC59">
        <w:rPr>
          <w:lang w:eastAsia="en-AU"/>
        </w:rPr>
        <w:t>-</w:t>
      </w:r>
      <w:r w:rsidR="0045365C">
        <w:rPr>
          <w:lang w:eastAsia="en-AU"/>
        </w:rPr>
        <w:noBreakHyphen/>
      </w:r>
      <w:r w:rsidR="5949F393" w:rsidRPr="3A93DC59">
        <w:rPr>
          <w:lang w:eastAsia="en-AU"/>
        </w:rPr>
        <w:t>government sector</w:t>
      </w:r>
      <w:r w:rsidR="28FA2B33" w:rsidRPr="3A93DC59">
        <w:rPr>
          <w:lang w:eastAsia="en-AU"/>
        </w:rPr>
        <w:t xml:space="preserve"> contributions</w:t>
      </w:r>
      <w:r w:rsidR="6EE2D958" w:rsidRPr="3A93DC59">
        <w:rPr>
          <w:lang w:eastAsia="en-AU"/>
        </w:rPr>
        <w:t xml:space="preserve"> for the 2023 funding year</w:t>
      </w:r>
      <w:r w:rsidR="26123948" w:rsidRPr="3A93DC59">
        <w:rPr>
          <w:lang w:eastAsia="en-AU"/>
        </w:rPr>
        <w:t xml:space="preserve"> (</w:t>
      </w:r>
      <w:r w:rsidR="00EA531D">
        <w:rPr>
          <w:lang w:eastAsia="en-AU"/>
        </w:rPr>
        <w:fldChar w:fldCharType="begin"/>
      </w:r>
      <w:r w:rsidR="00EA531D">
        <w:rPr>
          <w:lang w:eastAsia="en-AU"/>
        </w:rPr>
        <w:instrText xml:space="preserve"> REF _Ref190335081 \h </w:instrText>
      </w:r>
      <w:r w:rsidR="00EA531D">
        <w:rPr>
          <w:lang w:eastAsia="en-AU"/>
        </w:rPr>
      </w:r>
      <w:r w:rsidR="00EA531D">
        <w:rPr>
          <w:lang w:eastAsia="en-AU"/>
        </w:rPr>
        <w:fldChar w:fldCharType="separate"/>
      </w:r>
      <w:r w:rsidR="00587C96" w:rsidRPr="3A93DC59">
        <w:t xml:space="preserve">Figure </w:t>
      </w:r>
      <w:r w:rsidR="00587C96">
        <w:rPr>
          <w:noProof/>
        </w:rPr>
        <w:t>2</w:t>
      </w:r>
      <w:r w:rsidR="00EA531D">
        <w:rPr>
          <w:lang w:eastAsia="en-AU"/>
        </w:rPr>
        <w:fldChar w:fldCharType="end"/>
      </w:r>
      <w:r w:rsidR="6AB98406" w:rsidRPr="3A93DC59">
        <w:rPr>
          <w:lang w:eastAsia="en-AU"/>
        </w:rPr>
        <w:t xml:space="preserve"> </w:t>
      </w:r>
      <w:r w:rsidR="03B86554" w:rsidRPr="3A93DC59">
        <w:rPr>
          <w:lang w:eastAsia="en-AU"/>
        </w:rPr>
        <w:t xml:space="preserve">and </w:t>
      </w:r>
      <w:r w:rsidR="00EA531D">
        <w:rPr>
          <w:lang w:eastAsia="en-AU"/>
        </w:rPr>
        <w:fldChar w:fldCharType="begin"/>
      </w:r>
      <w:r w:rsidR="00EA531D">
        <w:rPr>
          <w:lang w:eastAsia="en-AU"/>
        </w:rPr>
        <w:instrText xml:space="preserve"> REF _Ref190335092 \h </w:instrText>
      </w:r>
      <w:r w:rsidR="00EA531D">
        <w:rPr>
          <w:lang w:eastAsia="en-AU"/>
        </w:rPr>
      </w:r>
      <w:r w:rsidR="00EA531D">
        <w:rPr>
          <w:lang w:eastAsia="en-AU"/>
        </w:rPr>
        <w:fldChar w:fldCharType="separate"/>
      </w:r>
      <w:r w:rsidR="00587C96" w:rsidRPr="3A93DC59">
        <w:t xml:space="preserve">Figure </w:t>
      </w:r>
      <w:r w:rsidR="00587C96">
        <w:rPr>
          <w:noProof/>
        </w:rPr>
        <w:t>3</w:t>
      </w:r>
      <w:r w:rsidR="00EA531D">
        <w:rPr>
          <w:lang w:eastAsia="en-AU"/>
        </w:rPr>
        <w:fldChar w:fldCharType="end"/>
      </w:r>
      <w:r w:rsidR="26123948" w:rsidRPr="3A93DC59">
        <w:rPr>
          <w:lang w:eastAsia="en-AU"/>
        </w:rPr>
        <w:t>)</w:t>
      </w:r>
      <w:r w:rsidR="5949F393" w:rsidRPr="3A93DC59">
        <w:rPr>
          <w:lang w:eastAsia="en-AU"/>
        </w:rPr>
        <w:t xml:space="preserve">. </w:t>
      </w:r>
    </w:p>
    <w:p w14:paraId="0A5577E5" w14:textId="3B009830" w:rsidR="00E1455C" w:rsidRDefault="00E1455C" w:rsidP="00E1455C">
      <w:pPr>
        <w:pStyle w:val="Heading3"/>
      </w:pPr>
      <w:bookmarkStart w:id="419" w:name="_Toc210306631"/>
      <w:bookmarkStart w:id="420" w:name="_Toc210317457"/>
      <w:bookmarkStart w:id="421" w:name="_Toc210815611"/>
      <w:r>
        <w:t xml:space="preserve">Government </w:t>
      </w:r>
      <w:r w:rsidR="00B32F26">
        <w:t>sector</w:t>
      </w:r>
      <w:bookmarkEnd w:id="419"/>
      <w:bookmarkEnd w:id="420"/>
      <w:bookmarkEnd w:id="421"/>
    </w:p>
    <w:p w14:paraId="3DA65556" w14:textId="77777777" w:rsidR="00413389" w:rsidRPr="00FC0169" w:rsidRDefault="00413389" w:rsidP="00FC0169">
      <w:pPr>
        <w:pStyle w:val="Heading4"/>
      </w:pPr>
      <w:r>
        <w:t>South Australia</w:t>
      </w:r>
    </w:p>
    <w:p w14:paraId="352E22D6" w14:textId="2CC3EB84" w:rsidR="00B77F1B" w:rsidRDefault="00B77F1B" w:rsidP="00B77F1B">
      <w:pPr>
        <w:rPr>
          <w:lang w:eastAsia="en-AU"/>
        </w:rPr>
      </w:pPr>
      <w:r w:rsidRPr="0FA5145A">
        <w:rPr>
          <w:lang w:eastAsia="en-AU"/>
        </w:rPr>
        <w:t>South Australia recorded an immaterial shortfall of 0.36%, which is below the threshold for the immateriality clause in its bilateral agreement. On this basis, the Board found South Australia compliant in its government funding obligations.</w:t>
      </w:r>
    </w:p>
    <w:p w14:paraId="4469ECB4" w14:textId="0BC5EC0C" w:rsidR="00413389" w:rsidRDefault="00413389" w:rsidP="004132DF">
      <w:pPr>
        <w:pStyle w:val="Heading3"/>
      </w:pPr>
      <w:bookmarkStart w:id="422" w:name="_Toc210306632"/>
      <w:bookmarkStart w:id="423" w:name="_Toc210317458"/>
      <w:bookmarkStart w:id="424" w:name="_Toc210815612"/>
      <w:r>
        <w:t>Non-government sector</w:t>
      </w:r>
      <w:bookmarkEnd w:id="422"/>
      <w:bookmarkEnd w:id="423"/>
      <w:bookmarkEnd w:id="424"/>
    </w:p>
    <w:p w14:paraId="02559A15" w14:textId="77777777" w:rsidR="00885BC7" w:rsidRPr="00E2031A" w:rsidRDefault="00885BC7" w:rsidP="00FC0169">
      <w:pPr>
        <w:pStyle w:val="Heading4"/>
      </w:pPr>
      <w:r w:rsidRPr="00E2031A">
        <w:t>Northern Territory</w:t>
      </w:r>
    </w:p>
    <w:p w14:paraId="5EB4A7BF" w14:textId="56176BAA" w:rsidR="00BA5BF2" w:rsidRDefault="38098C22" w:rsidP="3A93DC59">
      <w:pPr>
        <w:rPr>
          <w:lang w:eastAsia="en-AU"/>
        </w:rPr>
      </w:pPr>
      <w:r w:rsidRPr="3A93DC59">
        <w:rPr>
          <w:lang w:eastAsia="en-AU"/>
        </w:rPr>
        <w:t xml:space="preserve">The Northern Territory recorded an </w:t>
      </w:r>
      <w:r w:rsidR="553C0E4B" w:rsidRPr="3A93DC59">
        <w:rPr>
          <w:lang w:eastAsia="en-AU"/>
        </w:rPr>
        <w:t>immaterial shortfall of 0.60%</w:t>
      </w:r>
      <w:r w:rsidR="4B1ADD10" w:rsidRPr="3A93DC59">
        <w:rPr>
          <w:lang w:eastAsia="en-AU"/>
        </w:rPr>
        <w:t>,</w:t>
      </w:r>
      <w:r w:rsidR="13ED0E36" w:rsidRPr="3A93DC59">
        <w:rPr>
          <w:lang w:eastAsia="en-AU"/>
        </w:rPr>
        <w:t xml:space="preserve"> which is the maximum </w:t>
      </w:r>
      <w:r w:rsidR="7A5E36B2" w:rsidRPr="3A93DC59">
        <w:rPr>
          <w:lang w:eastAsia="en-AU"/>
        </w:rPr>
        <w:t>threshold for the immateriality clause in its bilateral agreement. On this basis, the Board found</w:t>
      </w:r>
      <w:r w:rsidR="4E3C767D" w:rsidRPr="3A93DC59">
        <w:rPr>
          <w:lang w:eastAsia="en-AU"/>
        </w:rPr>
        <w:t xml:space="preserve"> the</w:t>
      </w:r>
      <w:r w:rsidR="7A5E36B2" w:rsidRPr="3A93DC59">
        <w:rPr>
          <w:lang w:eastAsia="en-AU"/>
        </w:rPr>
        <w:t xml:space="preserve"> Northern Territory compliant in its non-government </w:t>
      </w:r>
      <w:r w:rsidR="4B1ADD10" w:rsidRPr="3A93DC59">
        <w:rPr>
          <w:lang w:eastAsia="en-AU"/>
        </w:rPr>
        <w:t>funding obligations.</w:t>
      </w:r>
    </w:p>
    <w:p w14:paraId="133D985B" w14:textId="6A840921" w:rsidR="008377BD" w:rsidRDefault="008377BD" w:rsidP="004132DF">
      <w:pPr>
        <w:pStyle w:val="Heading4"/>
        <w:rPr>
          <w:lang w:eastAsia="en-AU"/>
        </w:rPr>
      </w:pPr>
      <w:r>
        <w:t>Queensland</w:t>
      </w:r>
    </w:p>
    <w:p w14:paraId="3C109585" w14:textId="3D8CD78A" w:rsidR="00E55D17" w:rsidRDefault="00E55D17" w:rsidP="00E55D17">
      <w:pPr>
        <w:rPr>
          <w:lang w:eastAsia="en-AU"/>
        </w:rPr>
      </w:pPr>
      <w:r w:rsidRPr="0FA5145A">
        <w:rPr>
          <w:lang w:eastAsia="en-AU"/>
        </w:rPr>
        <w:t>Queensland recorded an immaterial shortfall of 0.</w:t>
      </w:r>
      <w:r w:rsidR="00AB1B0D" w:rsidRPr="0FA5145A">
        <w:rPr>
          <w:lang w:eastAsia="en-AU"/>
        </w:rPr>
        <w:t>03</w:t>
      </w:r>
      <w:r w:rsidRPr="0FA5145A">
        <w:rPr>
          <w:lang w:eastAsia="en-AU"/>
        </w:rPr>
        <w:t xml:space="preserve">%, which is </w:t>
      </w:r>
      <w:r w:rsidR="00AB1B0D" w:rsidRPr="0FA5145A">
        <w:rPr>
          <w:lang w:eastAsia="en-AU"/>
        </w:rPr>
        <w:t>below the</w:t>
      </w:r>
      <w:r w:rsidRPr="0FA5145A">
        <w:rPr>
          <w:lang w:eastAsia="en-AU"/>
        </w:rPr>
        <w:t xml:space="preserve"> threshold for the immateriality clause in its bilateral agreement. On this basis, the Board found </w:t>
      </w:r>
      <w:r w:rsidR="00AB1B0D" w:rsidRPr="0FA5145A">
        <w:rPr>
          <w:lang w:eastAsia="en-AU"/>
        </w:rPr>
        <w:t>Queensland</w:t>
      </w:r>
      <w:r w:rsidRPr="0FA5145A">
        <w:rPr>
          <w:lang w:eastAsia="en-AU"/>
        </w:rPr>
        <w:t xml:space="preserve"> compliant in its non-government funding obligations.</w:t>
      </w:r>
    </w:p>
    <w:p w14:paraId="736DAEF2" w14:textId="48A3C58F" w:rsidR="00885BC7" w:rsidRDefault="00885BC7" w:rsidP="004132DF">
      <w:pPr>
        <w:pStyle w:val="Heading4"/>
        <w:rPr>
          <w:lang w:eastAsia="en-AU"/>
        </w:rPr>
      </w:pPr>
      <w:r>
        <w:t>Victoria</w:t>
      </w:r>
    </w:p>
    <w:p w14:paraId="37CDEC37" w14:textId="5C1BC1E5" w:rsidR="00885BC7" w:rsidRDefault="00AB1B0D" w:rsidP="00273ADA">
      <w:pPr>
        <w:rPr>
          <w:lang w:eastAsia="en-AU"/>
        </w:rPr>
      </w:pPr>
      <w:r w:rsidRPr="00885BC7">
        <w:rPr>
          <w:lang w:eastAsia="en-AU"/>
        </w:rPr>
        <w:t>Victoria</w:t>
      </w:r>
      <w:r>
        <w:rPr>
          <w:lang w:eastAsia="en-AU"/>
        </w:rPr>
        <w:t xml:space="preserve"> recorded an immaterial shortfall of</w:t>
      </w:r>
      <w:r w:rsidRPr="00885BC7">
        <w:rPr>
          <w:lang w:eastAsia="en-AU"/>
        </w:rPr>
        <w:t xml:space="preserve"> 0.</w:t>
      </w:r>
      <w:r>
        <w:rPr>
          <w:lang w:eastAsia="en-AU"/>
        </w:rPr>
        <w:t>55</w:t>
      </w:r>
      <w:r w:rsidRPr="00885BC7">
        <w:rPr>
          <w:lang w:eastAsia="en-AU"/>
        </w:rPr>
        <w:t>%</w:t>
      </w:r>
      <w:r>
        <w:rPr>
          <w:lang w:eastAsia="en-AU"/>
        </w:rPr>
        <w:t xml:space="preserve">, which is below the threshold for the immateriality clause in its bilateral agreement. On this basis, the Board found </w:t>
      </w:r>
      <w:r w:rsidRPr="00885BC7">
        <w:rPr>
          <w:lang w:eastAsia="en-AU"/>
        </w:rPr>
        <w:t>Victoria</w:t>
      </w:r>
      <w:r>
        <w:rPr>
          <w:lang w:eastAsia="en-AU"/>
        </w:rPr>
        <w:t xml:space="preserve"> compliant in its non</w:t>
      </w:r>
      <w:r>
        <w:rPr>
          <w:lang w:eastAsia="en-AU"/>
        </w:rPr>
        <w:noBreakHyphen/>
        <w:t>government funding obligations.</w:t>
      </w:r>
    </w:p>
    <w:p w14:paraId="4266F620" w14:textId="4072B986" w:rsidR="004D6528" w:rsidRDefault="00C61A47" w:rsidP="003423E1">
      <w:pPr>
        <w:pStyle w:val="Heading2-Numbered"/>
        <w:ind w:left="540"/>
      </w:pPr>
      <w:bookmarkStart w:id="425" w:name="_Ref190760233"/>
      <w:bookmarkStart w:id="426" w:name="_Toc210815613"/>
      <w:r>
        <w:t>N</w:t>
      </w:r>
      <w:r w:rsidR="005E062C">
        <w:t>on-compliance</w:t>
      </w:r>
      <w:r w:rsidR="00610968">
        <w:t xml:space="preserve"> wi</w:t>
      </w:r>
      <w:r w:rsidR="00E64D24">
        <w:t>th funding obligations</w:t>
      </w:r>
      <w:bookmarkEnd w:id="425"/>
      <w:bookmarkEnd w:id="426"/>
    </w:p>
    <w:p w14:paraId="64FB688C" w14:textId="7B7B47FD" w:rsidR="00C61A47" w:rsidRDefault="646DA4D9" w:rsidP="3A93DC59">
      <w:pPr>
        <w:rPr>
          <w:lang w:eastAsia="en-AU"/>
        </w:rPr>
      </w:pPr>
      <w:r w:rsidRPr="3A93DC59">
        <w:t>In line</w:t>
      </w:r>
      <w:r w:rsidR="49338C40" w:rsidRPr="3A93DC59">
        <w:t xml:space="preserve"> with </w:t>
      </w:r>
      <w:r w:rsidR="56B56531" w:rsidRPr="3A93DC59">
        <w:t>each jurisdiction’</w:t>
      </w:r>
      <w:r w:rsidR="480412D6" w:rsidRPr="3A93DC59">
        <w:t>s</w:t>
      </w:r>
      <w:r w:rsidR="49338C40" w:rsidRPr="3A93DC59">
        <w:t xml:space="preserve"> </w:t>
      </w:r>
      <w:r w:rsidR="0C882FBE" w:rsidRPr="3A93DC59">
        <w:t>bilateral agreement</w:t>
      </w:r>
      <w:r w:rsidR="5FC5A3E7" w:rsidRPr="3A93DC59">
        <w:t xml:space="preserve">, </w:t>
      </w:r>
      <w:r w:rsidR="53AE42A7" w:rsidRPr="3A93DC59">
        <w:t xml:space="preserve">a </w:t>
      </w:r>
      <w:r w:rsidR="7B3C1E40" w:rsidRPr="3A93DC59">
        <w:t>state or territory is considered non-</w:t>
      </w:r>
      <w:r w:rsidR="289FFAD2" w:rsidRPr="3A93DC59">
        <w:t>compliant</w:t>
      </w:r>
      <w:r w:rsidR="7B3C1E40" w:rsidRPr="3A93DC59">
        <w:t xml:space="preserve"> if</w:t>
      </w:r>
      <w:r w:rsidR="215735A6" w:rsidRPr="3A93DC59">
        <w:t xml:space="preserve"> its</w:t>
      </w:r>
      <w:r w:rsidR="65E5D729" w:rsidRPr="3A93DC59">
        <w:t xml:space="preserve"> </w:t>
      </w:r>
      <w:r w:rsidR="2303C6FF" w:rsidRPr="3A93DC59">
        <w:t xml:space="preserve">funding </w:t>
      </w:r>
      <w:r w:rsidR="65E5D729" w:rsidRPr="3A93DC59">
        <w:t>shortfall exceeds the immaterial threshold (0.6%)</w:t>
      </w:r>
      <w:r w:rsidR="367712AC" w:rsidRPr="3A93DC59">
        <w:rPr>
          <w:lang w:eastAsia="en-AU"/>
        </w:rPr>
        <w:t xml:space="preserve"> </w:t>
      </w:r>
      <w:r w:rsidR="289FFAD2" w:rsidRPr="3A93DC59">
        <w:rPr>
          <w:lang w:eastAsia="en-AU"/>
        </w:rPr>
        <w:t>of the total SRS</w:t>
      </w:r>
      <w:r w:rsidR="289FFAD2" w:rsidRPr="3A93DC59">
        <w:t xml:space="preserve"> </w:t>
      </w:r>
      <w:r w:rsidR="376980C5" w:rsidRPr="3A93DC59">
        <w:t>funding</w:t>
      </w:r>
      <w:r w:rsidR="289FFAD2" w:rsidRPr="3A93DC59">
        <w:t>.</w:t>
      </w:r>
      <w:r w:rsidR="376980C5" w:rsidRPr="3A93DC59">
        <w:t xml:space="preserve"> </w:t>
      </w:r>
      <w:r w:rsidR="0C8DEFA6" w:rsidRPr="3A93DC59">
        <w:t xml:space="preserve">In </w:t>
      </w:r>
      <w:r w:rsidR="54E7DD58" w:rsidRPr="3A93DC59">
        <w:t>such</w:t>
      </w:r>
      <w:r w:rsidR="7C9F42E8" w:rsidRPr="3A93DC59">
        <w:t xml:space="preserve"> case</w:t>
      </w:r>
      <w:r w:rsidR="65E5D729" w:rsidRPr="3A93DC59">
        <w:t>s</w:t>
      </w:r>
      <w:r w:rsidR="7C9F42E8" w:rsidRPr="3A93DC59">
        <w:t>, t</w:t>
      </w:r>
      <w:r w:rsidR="1EE886CA" w:rsidRPr="3A93DC59">
        <w:t xml:space="preserve">he </w:t>
      </w:r>
      <w:r w:rsidR="43FD8B04" w:rsidRPr="3A93DC59">
        <w:t>department</w:t>
      </w:r>
      <w:r w:rsidR="65E5D729" w:rsidRPr="3A93DC59">
        <w:t>’s template</w:t>
      </w:r>
      <w:r w:rsidR="43FD8B04" w:rsidRPr="3A93DC59">
        <w:t xml:space="preserve"> </w:t>
      </w:r>
      <w:r w:rsidR="5CA5308C" w:rsidRPr="3A93DC59">
        <w:t>offers</w:t>
      </w:r>
      <w:r w:rsidR="43FD8B04" w:rsidRPr="3A93DC59">
        <w:t xml:space="preserve"> jurisdictions </w:t>
      </w:r>
      <w:r w:rsidR="5CA5308C" w:rsidRPr="3A93DC59">
        <w:t>opportunities to explain their</w:t>
      </w:r>
      <w:r w:rsidR="6E3FF282" w:rsidRPr="3A93DC59">
        <w:t xml:space="preserve"> mitigating</w:t>
      </w:r>
      <w:r w:rsidR="5D3C2785" w:rsidRPr="3A93DC59">
        <w:t xml:space="preserve"> </w:t>
      </w:r>
      <w:r w:rsidR="1C046B2F" w:rsidRPr="3A93DC59">
        <w:t>circumstances.</w:t>
      </w:r>
    </w:p>
    <w:p w14:paraId="28B847FF" w14:textId="7A7039AD" w:rsidR="00C61A47" w:rsidRDefault="00C61A47" w:rsidP="00781FCE">
      <w:pPr>
        <w:pStyle w:val="Heading3"/>
      </w:pPr>
      <w:bookmarkStart w:id="427" w:name="_Toc210306634"/>
      <w:bookmarkStart w:id="428" w:name="_Toc210317460"/>
      <w:bookmarkStart w:id="429" w:name="_Toc210815614"/>
      <w:r>
        <w:t>Contributing or mitigating factors</w:t>
      </w:r>
      <w:bookmarkEnd w:id="427"/>
      <w:bookmarkEnd w:id="428"/>
      <w:bookmarkEnd w:id="429"/>
    </w:p>
    <w:p w14:paraId="02FD09D6" w14:textId="6C236B08" w:rsidR="004D6528" w:rsidRDefault="3E546D76" w:rsidP="3A93DC59">
      <w:pPr>
        <w:rPr>
          <w:lang w:eastAsia="en-AU"/>
        </w:rPr>
      </w:pPr>
      <w:r w:rsidRPr="3A93DC59">
        <w:rPr>
          <w:lang w:eastAsia="en-AU"/>
        </w:rPr>
        <w:t>The review’s</w:t>
      </w:r>
      <w:r w:rsidR="5A11BC7C" w:rsidRPr="3A93DC59">
        <w:rPr>
          <w:lang w:eastAsia="en-AU"/>
        </w:rPr>
        <w:t xml:space="preserve"> </w:t>
      </w:r>
      <w:r w:rsidR="2A988F85" w:rsidRPr="3A93DC59">
        <w:rPr>
          <w:lang w:eastAsia="en-AU"/>
        </w:rPr>
        <w:t>t</w:t>
      </w:r>
      <w:r w:rsidR="5A11BC7C" w:rsidRPr="3A93DC59">
        <w:rPr>
          <w:lang w:eastAsia="en-AU"/>
        </w:rPr>
        <w:t xml:space="preserve">erms of </w:t>
      </w:r>
      <w:r w:rsidR="2A988F85" w:rsidRPr="3A93DC59">
        <w:rPr>
          <w:lang w:eastAsia="en-AU"/>
        </w:rPr>
        <w:t>r</w:t>
      </w:r>
      <w:r w:rsidR="5A11BC7C" w:rsidRPr="3A93DC59">
        <w:rPr>
          <w:lang w:eastAsia="en-AU"/>
        </w:rPr>
        <w:t xml:space="preserve">eference </w:t>
      </w:r>
      <w:r w:rsidR="01362299" w:rsidRPr="3A93DC59">
        <w:rPr>
          <w:lang w:eastAsia="en-AU"/>
        </w:rPr>
        <w:t xml:space="preserve">and the department’s </w:t>
      </w:r>
      <w:r w:rsidR="01362299" w:rsidRPr="3A93DC59">
        <w:rPr>
          <w:i/>
          <w:iCs/>
          <w:lang w:eastAsia="en-AU"/>
        </w:rPr>
        <w:t xml:space="preserve">Guidance </w:t>
      </w:r>
      <w:r w:rsidR="009D69A8">
        <w:rPr>
          <w:i/>
          <w:iCs/>
          <w:lang w:eastAsia="en-AU"/>
        </w:rPr>
        <w:t>to</w:t>
      </w:r>
      <w:r w:rsidR="009D69A8" w:rsidRPr="3A93DC59">
        <w:rPr>
          <w:i/>
          <w:iCs/>
          <w:lang w:eastAsia="en-AU"/>
        </w:rPr>
        <w:t xml:space="preserve"> </w:t>
      </w:r>
      <w:r w:rsidR="01362299" w:rsidRPr="3A93DC59">
        <w:rPr>
          <w:i/>
          <w:iCs/>
          <w:lang w:eastAsia="en-AU"/>
        </w:rPr>
        <w:t>Reporting</w:t>
      </w:r>
      <w:r w:rsidR="01362299" w:rsidRPr="3A93DC59">
        <w:rPr>
          <w:lang w:eastAsia="en-AU"/>
        </w:rPr>
        <w:t xml:space="preserve"> </w:t>
      </w:r>
      <w:r w:rsidR="5A11BC7C" w:rsidRPr="3A93DC59">
        <w:rPr>
          <w:lang w:eastAsia="en-AU"/>
        </w:rPr>
        <w:t xml:space="preserve">outline that the Board may </w:t>
      </w:r>
      <w:proofErr w:type="gramStart"/>
      <w:r w:rsidR="5A11BC7C" w:rsidRPr="3A93DC59">
        <w:rPr>
          <w:rFonts w:eastAsia="Times New Roman" w:cs="Calibri"/>
          <w:lang w:eastAsia="en-AU"/>
        </w:rPr>
        <w:t>take into account</w:t>
      </w:r>
      <w:proofErr w:type="gramEnd"/>
      <w:r w:rsidR="5A11BC7C" w:rsidRPr="3A93DC59">
        <w:rPr>
          <w:rFonts w:eastAsia="Times New Roman" w:cs="Calibri"/>
          <w:lang w:eastAsia="en-AU"/>
        </w:rPr>
        <w:t xml:space="preserve"> </w:t>
      </w:r>
      <w:r w:rsidR="5A11BC7C" w:rsidRPr="3A93DC59">
        <w:rPr>
          <w:lang w:eastAsia="en-AU"/>
        </w:rPr>
        <w:t xml:space="preserve">mitigating </w:t>
      </w:r>
      <w:r w:rsidR="4924EECF" w:rsidRPr="3A93DC59">
        <w:t>factors</w:t>
      </w:r>
      <w:r w:rsidR="4924EECF" w:rsidRPr="3A93DC59">
        <w:rPr>
          <w:rFonts w:eastAsia="Times New Roman" w:cs="Calibri"/>
          <w:lang w:eastAsia="en-AU"/>
        </w:rPr>
        <w:t xml:space="preserve"> </w:t>
      </w:r>
      <w:r w:rsidR="5A11BC7C" w:rsidRPr="3A93DC59">
        <w:rPr>
          <w:rFonts w:eastAsia="Times New Roman" w:cs="Calibri"/>
          <w:lang w:eastAsia="en-AU"/>
        </w:rPr>
        <w:t>that have contributed to non-compliance</w:t>
      </w:r>
      <w:r w:rsidR="5A11BC7C" w:rsidRPr="3A93DC59">
        <w:rPr>
          <w:lang w:eastAsia="en-AU"/>
        </w:rPr>
        <w:t>:</w:t>
      </w:r>
    </w:p>
    <w:p w14:paraId="406F12E9" w14:textId="29CA00A7" w:rsidR="004D6528" w:rsidRPr="00992749" w:rsidRDefault="6E96CF5F" w:rsidP="00992749">
      <w:pPr>
        <w:pStyle w:val="ListBullet"/>
      </w:pPr>
      <w:r>
        <w:t>fluctuations from year-</w:t>
      </w:r>
      <w:r w:rsidR="009771FF">
        <w:t xml:space="preserve"> </w:t>
      </w:r>
      <w:r>
        <w:t>to-</w:t>
      </w:r>
      <w:r w:rsidR="009771FF">
        <w:t xml:space="preserve"> </w:t>
      </w:r>
      <w:r>
        <w:t xml:space="preserve">year in funding which could be assessed through, for example, the application of a </w:t>
      </w:r>
      <w:r w:rsidR="007C3FFF">
        <w:t>three-year</w:t>
      </w:r>
      <w:r>
        <w:t xml:space="preserve"> rolling average if funding has fallen below the required amount</w:t>
      </w:r>
    </w:p>
    <w:p w14:paraId="00354905" w14:textId="77777777" w:rsidR="004D6528" w:rsidRPr="00992749" w:rsidRDefault="6E96CF5F" w:rsidP="00992749">
      <w:pPr>
        <w:pStyle w:val="ListBullet"/>
      </w:pPr>
      <w:r>
        <w:t>unintended and unforeseeable budget pressures in the state budget process</w:t>
      </w:r>
    </w:p>
    <w:p w14:paraId="173EFD2A" w14:textId="2F538E73" w:rsidR="004D6528" w:rsidRPr="00992749" w:rsidRDefault="6E96CF5F" w:rsidP="00992749">
      <w:pPr>
        <w:pStyle w:val="ListBullet"/>
      </w:pPr>
      <w:r>
        <w:t>financial accounting impacts (</w:t>
      </w:r>
      <w:r w:rsidR="2C464AC5">
        <w:t>e.g.</w:t>
      </w:r>
      <w:r>
        <w:t xml:space="preserve"> actuarial assessments and timing of expenditures due to reporting dates</w:t>
      </w:r>
      <w:r w:rsidR="2F680500">
        <w:t>)</w:t>
      </w:r>
    </w:p>
    <w:p w14:paraId="6682FE83" w14:textId="77777777" w:rsidR="004D6528" w:rsidRPr="00992749" w:rsidRDefault="548502B9" w:rsidP="522447BD">
      <w:pPr>
        <w:pStyle w:val="ListBullet"/>
      </w:pPr>
      <w:r w:rsidRPr="3A93DC59">
        <w:t>fluctuations in enrolment numbers or student characteristics that exceed what could have been reasonably anticipated</w:t>
      </w:r>
    </w:p>
    <w:p w14:paraId="4A6AD005" w14:textId="77777777" w:rsidR="004D6528" w:rsidRPr="00992749" w:rsidRDefault="6E96CF5F" w:rsidP="00992749">
      <w:pPr>
        <w:pStyle w:val="ListBullet"/>
      </w:pPr>
      <w:r>
        <w:t>significant differences in funding provided to schools compared to actual school allocation or school expenditure, that is outside the control of state governments</w:t>
      </w:r>
    </w:p>
    <w:p w14:paraId="7EBB3976" w14:textId="77777777" w:rsidR="004D6528" w:rsidRPr="00992749" w:rsidRDefault="6E96CF5F" w:rsidP="00992749">
      <w:pPr>
        <w:pStyle w:val="ListBullet"/>
      </w:pPr>
      <w:r>
        <w:t>mitigation or rectification processes proposed by the state or territory</w:t>
      </w:r>
    </w:p>
    <w:p w14:paraId="44EA90C9" w14:textId="1EAC926A" w:rsidR="004D6528" w:rsidRPr="00992749" w:rsidRDefault="6E96CF5F" w:rsidP="000A513D">
      <w:pPr>
        <w:pStyle w:val="ListBullet"/>
      </w:pPr>
      <w:r>
        <w:lastRenderedPageBreak/>
        <w:t>other unforeseeable circumstances (</w:t>
      </w:r>
      <w:r w:rsidR="2C464AC5">
        <w:t>e.g.</w:t>
      </w:r>
      <w:r>
        <w:t xml:space="preserve"> natural disasters)</w:t>
      </w:r>
      <w:r w:rsidR="004D6528" w:rsidRPr="3A93DC59">
        <w:rPr>
          <w:rStyle w:val="FootnoteReference"/>
        </w:rPr>
        <w:footnoteReference w:id="8"/>
      </w:r>
    </w:p>
    <w:p w14:paraId="53454134" w14:textId="77777777" w:rsidR="00F42685" w:rsidRPr="00E2031A" w:rsidRDefault="00F42685" w:rsidP="00370CE6">
      <w:pPr>
        <w:pStyle w:val="Heading3"/>
      </w:pPr>
      <w:bookmarkStart w:id="430" w:name="_Toc210306635"/>
      <w:bookmarkStart w:id="431" w:name="_Toc210317461"/>
      <w:bookmarkStart w:id="432" w:name="_Toc210815615"/>
      <w:r>
        <w:t>Northern Territory</w:t>
      </w:r>
      <w:bookmarkEnd w:id="430"/>
      <w:bookmarkEnd w:id="431"/>
      <w:bookmarkEnd w:id="432"/>
    </w:p>
    <w:p w14:paraId="22E34780" w14:textId="4B553E7B" w:rsidR="00F42685" w:rsidRPr="00E2031A" w:rsidRDefault="007C1064" w:rsidP="00F42685">
      <w:r>
        <w:t>T</w:t>
      </w:r>
      <w:r w:rsidR="00F42685">
        <w:t xml:space="preserve">he Northern Territory </w:t>
      </w:r>
      <w:r w:rsidR="00AD7134">
        <w:t>wa</w:t>
      </w:r>
      <w:r w:rsidR="00F42685">
        <w:t>s non-compliant with its funding contribution</w:t>
      </w:r>
      <w:r w:rsidR="00192671">
        <w:t>s</w:t>
      </w:r>
      <w:r w:rsidR="00F42685">
        <w:t xml:space="preserve"> for the government sector</w:t>
      </w:r>
      <w:r w:rsidR="009A45DD">
        <w:t xml:space="preserve"> for the 2023 funding year</w:t>
      </w:r>
      <w:r w:rsidR="00F42685">
        <w:t xml:space="preserve">, as its SRS reported funding contribution </w:t>
      </w:r>
      <w:r w:rsidR="00D31100">
        <w:t>of</w:t>
      </w:r>
      <w:r w:rsidR="00F42685">
        <w:t xml:space="preserve"> 57.36% </w:t>
      </w:r>
      <w:r w:rsidR="00D31100">
        <w:t>was</w:t>
      </w:r>
      <w:r w:rsidR="00F42685">
        <w:t xml:space="preserve"> 1.64% </w:t>
      </w:r>
      <w:r w:rsidR="000F5AA3">
        <w:t>lower than</w:t>
      </w:r>
      <w:r w:rsidR="00F42685">
        <w:t xml:space="preserve"> the required minimum contribution of 59% (</w:t>
      </w:r>
      <w:r w:rsidR="00F42685">
        <w:fldChar w:fldCharType="begin"/>
      </w:r>
      <w:r w:rsidR="00F42685">
        <w:instrText xml:space="preserve"> REF _Ref190335233 \h </w:instrText>
      </w:r>
      <w:r w:rsidR="00F42685">
        <w:fldChar w:fldCharType="separate"/>
      </w:r>
      <w:r w:rsidR="00587C96" w:rsidRPr="3A93DC59">
        <w:t xml:space="preserve">Table </w:t>
      </w:r>
      <w:r w:rsidR="00587C96">
        <w:rPr>
          <w:noProof/>
        </w:rPr>
        <w:t>3</w:t>
      </w:r>
      <w:r w:rsidR="00F42685">
        <w:fldChar w:fldCharType="end"/>
      </w:r>
      <w:r w:rsidR="00086CEC">
        <w:t xml:space="preserve"> </w:t>
      </w:r>
      <w:r w:rsidR="00F42685">
        <w:t xml:space="preserve">and </w:t>
      </w:r>
      <w:r w:rsidR="00F42685">
        <w:fldChar w:fldCharType="begin"/>
      </w:r>
      <w:r w:rsidR="00F42685">
        <w:instrText xml:space="preserve"> REF _Ref190335081 \h </w:instrText>
      </w:r>
      <w:r w:rsidR="00F42685">
        <w:fldChar w:fldCharType="separate"/>
      </w:r>
      <w:r w:rsidR="00587C96" w:rsidRPr="3A93DC59">
        <w:t xml:space="preserve">Figure </w:t>
      </w:r>
      <w:r w:rsidR="00587C96">
        <w:rPr>
          <w:noProof/>
        </w:rPr>
        <w:t>2</w:t>
      </w:r>
      <w:r w:rsidR="00F42685">
        <w:fldChar w:fldCharType="end"/>
      </w:r>
      <w:r w:rsidR="00F42685">
        <w:t>). Considering the 0.6% immaterial</w:t>
      </w:r>
      <w:r w:rsidR="003F06CF">
        <w:t>ity</w:t>
      </w:r>
      <w:r w:rsidR="00F42685">
        <w:t xml:space="preserve"> threshold, the shortfall </w:t>
      </w:r>
      <w:r w:rsidR="000F5AA3">
        <w:t>for</w:t>
      </w:r>
      <w:r w:rsidR="00F42685">
        <w:t xml:space="preserve"> the government sector was 1.04%.</w:t>
      </w:r>
    </w:p>
    <w:p w14:paraId="043ACAA7" w14:textId="016D42EB" w:rsidR="00F42685" w:rsidRDefault="00F42685" w:rsidP="00F42685">
      <w:pPr>
        <w:rPr>
          <w:lang w:eastAsia="en-AU"/>
        </w:rPr>
      </w:pPr>
      <w:r w:rsidRPr="6F101C4A">
        <w:rPr>
          <w:lang w:eastAsia="en-AU"/>
        </w:rPr>
        <w:t>The Northern Territory cited an underspend of $</w:t>
      </w:r>
      <w:r w:rsidR="003C77C0" w:rsidRPr="6F101C4A">
        <w:rPr>
          <w:lang w:eastAsia="en-AU"/>
        </w:rPr>
        <w:t>15</w:t>
      </w:r>
      <w:r w:rsidR="00B5407F" w:rsidRPr="6F101C4A">
        <w:rPr>
          <w:lang w:eastAsia="en-AU"/>
        </w:rPr>
        <w:t>.4</w:t>
      </w:r>
      <w:r w:rsidR="003C77C0" w:rsidRPr="6F101C4A">
        <w:rPr>
          <w:lang w:eastAsia="en-AU"/>
        </w:rPr>
        <w:t>3</w:t>
      </w:r>
      <w:r w:rsidRPr="6F101C4A">
        <w:rPr>
          <w:lang w:eastAsia="en-AU"/>
        </w:rPr>
        <w:t xml:space="preserve"> million on staffing costs due to acute teacher shortages. </w:t>
      </w:r>
      <w:r w:rsidR="00782FD3">
        <w:rPr>
          <w:lang w:eastAsia="en-AU"/>
        </w:rPr>
        <w:t>A</w:t>
      </w:r>
      <w:r w:rsidRPr="6F101C4A">
        <w:rPr>
          <w:lang w:eastAsia="en-AU"/>
        </w:rPr>
        <w:t xml:space="preserve"> similar mitigating circumstance</w:t>
      </w:r>
      <w:r w:rsidR="00782FD3">
        <w:rPr>
          <w:lang w:eastAsia="en-AU"/>
        </w:rPr>
        <w:t xml:space="preserve"> was</w:t>
      </w:r>
      <w:r w:rsidRPr="6F101C4A">
        <w:rPr>
          <w:lang w:eastAsia="en-AU"/>
        </w:rPr>
        <w:t xml:space="preserve"> provided for their shortfall</w:t>
      </w:r>
      <w:r w:rsidR="00782FD3">
        <w:rPr>
          <w:lang w:eastAsia="en-AU"/>
        </w:rPr>
        <w:t>s</w:t>
      </w:r>
      <w:r w:rsidRPr="6F101C4A">
        <w:rPr>
          <w:lang w:eastAsia="en-AU"/>
        </w:rPr>
        <w:t xml:space="preserve"> for the 202</w:t>
      </w:r>
      <w:r w:rsidR="00831DED" w:rsidRPr="6F101C4A">
        <w:rPr>
          <w:lang w:eastAsia="en-AU"/>
        </w:rPr>
        <w:t>1</w:t>
      </w:r>
      <w:r w:rsidRPr="6F101C4A">
        <w:rPr>
          <w:lang w:eastAsia="en-AU"/>
        </w:rPr>
        <w:t xml:space="preserve"> and 202</w:t>
      </w:r>
      <w:r w:rsidR="00831DED" w:rsidRPr="6F101C4A">
        <w:rPr>
          <w:lang w:eastAsia="en-AU"/>
        </w:rPr>
        <w:t>2</w:t>
      </w:r>
      <w:r w:rsidRPr="6F101C4A">
        <w:rPr>
          <w:lang w:eastAsia="en-AU"/>
        </w:rPr>
        <w:t xml:space="preserve"> funding years.</w:t>
      </w:r>
      <w:r w:rsidRPr="00945FD0">
        <w:t xml:space="preserve"> </w:t>
      </w:r>
    </w:p>
    <w:p w14:paraId="510BB58E" w14:textId="2E2911EC" w:rsidR="0064509A" w:rsidRDefault="7AE12610" w:rsidP="3A93DC59">
      <w:pPr>
        <w:rPr>
          <w:lang w:eastAsia="en-AU"/>
        </w:rPr>
      </w:pPr>
      <w:r w:rsidRPr="3A93DC59">
        <w:rPr>
          <w:lang w:eastAsia="en-AU"/>
        </w:rPr>
        <w:t>Representatives from the Northern Territory met with members of the Board on 10 February 2025 and provided a presentation on the jurisdiction’s non-compliance</w:t>
      </w:r>
      <w:r w:rsidR="2BB2A0E2" w:rsidRPr="3A93DC59">
        <w:rPr>
          <w:lang w:eastAsia="en-AU"/>
        </w:rPr>
        <w:t xml:space="preserve"> which noted:</w:t>
      </w:r>
    </w:p>
    <w:p w14:paraId="4D65252A" w14:textId="60D78FA9" w:rsidR="16752FFA" w:rsidRDefault="00782FD3" w:rsidP="421ADA8C">
      <w:pPr>
        <w:pStyle w:val="ListBullet"/>
      </w:pPr>
      <w:r w:rsidRPr="3A93DC59">
        <w:t>t</w:t>
      </w:r>
      <w:r w:rsidR="16752FFA" w:rsidRPr="3A93DC59">
        <w:t xml:space="preserve">he unique context in which the jurisdiction delivers education </w:t>
      </w:r>
      <w:proofErr w:type="gramStart"/>
      <w:r w:rsidR="16752FFA" w:rsidRPr="3A93DC59">
        <w:t>including:</w:t>
      </w:r>
      <w:proofErr w:type="gramEnd"/>
      <w:r w:rsidR="16752FFA" w:rsidRPr="3A93DC59">
        <w:t xml:space="preserve"> </w:t>
      </w:r>
      <w:r w:rsidR="3F515686" w:rsidRPr="3A93DC59">
        <w:t>servicing 1% of the student population over 17% of Australia’s land mass, a disproportionate number of disadvantaged</w:t>
      </w:r>
      <w:r w:rsidR="0F89984C" w:rsidRPr="3A93DC59">
        <w:t xml:space="preserve"> students and </w:t>
      </w:r>
      <w:r w:rsidR="359749D7" w:rsidRPr="3A93DC59">
        <w:t>44% of students identifying as Aboriginal</w:t>
      </w:r>
    </w:p>
    <w:p w14:paraId="4B4D77BB" w14:textId="48AF4134" w:rsidR="0064509A" w:rsidRDefault="00782FD3" w:rsidP="004132DF">
      <w:pPr>
        <w:pStyle w:val="ListBullet"/>
      </w:pPr>
      <w:r w:rsidRPr="3A93DC59">
        <w:t>t</w:t>
      </w:r>
      <w:r w:rsidR="1BF8342E" w:rsidRPr="3A93DC59">
        <w:t>he geographical and demographical challenges facing the jurisdiction in terms of providing education services particularly to remote and very remote locations where 40% of their students</w:t>
      </w:r>
      <w:r w:rsidR="05403C23" w:rsidRPr="3A93DC59">
        <w:t xml:space="preserve"> </w:t>
      </w:r>
      <w:r w:rsidR="1BF8342E" w:rsidRPr="3A93DC59">
        <w:t>undertake their schooling</w:t>
      </w:r>
    </w:p>
    <w:p w14:paraId="1085FBCE" w14:textId="1D92F71E" w:rsidR="0064509A" w:rsidRDefault="00782FD3" w:rsidP="004132DF">
      <w:pPr>
        <w:pStyle w:val="ListBullet"/>
      </w:pPr>
      <w:r>
        <w:t>t</w:t>
      </w:r>
      <w:r w:rsidR="3D4B9C1E">
        <w:t xml:space="preserve">he impact of national teacher shortages and the impact of </w:t>
      </w:r>
      <w:r w:rsidR="00B71D39">
        <w:t>commentary</w:t>
      </w:r>
      <w:r w:rsidR="00C63D2A">
        <w:t xml:space="preserve"> on</w:t>
      </w:r>
      <w:r w:rsidR="004132DF">
        <w:t xml:space="preserve"> </w:t>
      </w:r>
      <w:r w:rsidR="3D4B9C1E" w:rsidRPr="004132DF">
        <w:t xml:space="preserve">teacher safety and security in remote areas. The teacher shortage led to the underspend. This has been </w:t>
      </w:r>
      <w:r w:rsidR="00EC7706">
        <w:t>a consistent</w:t>
      </w:r>
      <w:r w:rsidR="3D4B9C1E" w:rsidRPr="004132DF">
        <w:t xml:space="preserve"> issue for the last four years in terms of being non-compliant with their spending requirements</w:t>
      </w:r>
    </w:p>
    <w:p w14:paraId="125BC9DB" w14:textId="57ACD4D0" w:rsidR="0064509A" w:rsidRDefault="00782FD3" w:rsidP="004132DF">
      <w:pPr>
        <w:pStyle w:val="ListBullet"/>
      </w:pPr>
      <w:r w:rsidRPr="3A93DC59">
        <w:t>t</w:t>
      </w:r>
      <w:r w:rsidR="1BF8342E" w:rsidRPr="3A93DC59">
        <w:t>he use of the expenditure methodology, rather than the allocation methodology which equated, in a measurement sense, to the non-compliance</w:t>
      </w:r>
    </w:p>
    <w:p w14:paraId="02371F12" w14:textId="1C6D062F" w:rsidR="0064509A" w:rsidRDefault="006009E0" w:rsidP="004132DF">
      <w:pPr>
        <w:pStyle w:val="ListBullet"/>
      </w:pPr>
      <w:r>
        <w:t>m</w:t>
      </w:r>
      <w:r w:rsidR="1BF8342E" w:rsidRPr="3A93DC59">
        <w:t>oving forward the Better and Fairer Schools Agreement provides additional funding and they are focused on attraction and recruitment of staff, retention and improved workforce initiatives to improve the learning and teaching experience.</w:t>
      </w:r>
    </w:p>
    <w:p w14:paraId="4D54A158" w14:textId="32464C3C" w:rsidR="004862BF" w:rsidRDefault="00086CEC" w:rsidP="63651CF3">
      <w:pPr>
        <w:rPr>
          <w:lang w:eastAsia="en-AU"/>
        </w:rPr>
      </w:pPr>
      <w:r>
        <w:rPr>
          <w:lang w:eastAsia="en-AU"/>
        </w:rPr>
        <w:fldChar w:fldCharType="begin"/>
      </w:r>
      <w:r>
        <w:rPr>
          <w:lang w:eastAsia="en-AU"/>
        </w:rPr>
        <w:instrText xml:space="preserve"> REF _Ref190335277 \h </w:instrText>
      </w:r>
      <w:r>
        <w:rPr>
          <w:lang w:eastAsia="en-AU"/>
        </w:rPr>
      </w:r>
      <w:r>
        <w:rPr>
          <w:lang w:eastAsia="en-AU"/>
        </w:rPr>
        <w:fldChar w:fldCharType="separate"/>
      </w:r>
      <w:r w:rsidR="00587C96">
        <w:t xml:space="preserve">Table </w:t>
      </w:r>
      <w:r w:rsidR="00587C96">
        <w:rPr>
          <w:noProof/>
        </w:rPr>
        <w:t>4</w:t>
      </w:r>
      <w:r>
        <w:rPr>
          <w:lang w:eastAsia="en-AU"/>
        </w:rPr>
        <w:fldChar w:fldCharType="end"/>
      </w:r>
      <w:r w:rsidRPr="63651CF3">
        <w:rPr>
          <w:lang w:eastAsia="en-AU"/>
        </w:rPr>
        <w:t xml:space="preserve"> </w:t>
      </w:r>
      <w:r w:rsidR="00410980" w:rsidRPr="63651CF3">
        <w:rPr>
          <w:lang w:eastAsia="en-AU"/>
        </w:rPr>
        <w:t xml:space="preserve">shows </w:t>
      </w:r>
      <w:r w:rsidR="00C6220F" w:rsidRPr="63651CF3">
        <w:rPr>
          <w:lang w:eastAsia="en-AU"/>
        </w:rPr>
        <w:t xml:space="preserve">the Northern Territory </w:t>
      </w:r>
      <w:r w:rsidR="00594F93" w:rsidRPr="63651CF3">
        <w:rPr>
          <w:lang w:eastAsia="en-AU"/>
        </w:rPr>
        <w:t xml:space="preserve">has not been compliant with its </w:t>
      </w:r>
      <w:r w:rsidR="00C6220F" w:rsidRPr="63651CF3">
        <w:rPr>
          <w:lang w:eastAsia="en-AU"/>
        </w:rPr>
        <w:t xml:space="preserve">funding </w:t>
      </w:r>
      <w:r w:rsidR="001557A6" w:rsidRPr="63651CF3">
        <w:rPr>
          <w:lang w:eastAsia="en-AU"/>
        </w:rPr>
        <w:t>contributions</w:t>
      </w:r>
      <w:r w:rsidR="00C6220F" w:rsidRPr="63651CF3">
        <w:rPr>
          <w:lang w:eastAsia="en-AU"/>
        </w:rPr>
        <w:t xml:space="preserve"> for the government sector </w:t>
      </w:r>
      <w:r w:rsidR="00415A73" w:rsidRPr="63651CF3">
        <w:rPr>
          <w:lang w:eastAsia="en-AU"/>
        </w:rPr>
        <w:t>since 20</w:t>
      </w:r>
      <w:r w:rsidR="00ED3EA7" w:rsidRPr="63651CF3">
        <w:rPr>
          <w:lang w:eastAsia="en-AU"/>
        </w:rPr>
        <w:t>20</w:t>
      </w:r>
      <w:r w:rsidR="00C61724" w:rsidRPr="63651CF3">
        <w:rPr>
          <w:lang w:eastAsia="en-AU"/>
        </w:rPr>
        <w:t>.</w:t>
      </w:r>
    </w:p>
    <w:p w14:paraId="11A1B80D" w14:textId="77777777" w:rsidR="004862BF" w:rsidRDefault="004862BF">
      <w:pPr>
        <w:spacing w:before="0" w:after="160"/>
        <w:rPr>
          <w:lang w:eastAsia="en-AU"/>
        </w:rPr>
      </w:pPr>
      <w:r>
        <w:rPr>
          <w:lang w:eastAsia="en-AU"/>
        </w:rPr>
        <w:br w:type="page"/>
      </w:r>
    </w:p>
    <w:p w14:paraId="0C97EAF0" w14:textId="50EC1A78" w:rsidR="00A95D09" w:rsidRDefault="00A95D09" w:rsidP="00A95D09">
      <w:pPr>
        <w:pStyle w:val="Caption"/>
      </w:pPr>
      <w:bookmarkStart w:id="433" w:name="_Ref190335277"/>
      <w:bookmarkStart w:id="434" w:name="_Toc200636986"/>
      <w:r>
        <w:lastRenderedPageBreak/>
        <w:t xml:space="preserve">Table </w:t>
      </w:r>
      <w:r>
        <w:fldChar w:fldCharType="begin"/>
      </w:r>
      <w:r>
        <w:instrText xml:space="preserve"> SEQ Table \* ARABIC </w:instrText>
      </w:r>
      <w:r>
        <w:fldChar w:fldCharType="separate"/>
      </w:r>
      <w:r w:rsidR="00587C96">
        <w:rPr>
          <w:noProof/>
        </w:rPr>
        <w:t>4</w:t>
      </w:r>
      <w:r>
        <w:fldChar w:fldCharType="end"/>
      </w:r>
      <w:bookmarkEnd w:id="433"/>
      <w:r w:rsidR="00EA0C0B">
        <w:t>:</w:t>
      </w:r>
      <w:r w:rsidRPr="00A95D09">
        <w:t xml:space="preserve"> </w:t>
      </w:r>
      <w:r>
        <w:t>H</w:t>
      </w:r>
      <w:r w:rsidRPr="0055688D">
        <w:t xml:space="preserve">istory of the Northern Territory’s funding compliance for </w:t>
      </w:r>
      <w:r>
        <w:t>government and non-government sectors</w:t>
      </w:r>
      <w:bookmarkEnd w:id="434"/>
    </w:p>
    <w:tbl>
      <w:tblPr>
        <w:tblW w:w="5000" w:type="pct"/>
        <w:tblBorders>
          <w:insideH w:val="single" w:sz="4" w:space="0" w:color="auto"/>
        </w:tblBorders>
        <w:tblLook w:val="04A0" w:firstRow="1" w:lastRow="0" w:firstColumn="1" w:lastColumn="0" w:noHBand="0" w:noVBand="1"/>
      </w:tblPr>
      <w:tblGrid>
        <w:gridCol w:w="2181"/>
        <w:gridCol w:w="1002"/>
        <w:gridCol w:w="1001"/>
        <w:gridCol w:w="1362"/>
        <w:gridCol w:w="1362"/>
        <w:gridCol w:w="1036"/>
        <w:gridCol w:w="1126"/>
      </w:tblGrid>
      <w:tr w:rsidR="00F42685" w:rsidRPr="00747EE4" w14:paraId="7166C134" w14:textId="77777777" w:rsidTr="19505304">
        <w:trPr>
          <w:trHeight w:val="433"/>
        </w:trPr>
        <w:tc>
          <w:tcPr>
            <w:tcW w:w="1202" w:type="pct"/>
            <w:vMerge w:val="restart"/>
            <w:shd w:val="clear" w:color="auto" w:fill="00355F"/>
            <w:vAlign w:val="center"/>
            <w:hideMark/>
          </w:tcPr>
          <w:p w14:paraId="68D12F66" w14:textId="77777777" w:rsidR="00F42685" w:rsidRPr="00747EE4" w:rsidRDefault="00F42685">
            <w:pPr>
              <w:rPr>
                <w:b/>
                <w:bCs/>
              </w:rPr>
            </w:pPr>
            <w:r w:rsidRPr="00747EE4">
              <w:rPr>
                <w:b/>
                <w:bCs/>
              </w:rPr>
              <w:t xml:space="preserve">Sector </w:t>
            </w:r>
          </w:p>
        </w:tc>
        <w:tc>
          <w:tcPr>
            <w:tcW w:w="3798" w:type="pct"/>
            <w:gridSpan w:val="6"/>
            <w:shd w:val="clear" w:color="auto" w:fill="00355F"/>
          </w:tcPr>
          <w:p w14:paraId="3C1449FA" w14:textId="483A382F" w:rsidR="00F42685" w:rsidRPr="00747EE4" w:rsidRDefault="00F42685">
            <w:pPr>
              <w:spacing w:before="0" w:after="0"/>
              <w:jc w:val="center"/>
              <w:rPr>
                <w:b/>
                <w:bCs/>
              </w:rPr>
            </w:pPr>
            <w:r w:rsidRPr="00747EE4">
              <w:rPr>
                <w:b/>
                <w:bCs/>
              </w:rPr>
              <w:t>Funding Year</w:t>
            </w:r>
            <w:r w:rsidR="00452B7F">
              <w:rPr>
                <w:rStyle w:val="FootnoteReference"/>
                <w:b/>
                <w:bCs/>
              </w:rPr>
              <w:footnoteReference w:id="9"/>
            </w:r>
          </w:p>
        </w:tc>
      </w:tr>
      <w:tr w:rsidR="00F42685" w:rsidRPr="00747EE4" w14:paraId="42C26D0F" w14:textId="77777777" w:rsidTr="19505304">
        <w:trPr>
          <w:trHeight w:val="288"/>
        </w:trPr>
        <w:tc>
          <w:tcPr>
            <w:tcW w:w="1202" w:type="pct"/>
            <w:vMerge/>
            <w:vAlign w:val="center"/>
            <w:hideMark/>
          </w:tcPr>
          <w:p w14:paraId="0E0EC960" w14:textId="77777777" w:rsidR="00F42685" w:rsidRPr="00747EE4" w:rsidRDefault="00F42685">
            <w:pPr>
              <w:rPr>
                <w:b/>
                <w:bCs/>
              </w:rPr>
            </w:pPr>
          </w:p>
        </w:tc>
        <w:tc>
          <w:tcPr>
            <w:tcW w:w="552" w:type="pct"/>
            <w:shd w:val="clear" w:color="auto" w:fill="00355F"/>
            <w:vAlign w:val="center"/>
          </w:tcPr>
          <w:p w14:paraId="6850277D" w14:textId="77777777" w:rsidR="00F42685" w:rsidRPr="00747EE4" w:rsidRDefault="00F42685">
            <w:pPr>
              <w:jc w:val="center"/>
              <w:rPr>
                <w:b/>
                <w:bCs/>
              </w:rPr>
            </w:pPr>
            <w:r w:rsidRPr="00747EE4">
              <w:rPr>
                <w:b/>
                <w:bCs/>
              </w:rPr>
              <w:t>2018</w:t>
            </w:r>
          </w:p>
        </w:tc>
        <w:tc>
          <w:tcPr>
            <w:tcW w:w="552" w:type="pct"/>
            <w:shd w:val="clear" w:color="auto" w:fill="00355F"/>
            <w:vAlign w:val="center"/>
            <w:hideMark/>
          </w:tcPr>
          <w:p w14:paraId="6607C86A" w14:textId="77777777" w:rsidR="00F42685" w:rsidRPr="00747EE4" w:rsidRDefault="00F42685">
            <w:pPr>
              <w:jc w:val="center"/>
              <w:rPr>
                <w:b/>
                <w:bCs/>
              </w:rPr>
            </w:pPr>
            <w:r w:rsidRPr="00747EE4">
              <w:rPr>
                <w:b/>
                <w:bCs/>
              </w:rPr>
              <w:t>2019</w:t>
            </w:r>
          </w:p>
        </w:tc>
        <w:tc>
          <w:tcPr>
            <w:tcW w:w="751" w:type="pct"/>
            <w:shd w:val="clear" w:color="auto" w:fill="00355F"/>
            <w:vAlign w:val="center"/>
          </w:tcPr>
          <w:p w14:paraId="53A07AD3" w14:textId="77777777" w:rsidR="00F42685" w:rsidRPr="00747EE4" w:rsidRDefault="00F42685">
            <w:pPr>
              <w:jc w:val="center"/>
              <w:rPr>
                <w:b/>
                <w:bCs/>
              </w:rPr>
            </w:pPr>
            <w:r w:rsidRPr="00747EE4">
              <w:rPr>
                <w:b/>
                <w:bCs/>
              </w:rPr>
              <w:t>2020</w:t>
            </w:r>
          </w:p>
        </w:tc>
        <w:tc>
          <w:tcPr>
            <w:tcW w:w="751" w:type="pct"/>
            <w:shd w:val="clear" w:color="auto" w:fill="00355F"/>
            <w:vAlign w:val="center"/>
          </w:tcPr>
          <w:p w14:paraId="4E94D535" w14:textId="77777777" w:rsidR="00F42685" w:rsidRPr="00747EE4" w:rsidRDefault="00F42685">
            <w:pPr>
              <w:jc w:val="center"/>
              <w:rPr>
                <w:b/>
                <w:bCs/>
              </w:rPr>
            </w:pPr>
            <w:r w:rsidRPr="00747EE4">
              <w:rPr>
                <w:b/>
                <w:bCs/>
              </w:rPr>
              <w:t>2021</w:t>
            </w:r>
          </w:p>
        </w:tc>
        <w:tc>
          <w:tcPr>
            <w:tcW w:w="571" w:type="pct"/>
            <w:shd w:val="clear" w:color="auto" w:fill="00355F"/>
            <w:vAlign w:val="center"/>
          </w:tcPr>
          <w:p w14:paraId="3EC422F4" w14:textId="77777777" w:rsidR="00F42685" w:rsidRPr="00747EE4" w:rsidRDefault="00F42685">
            <w:pPr>
              <w:jc w:val="center"/>
              <w:rPr>
                <w:b/>
                <w:bCs/>
              </w:rPr>
            </w:pPr>
            <w:r w:rsidRPr="00747EE4">
              <w:rPr>
                <w:b/>
                <w:bCs/>
              </w:rPr>
              <w:t>2022</w:t>
            </w:r>
          </w:p>
        </w:tc>
        <w:tc>
          <w:tcPr>
            <w:tcW w:w="621" w:type="pct"/>
            <w:shd w:val="clear" w:color="auto" w:fill="00355F"/>
            <w:vAlign w:val="center"/>
          </w:tcPr>
          <w:p w14:paraId="057DB62C" w14:textId="77777777" w:rsidR="00F42685" w:rsidRPr="00747EE4" w:rsidRDefault="00F42685">
            <w:pPr>
              <w:jc w:val="center"/>
              <w:rPr>
                <w:b/>
                <w:bCs/>
              </w:rPr>
            </w:pPr>
            <w:r w:rsidRPr="00747EE4">
              <w:rPr>
                <w:b/>
                <w:bCs/>
              </w:rPr>
              <w:t>2023</w:t>
            </w:r>
          </w:p>
        </w:tc>
      </w:tr>
      <w:tr w:rsidR="00F42685" w:rsidRPr="00747EE4" w14:paraId="78BBBDEE" w14:textId="77777777" w:rsidTr="19505304">
        <w:trPr>
          <w:trHeight w:val="492"/>
        </w:trPr>
        <w:tc>
          <w:tcPr>
            <w:tcW w:w="1202" w:type="pct"/>
            <w:shd w:val="clear" w:color="auto" w:fill="9BC2E6"/>
            <w:vAlign w:val="center"/>
            <w:hideMark/>
          </w:tcPr>
          <w:p w14:paraId="37DE9F55" w14:textId="77777777" w:rsidR="00F42685" w:rsidRPr="00747EE4" w:rsidRDefault="00F42685">
            <w:r w:rsidRPr="00747EE4">
              <w:t xml:space="preserve">Government </w:t>
            </w:r>
          </w:p>
        </w:tc>
        <w:tc>
          <w:tcPr>
            <w:tcW w:w="552" w:type="pct"/>
            <w:shd w:val="clear" w:color="auto" w:fill="F2F2F2" w:themeFill="background1" w:themeFillShade="F2"/>
            <w:vAlign w:val="center"/>
          </w:tcPr>
          <w:p w14:paraId="72935345" w14:textId="77777777" w:rsidR="00F42685" w:rsidRPr="00747EE4" w:rsidRDefault="00F42685">
            <w:pPr>
              <w:jc w:val="center"/>
            </w:pPr>
            <w:r w:rsidRPr="00747EE4">
              <w:t>C</w:t>
            </w:r>
          </w:p>
        </w:tc>
        <w:tc>
          <w:tcPr>
            <w:tcW w:w="552" w:type="pct"/>
            <w:shd w:val="clear" w:color="auto" w:fill="F2F2F2" w:themeFill="background1" w:themeFillShade="F2"/>
            <w:noWrap/>
            <w:vAlign w:val="center"/>
            <w:hideMark/>
          </w:tcPr>
          <w:p w14:paraId="18EE84A4" w14:textId="77777777" w:rsidR="00F42685" w:rsidRPr="00747EE4" w:rsidRDefault="00F42685">
            <w:pPr>
              <w:jc w:val="center"/>
            </w:pPr>
            <w:r w:rsidRPr="00747EE4">
              <w:t>C</w:t>
            </w:r>
          </w:p>
        </w:tc>
        <w:tc>
          <w:tcPr>
            <w:tcW w:w="751" w:type="pct"/>
            <w:shd w:val="clear" w:color="auto" w:fill="F2F2F2" w:themeFill="background1" w:themeFillShade="F2"/>
            <w:noWrap/>
            <w:vAlign w:val="center"/>
          </w:tcPr>
          <w:p w14:paraId="116343C0" w14:textId="77777777" w:rsidR="00F42685" w:rsidRPr="00747EE4" w:rsidRDefault="00F42685">
            <w:pPr>
              <w:jc w:val="center"/>
            </w:pPr>
            <w:r w:rsidRPr="00747EE4">
              <w:t>NC</w:t>
            </w:r>
          </w:p>
        </w:tc>
        <w:tc>
          <w:tcPr>
            <w:tcW w:w="751" w:type="pct"/>
            <w:shd w:val="clear" w:color="auto" w:fill="F2F2F2" w:themeFill="background1" w:themeFillShade="F2"/>
            <w:noWrap/>
            <w:vAlign w:val="center"/>
          </w:tcPr>
          <w:p w14:paraId="282ACAC2" w14:textId="77777777" w:rsidR="00F42685" w:rsidRPr="00747EE4" w:rsidRDefault="00F42685">
            <w:pPr>
              <w:jc w:val="center"/>
            </w:pPr>
            <w:r w:rsidRPr="00747EE4">
              <w:t>NC</w:t>
            </w:r>
          </w:p>
        </w:tc>
        <w:tc>
          <w:tcPr>
            <w:tcW w:w="571" w:type="pct"/>
            <w:shd w:val="clear" w:color="auto" w:fill="F2F2F2" w:themeFill="background1" w:themeFillShade="F2"/>
            <w:noWrap/>
            <w:vAlign w:val="center"/>
          </w:tcPr>
          <w:p w14:paraId="0CB13C30" w14:textId="77777777" w:rsidR="00F42685" w:rsidRPr="00747EE4" w:rsidRDefault="00F42685">
            <w:pPr>
              <w:jc w:val="center"/>
            </w:pPr>
            <w:r w:rsidRPr="00747EE4">
              <w:t>NC</w:t>
            </w:r>
          </w:p>
        </w:tc>
        <w:tc>
          <w:tcPr>
            <w:tcW w:w="621" w:type="pct"/>
            <w:shd w:val="clear" w:color="auto" w:fill="F2F2F2" w:themeFill="background1" w:themeFillShade="F2"/>
            <w:noWrap/>
            <w:vAlign w:val="center"/>
          </w:tcPr>
          <w:p w14:paraId="065EAA66" w14:textId="77777777" w:rsidR="00F42685" w:rsidRPr="00747EE4" w:rsidRDefault="00F42685">
            <w:pPr>
              <w:jc w:val="center"/>
            </w:pPr>
            <w:r w:rsidRPr="00747EE4">
              <w:t>NC</w:t>
            </w:r>
          </w:p>
        </w:tc>
      </w:tr>
      <w:tr w:rsidR="00F42685" w:rsidRPr="00864DC4" w14:paraId="2D6AA9E2" w14:textId="77777777" w:rsidTr="19505304">
        <w:trPr>
          <w:trHeight w:val="444"/>
        </w:trPr>
        <w:tc>
          <w:tcPr>
            <w:tcW w:w="1202" w:type="pct"/>
            <w:shd w:val="clear" w:color="auto" w:fill="9BC2E6"/>
            <w:vAlign w:val="center"/>
            <w:hideMark/>
          </w:tcPr>
          <w:p w14:paraId="55723A1D" w14:textId="77777777" w:rsidR="00F42685" w:rsidRPr="00747EE4" w:rsidRDefault="00F42685">
            <w:r w:rsidRPr="00747EE4">
              <w:t xml:space="preserve">Non-Government </w:t>
            </w:r>
          </w:p>
        </w:tc>
        <w:tc>
          <w:tcPr>
            <w:tcW w:w="552" w:type="pct"/>
            <w:shd w:val="clear" w:color="auto" w:fill="F2F2F2" w:themeFill="background1" w:themeFillShade="F2"/>
            <w:vAlign w:val="center"/>
          </w:tcPr>
          <w:p w14:paraId="1A2C3EAF" w14:textId="77777777" w:rsidR="00F42685" w:rsidRPr="00747EE4" w:rsidRDefault="00F42685">
            <w:pPr>
              <w:jc w:val="center"/>
            </w:pPr>
            <w:r w:rsidRPr="00747EE4">
              <w:t>C</w:t>
            </w:r>
          </w:p>
        </w:tc>
        <w:tc>
          <w:tcPr>
            <w:tcW w:w="552" w:type="pct"/>
            <w:shd w:val="clear" w:color="auto" w:fill="F2F2F2" w:themeFill="background1" w:themeFillShade="F2"/>
            <w:noWrap/>
            <w:vAlign w:val="center"/>
            <w:hideMark/>
          </w:tcPr>
          <w:p w14:paraId="2E6D7261" w14:textId="77777777" w:rsidR="00F42685" w:rsidRPr="00747EE4" w:rsidRDefault="00F42685">
            <w:pPr>
              <w:jc w:val="center"/>
            </w:pPr>
            <w:r w:rsidRPr="00747EE4">
              <w:t>C</w:t>
            </w:r>
          </w:p>
        </w:tc>
        <w:tc>
          <w:tcPr>
            <w:tcW w:w="751" w:type="pct"/>
            <w:shd w:val="clear" w:color="auto" w:fill="F2F2F2" w:themeFill="background1" w:themeFillShade="F2"/>
            <w:noWrap/>
            <w:vAlign w:val="center"/>
          </w:tcPr>
          <w:p w14:paraId="37C9AC8F" w14:textId="77777777" w:rsidR="00F42685" w:rsidRPr="00747EE4" w:rsidRDefault="00F42685">
            <w:pPr>
              <w:jc w:val="center"/>
            </w:pPr>
            <w:r w:rsidRPr="00747EE4">
              <w:t>IS</w:t>
            </w:r>
          </w:p>
        </w:tc>
        <w:tc>
          <w:tcPr>
            <w:tcW w:w="751" w:type="pct"/>
            <w:shd w:val="clear" w:color="auto" w:fill="F2F2F2" w:themeFill="background1" w:themeFillShade="F2"/>
            <w:noWrap/>
            <w:vAlign w:val="center"/>
          </w:tcPr>
          <w:p w14:paraId="4EEDC210" w14:textId="77777777" w:rsidR="00F42685" w:rsidRPr="00747EE4" w:rsidRDefault="00F42685">
            <w:pPr>
              <w:jc w:val="center"/>
            </w:pPr>
            <w:r w:rsidRPr="00747EE4">
              <w:t>C</w:t>
            </w:r>
          </w:p>
        </w:tc>
        <w:tc>
          <w:tcPr>
            <w:tcW w:w="571" w:type="pct"/>
            <w:shd w:val="clear" w:color="auto" w:fill="F2F2F2" w:themeFill="background1" w:themeFillShade="F2"/>
            <w:noWrap/>
            <w:vAlign w:val="center"/>
          </w:tcPr>
          <w:p w14:paraId="123AD108" w14:textId="77777777" w:rsidR="00F42685" w:rsidRPr="00747EE4" w:rsidRDefault="00F42685">
            <w:pPr>
              <w:jc w:val="center"/>
            </w:pPr>
            <w:r>
              <w:t>IS</w:t>
            </w:r>
          </w:p>
        </w:tc>
        <w:tc>
          <w:tcPr>
            <w:tcW w:w="621" w:type="pct"/>
            <w:shd w:val="clear" w:color="auto" w:fill="F2F2F2" w:themeFill="background1" w:themeFillShade="F2"/>
            <w:noWrap/>
            <w:vAlign w:val="center"/>
          </w:tcPr>
          <w:p w14:paraId="7571E4FD" w14:textId="77777777" w:rsidR="00F42685" w:rsidRPr="00747EE4" w:rsidRDefault="00F42685">
            <w:pPr>
              <w:jc w:val="center"/>
            </w:pPr>
            <w:r>
              <w:t>IS</w:t>
            </w:r>
          </w:p>
        </w:tc>
      </w:tr>
      <w:tr w:rsidR="00F42685" w:rsidRPr="00864DC4" w14:paraId="67616C08" w14:textId="77777777" w:rsidTr="19505304">
        <w:trPr>
          <w:trHeight w:val="444"/>
        </w:trPr>
        <w:tc>
          <w:tcPr>
            <w:tcW w:w="5000" w:type="pct"/>
            <w:gridSpan w:val="7"/>
            <w:shd w:val="clear" w:color="auto" w:fill="E7E6E6" w:themeFill="background2"/>
            <w:vAlign w:val="center"/>
          </w:tcPr>
          <w:p w14:paraId="70041333" w14:textId="3CCE288C" w:rsidR="00F42685" w:rsidRPr="00747EE4" w:rsidRDefault="00F42685">
            <w:r w:rsidRPr="00864DC4">
              <w:t xml:space="preserve">C = </w:t>
            </w:r>
            <w:r w:rsidR="00137B81">
              <w:t>c</w:t>
            </w:r>
            <w:r w:rsidRPr="00864DC4">
              <w:t xml:space="preserve">ompliant </w:t>
            </w:r>
            <w:r w:rsidR="003A695D">
              <w:t xml:space="preserve">     </w:t>
            </w:r>
            <w:r w:rsidRPr="00864DC4">
              <w:t>IS = within immaterial shortfall</w:t>
            </w:r>
            <w:r w:rsidR="003A695D">
              <w:t xml:space="preserve">      </w:t>
            </w:r>
            <w:r w:rsidRPr="00864DC4">
              <w:t>NC = non-compliant</w:t>
            </w:r>
          </w:p>
        </w:tc>
      </w:tr>
    </w:tbl>
    <w:p w14:paraId="16B80505" w14:textId="57B3DB62" w:rsidR="008C5896" w:rsidRDefault="48F09A83" w:rsidP="3A93DC59">
      <w:pPr>
        <w:rPr>
          <w:lang w:eastAsia="en-AU"/>
        </w:rPr>
      </w:pPr>
      <w:r w:rsidRPr="3A93DC59">
        <w:t>T</w:t>
      </w:r>
      <w:r w:rsidRPr="3A93DC59">
        <w:rPr>
          <w:lang w:eastAsia="en-AU"/>
        </w:rPr>
        <w:t>he Board observ</w:t>
      </w:r>
      <w:r w:rsidR="1D35FA08" w:rsidRPr="3A93DC59">
        <w:rPr>
          <w:lang w:eastAsia="en-AU"/>
        </w:rPr>
        <w:t>es</w:t>
      </w:r>
      <w:r w:rsidRPr="3A93DC59">
        <w:rPr>
          <w:lang w:eastAsia="en-AU"/>
        </w:rPr>
        <w:t xml:space="preserve"> a</w:t>
      </w:r>
      <w:r w:rsidR="1731BCD9" w:rsidRPr="3A93DC59">
        <w:rPr>
          <w:lang w:eastAsia="en-AU"/>
        </w:rPr>
        <w:t xml:space="preserve"> </w:t>
      </w:r>
      <w:r w:rsidR="569A5826" w:rsidRPr="3A93DC59">
        <w:rPr>
          <w:lang w:eastAsia="en-AU"/>
        </w:rPr>
        <w:t>recurring</w:t>
      </w:r>
      <w:r w:rsidRPr="3A93DC59">
        <w:rPr>
          <w:lang w:eastAsia="en-AU"/>
        </w:rPr>
        <w:t xml:space="preserve"> pattern of </w:t>
      </w:r>
      <w:r w:rsidR="6CE093CB" w:rsidRPr="3A93DC59">
        <w:rPr>
          <w:lang w:eastAsia="en-AU"/>
        </w:rPr>
        <w:t>non-complian</w:t>
      </w:r>
      <w:r w:rsidR="61B1B756" w:rsidRPr="3A93DC59">
        <w:rPr>
          <w:lang w:eastAsia="en-AU"/>
        </w:rPr>
        <w:t xml:space="preserve">ce </w:t>
      </w:r>
      <w:r w:rsidR="3D65C6F9" w:rsidRPr="3A93DC59">
        <w:rPr>
          <w:lang w:eastAsia="en-AU"/>
        </w:rPr>
        <w:t>for</w:t>
      </w:r>
      <w:r w:rsidR="61B1B756" w:rsidRPr="3A93DC59">
        <w:rPr>
          <w:lang w:eastAsia="en-AU"/>
        </w:rPr>
        <w:t xml:space="preserve"> </w:t>
      </w:r>
      <w:r w:rsidR="3FB6A3EF" w:rsidRPr="3A93DC59">
        <w:rPr>
          <w:lang w:eastAsia="en-AU"/>
        </w:rPr>
        <w:t xml:space="preserve">the Northern Territory’s </w:t>
      </w:r>
      <w:r w:rsidR="52B70500" w:rsidRPr="3A93DC59">
        <w:rPr>
          <w:lang w:eastAsia="en-AU"/>
        </w:rPr>
        <w:t xml:space="preserve">contributions to the </w:t>
      </w:r>
      <w:r w:rsidR="3FB6A3EF" w:rsidRPr="3A93DC59">
        <w:rPr>
          <w:lang w:eastAsia="en-AU"/>
        </w:rPr>
        <w:t xml:space="preserve">government </w:t>
      </w:r>
      <w:r w:rsidR="5BE5DBD5" w:rsidRPr="3A93DC59">
        <w:rPr>
          <w:lang w:eastAsia="en-AU"/>
        </w:rPr>
        <w:t>sector</w:t>
      </w:r>
      <w:r w:rsidR="6A6763BF" w:rsidRPr="3A93DC59">
        <w:rPr>
          <w:lang w:eastAsia="en-AU"/>
        </w:rPr>
        <w:t xml:space="preserve">. </w:t>
      </w:r>
    </w:p>
    <w:p w14:paraId="7DED5B25" w14:textId="4C79BBFB" w:rsidR="3A226398" w:rsidRDefault="3A226398" w:rsidP="19505304">
      <w:pPr>
        <w:rPr>
          <w:lang w:eastAsia="en-AU"/>
        </w:rPr>
      </w:pPr>
      <w:r w:rsidRPr="6F101C4A">
        <w:rPr>
          <w:lang w:eastAsia="en-AU"/>
        </w:rPr>
        <w:t>During discussions with the Board, representatives from the Northern Territory outlined:</w:t>
      </w:r>
    </w:p>
    <w:p w14:paraId="06D8BB2B" w14:textId="18192EF2" w:rsidR="22FE6BB9" w:rsidRDefault="00FB155C" w:rsidP="004132DF">
      <w:pPr>
        <w:pStyle w:val="ListBullet"/>
      </w:pPr>
      <w:r>
        <w:t>t</w:t>
      </w:r>
      <w:r w:rsidR="22FE6BB9" w:rsidRPr="004132DF">
        <w:t>he shortfall in spending for 2023 was carried forward at the individual school level in 2024</w:t>
      </w:r>
    </w:p>
    <w:p w14:paraId="42F3AAD8" w14:textId="1941705B" w:rsidR="22FE6BB9" w:rsidRDefault="00FB155C" w:rsidP="004132DF">
      <w:pPr>
        <w:pStyle w:val="ListBullet"/>
      </w:pPr>
      <w:r>
        <w:t>f</w:t>
      </w:r>
      <w:r w:rsidR="695BAD81">
        <w:t>rom 2025 onwards unspent monies will be carried forward and spent on schools but will not be passed directly to the individual schools</w:t>
      </w:r>
    </w:p>
    <w:p w14:paraId="2C90B206" w14:textId="36E28EDE" w:rsidR="22FE6BB9" w:rsidRDefault="00FB155C" w:rsidP="004132DF">
      <w:pPr>
        <w:pStyle w:val="ListBullet"/>
      </w:pPr>
      <w:r>
        <w:t>t</w:t>
      </w:r>
      <w:r w:rsidR="002C4859" w:rsidRPr="3A93DC59">
        <w:t>he</w:t>
      </w:r>
      <w:r w:rsidR="4D912805" w:rsidRPr="3A93DC59">
        <w:t xml:space="preserve"> Territory has been exploring the roles that teaching support and allied health professionals can play into the future as they explore different workforce models to deliver better student outcomes. </w:t>
      </w:r>
      <w:r w:rsidR="681B6D13" w:rsidRPr="3A93DC59">
        <w:t>For</w:t>
      </w:r>
      <w:r w:rsidR="4D912805" w:rsidRPr="3A93DC59">
        <w:t xml:space="preserve"> example</w:t>
      </w:r>
      <w:r>
        <w:t>,</w:t>
      </w:r>
      <w:r w:rsidR="5E72A24F" w:rsidRPr="3A93DC59">
        <w:t xml:space="preserve"> </w:t>
      </w:r>
      <w:r w:rsidR="4D912805" w:rsidRPr="3A93DC59">
        <w:t xml:space="preserve">80 new support staff being provided to schools in </w:t>
      </w:r>
    </w:p>
    <w:p w14:paraId="34A801D0" w14:textId="773AA005" w:rsidR="22FE6BB9" w:rsidRDefault="22FE6BB9" w:rsidP="004132DF">
      <w:pPr>
        <w:pStyle w:val="ListBullet"/>
        <w:numPr>
          <w:ilvl w:val="0"/>
          <w:numId w:val="0"/>
        </w:numPr>
        <w:ind w:left="720"/>
      </w:pPr>
      <w:r w:rsidRPr="004132DF">
        <w:t>Alice Springs which have improved educational outcomes and attendance.</w:t>
      </w:r>
    </w:p>
    <w:p w14:paraId="3F23056C" w14:textId="77777777" w:rsidR="0057784D" w:rsidRDefault="0057784D" w:rsidP="00F42685">
      <w:pPr>
        <w:rPr>
          <w:lang w:eastAsia="en-AU"/>
        </w:rPr>
      </w:pPr>
    </w:p>
    <w:tbl>
      <w:tblPr>
        <w:tblStyle w:val="PullOutBox22"/>
        <w:tblpPr w:leftFromText="180" w:rightFromText="180" w:vertAnchor="text" w:horzAnchor="margin" w:tblpY="-187"/>
        <w:tblW w:w="0" w:type="auto"/>
        <w:shd w:val="clear" w:color="auto" w:fill="FBE4D5" w:themeFill="accent2" w:themeFillTint="33"/>
        <w:tblLook w:val="04A0" w:firstRow="1" w:lastRow="0" w:firstColumn="1" w:lastColumn="0" w:noHBand="0" w:noVBand="1"/>
      </w:tblPr>
      <w:tblGrid>
        <w:gridCol w:w="9054"/>
      </w:tblGrid>
      <w:tr w:rsidR="001F25D4" w:rsidRPr="00E2031A" w14:paraId="56416B38" w14:textId="77777777" w:rsidTr="000AB676">
        <w:trPr>
          <w:trHeight w:val="300"/>
          <w:tblHeader/>
        </w:trPr>
        <w:tc>
          <w:tcPr>
            <w:tcW w:w="9054" w:type="dxa"/>
            <w:shd w:val="clear" w:color="auto" w:fill="FBE4D5" w:themeFill="accent2" w:themeFillTint="33"/>
          </w:tcPr>
          <w:p w14:paraId="19FA8113" w14:textId="77777777" w:rsidR="001F25D4" w:rsidRPr="00E2031A" w:rsidRDefault="3919B4C0" w:rsidP="001F25D4">
            <w:pPr>
              <w:pStyle w:val="BoxHeading-Finding"/>
              <w:framePr w:hSpace="0" w:wrap="auto" w:vAnchor="margin" w:hAnchor="text" w:yAlign="inline"/>
            </w:pPr>
            <w:r>
              <w:t>Finding 6</w:t>
            </w:r>
          </w:p>
          <w:p w14:paraId="3A36755E" w14:textId="082BD398" w:rsidR="001F25D4" w:rsidRPr="00A957EA" w:rsidRDefault="181B5B63" w:rsidP="00746FCA">
            <w:r>
              <w:t xml:space="preserve">The </w:t>
            </w:r>
            <w:r w:rsidR="00F736F7">
              <w:t xml:space="preserve">Board found that the </w:t>
            </w:r>
            <w:r>
              <w:t xml:space="preserve">Northern Territory was non-compliant with its minimum contribution requirements for the government sector for the 2023 funding year, as the reported share was lower than the required share under its bilateral agreement (by 1.64%). </w:t>
            </w:r>
          </w:p>
        </w:tc>
      </w:tr>
    </w:tbl>
    <w:p w14:paraId="324F6C20" w14:textId="788A3C79" w:rsidR="00C95323" w:rsidRDefault="4DF3B443" w:rsidP="004132DF">
      <w:bookmarkStart w:id="435" w:name="_Hlk190956350"/>
      <w:r w:rsidRPr="3A93DC59">
        <w:t>While the Board acknowledges the challenging context in which the Northern Territory operates, it is the Board’s expectation that</w:t>
      </w:r>
      <w:r w:rsidR="3BE88646" w:rsidRPr="3A93DC59">
        <w:t xml:space="preserve"> the Northern Territory ca</w:t>
      </w:r>
      <w:r w:rsidR="4F018355" w:rsidRPr="3A93DC59">
        <w:t>n</w:t>
      </w:r>
      <w:r w:rsidR="3BE88646" w:rsidRPr="3A93DC59">
        <w:t xml:space="preserve"> evidence progress </w:t>
      </w:r>
      <w:r w:rsidR="3751D730" w:rsidRPr="3A93DC59">
        <w:t xml:space="preserve">on the impact of its mitigating strategies </w:t>
      </w:r>
      <w:r w:rsidR="3BE88646" w:rsidRPr="3A93DC59">
        <w:t xml:space="preserve">in its next annual report to the </w:t>
      </w:r>
      <w:r w:rsidR="48DE10D0" w:rsidRPr="3A93DC59">
        <w:t>Australian Government</w:t>
      </w:r>
      <w:r w:rsidR="3BE88646" w:rsidRPr="3A93DC59">
        <w:t xml:space="preserve"> to address issues </w:t>
      </w:r>
      <w:r w:rsidR="316A9C94" w:rsidRPr="3A93DC59">
        <w:t xml:space="preserve">of </w:t>
      </w:r>
      <w:r w:rsidR="77F54B90" w:rsidRPr="3A93DC59">
        <w:t xml:space="preserve">repeated </w:t>
      </w:r>
      <w:r w:rsidR="316A9C94" w:rsidRPr="3A93DC59">
        <w:t>non-compliance.</w:t>
      </w:r>
    </w:p>
    <w:bookmarkEnd w:id="435"/>
    <w:p w14:paraId="75767FBC" w14:textId="7FA189CD" w:rsidR="00AB671E" w:rsidRDefault="00AB671E">
      <w:pPr>
        <w:spacing w:before="0" w:after="160"/>
      </w:pPr>
      <w:r>
        <w:br w:type="page"/>
      </w:r>
    </w:p>
    <w:tbl>
      <w:tblPr>
        <w:tblStyle w:val="TableGrid"/>
        <w:tblW w:w="9072" w:type="dxa"/>
        <w:tblLayout w:type="fixed"/>
        <w:tblLook w:val="06A0" w:firstRow="1" w:lastRow="0" w:firstColumn="1" w:lastColumn="0" w:noHBand="1" w:noVBand="1"/>
      </w:tblPr>
      <w:tblGrid>
        <w:gridCol w:w="9072"/>
      </w:tblGrid>
      <w:tr w:rsidR="0FA5145A" w14:paraId="58AF9477" w14:textId="77777777" w:rsidTr="3AC71321">
        <w:trPr>
          <w:cnfStyle w:val="100000000000" w:firstRow="1" w:lastRow="0" w:firstColumn="0" w:lastColumn="0" w:oddVBand="0" w:evenVBand="0" w:oddHBand="0" w:evenHBand="0" w:firstRowFirstColumn="0" w:firstRowLastColumn="0" w:lastRowFirstColumn="0" w:lastRowLastColumn="0"/>
          <w:trHeight w:val="300"/>
        </w:trPr>
        <w:tc>
          <w:tcPr>
            <w:tcW w:w="9072" w:type="dxa"/>
            <w:shd w:val="clear" w:color="auto" w:fill="FBE4D5" w:themeFill="accent2" w:themeFillTint="33"/>
          </w:tcPr>
          <w:p w14:paraId="13AED8C7" w14:textId="25BD857A" w:rsidR="6D8ADC7F" w:rsidRPr="00903C7C" w:rsidRDefault="6D8ADC7F" w:rsidP="58CE42E9">
            <w:pPr>
              <w:rPr>
                <w:color w:val="auto"/>
                <w:sz w:val="22"/>
              </w:rPr>
            </w:pPr>
            <w:r w:rsidRPr="58CE42E9">
              <w:rPr>
                <w:color w:val="auto"/>
                <w:sz w:val="26"/>
                <w:szCs w:val="26"/>
              </w:rPr>
              <w:lastRenderedPageBreak/>
              <w:t>Finding 7</w:t>
            </w:r>
          </w:p>
          <w:p w14:paraId="698E706A" w14:textId="310AF52E" w:rsidR="6D8ADC7F" w:rsidRDefault="6D8ADC7F" w:rsidP="3AC71321">
            <w:pPr>
              <w:rPr>
                <w:b w:val="0"/>
                <w:color w:val="auto"/>
                <w:sz w:val="22"/>
              </w:rPr>
            </w:pPr>
            <w:r w:rsidRPr="3AC71321">
              <w:rPr>
                <w:b w:val="0"/>
                <w:color w:val="auto"/>
              </w:rPr>
              <w:t>The Board recognises an ongoing trend of non-compliance over</w:t>
            </w:r>
            <w:r w:rsidR="000A3E37">
              <w:t xml:space="preserve"> </w:t>
            </w:r>
            <w:r w:rsidR="000A3E37" w:rsidRPr="3AC71321">
              <w:rPr>
                <w:b w:val="0"/>
                <w:color w:val="auto"/>
              </w:rPr>
              <w:t>the past</w:t>
            </w:r>
            <w:r w:rsidRPr="3AC71321">
              <w:rPr>
                <w:b w:val="0"/>
                <w:color w:val="auto"/>
              </w:rPr>
              <w:t xml:space="preserve"> 4 years</w:t>
            </w:r>
            <w:r w:rsidR="00EB44E1" w:rsidRPr="3AC71321">
              <w:rPr>
                <w:b w:val="0"/>
                <w:color w:val="auto"/>
              </w:rPr>
              <w:t>.</w:t>
            </w:r>
            <w:r w:rsidRPr="3AC71321">
              <w:rPr>
                <w:b w:val="0"/>
                <w:color w:val="auto"/>
              </w:rPr>
              <w:t xml:space="preserve"> </w:t>
            </w:r>
            <w:r w:rsidR="00EB44E1" w:rsidRPr="3AC71321">
              <w:rPr>
                <w:b w:val="0"/>
                <w:color w:val="auto"/>
              </w:rPr>
              <w:t>W</w:t>
            </w:r>
            <w:r w:rsidRPr="3AC71321">
              <w:rPr>
                <w:b w:val="0"/>
                <w:color w:val="auto"/>
              </w:rPr>
              <w:t xml:space="preserve">hile </w:t>
            </w:r>
            <w:r w:rsidR="00786536" w:rsidRPr="3AC71321">
              <w:rPr>
                <w:b w:val="0"/>
                <w:color w:val="auto"/>
              </w:rPr>
              <w:t xml:space="preserve">the </w:t>
            </w:r>
            <w:r w:rsidRPr="3AC71321">
              <w:rPr>
                <w:b w:val="0"/>
                <w:color w:val="auto"/>
              </w:rPr>
              <w:t xml:space="preserve">Northern Territory has put in place mitigating measures, further attention and action </w:t>
            </w:r>
            <w:r w:rsidR="43443CEC" w:rsidRPr="3AC71321">
              <w:rPr>
                <w:b w:val="0"/>
                <w:color w:val="auto"/>
              </w:rPr>
              <w:t>are</w:t>
            </w:r>
            <w:r w:rsidR="00F208FD" w:rsidRPr="3AC71321">
              <w:rPr>
                <w:b w:val="0"/>
                <w:color w:val="auto"/>
              </w:rPr>
              <w:t xml:space="preserve"> </w:t>
            </w:r>
            <w:r w:rsidRPr="3AC71321">
              <w:rPr>
                <w:b w:val="0"/>
                <w:color w:val="auto"/>
              </w:rPr>
              <w:t>required to ensure the jurisdiction can demonstrate measurable progress towards consistently meeting its funding obligations.</w:t>
            </w:r>
            <w:r w:rsidR="00D12D82" w:rsidRPr="3AC71321">
              <w:rPr>
                <w:b w:val="0"/>
                <w:color w:val="auto"/>
              </w:rPr>
              <w:t xml:space="preserve"> This may include reconsideration of the reporting methodology to be applied.</w:t>
            </w:r>
          </w:p>
        </w:tc>
      </w:tr>
    </w:tbl>
    <w:p w14:paraId="7FEB3FBA" w14:textId="7E320B65" w:rsidR="00274330" w:rsidRPr="00863907" w:rsidRDefault="00274330" w:rsidP="00370CE6">
      <w:pPr>
        <w:pStyle w:val="Heading3"/>
      </w:pPr>
      <w:bookmarkStart w:id="436" w:name="_Toc210306636"/>
      <w:bookmarkStart w:id="437" w:name="_Toc210317462"/>
      <w:bookmarkStart w:id="438" w:name="_Toc210815616"/>
      <w:r>
        <w:t>Victoria</w:t>
      </w:r>
      <w:bookmarkEnd w:id="436"/>
      <w:bookmarkEnd w:id="437"/>
      <w:bookmarkEnd w:id="438"/>
    </w:p>
    <w:p w14:paraId="55276B50" w14:textId="19EFDD33" w:rsidR="00941B41" w:rsidRDefault="005B3814" w:rsidP="005B3814">
      <w:r>
        <w:t xml:space="preserve">Based on the information provided in the annual report, Victoria </w:t>
      </w:r>
      <w:r w:rsidR="00E80777">
        <w:t xml:space="preserve">was </w:t>
      </w:r>
      <w:r>
        <w:t>non-compliant with its funding contributions for the government sector</w:t>
      </w:r>
      <w:r w:rsidR="00E367C5">
        <w:t xml:space="preserve"> </w:t>
      </w:r>
      <w:r w:rsidR="00E367C5" w:rsidRPr="002A7B7E">
        <w:t>(</w:t>
      </w:r>
      <w:r w:rsidR="00086CEC">
        <w:fldChar w:fldCharType="begin"/>
      </w:r>
      <w:r w:rsidR="00086CEC">
        <w:instrText xml:space="preserve"> REF _Ref190335233 \h </w:instrText>
      </w:r>
      <w:r w:rsidR="00086CEC">
        <w:fldChar w:fldCharType="separate"/>
      </w:r>
      <w:r w:rsidR="00587C96" w:rsidRPr="3A93DC59">
        <w:t xml:space="preserve">Table </w:t>
      </w:r>
      <w:r w:rsidR="00587C96">
        <w:rPr>
          <w:noProof/>
        </w:rPr>
        <w:t>3</w:t>
      </w:r>
      <w:r w:rsidR="00086CEC">
        <w:fldChar w:fldCharType="end"/>
      </w:r>
      <w:r w:rsidR="00086CEC">
        <w:t xml:space="preserve"> </w:t>
      </w:r>
      <w:r w:rsidR="00E367C5" w:rsidRPr="002A7B7E">
        <w:t xml:space="preserve">and </w:t>
      </w:r>
      <w:r w:rsidR="00086CEC">
        <w:fldChar w:fldCharType="begin"/>
      </w:r>
      <w:r w:rsidR="00086CEC">
        <w:instrText xml:space="preserve"> REF _Ref190335081 \h </w:instrText>
      </w:r>
      <w:r w:rsidR="00086CEC">
        <w:fldChar w:fldCharType="separate"/>
      </w:r>
      <w:r w:rsidR="00587C96" w:rsidRPr="3A93DC59">
        <w:t xml:space="preserve">Figure </w:t>
      </w:r>
      <w:r w:rsidR="00587C96">
        <w:rPr>
          <w:noProof/>
        </w:rPr>
        <w:t>2</w:t>
      </w:r>
      <w:r w:rsidR="00086CEC">
        <w:fldChar w:fldCharType="end"/>
      </w:r>
      <w:r w:rsidR="00E367C5" w:rsidRPr="002A7B7E">
        <w:t>)</w:t>
      </w:r>
      <w:r w:rsidRPr="002A7B7E">
        <w:t>.</w:t>
      </w:r>
      <w:r>
        <w:t xml:space="preserve"> </w:t>
      </w:r>
    </w:p>
    <w:p w14:paraId="245689F7" w14:textId="67C18E2A" w:rsidR="005B3814" w:rsidRDefault="005B3814" w:rsidP="421ADA8C">
      <w:r w:rsidRPr="3A93DC59">
        <w:t xml:space="preserve">The state’s reported funding contribution (68.76%) </w:t>
      </w:r>
      <w:r w:rsidR="00EE412F" w:rsidRPr="3A93DC59">
        <w:t xml:space="preserve">is </w:t>
      </w:r>
      <w:r w:rsidRPr="3A93DC59">
        <w:t xml:space="preserve">lower than the required share reported in its bilateral agreement (70.43%). After allowing for the immaterial shortfall, Victoria’s contributions </w:t>
      </w:r>
      <w:r w:rsidR="002E5018" w:rsidRPr="3A93DC59">
        <w:t>were</w:t>
      </w:r>
      <w:r w:rsidRPr="3A93DC59">
        <w:t xml:space="preserve"> 1.07% lower than the minimum requirement.</w:t>
      </w:r>
    </w:p>
    <w:p w14:paraId="25309F90" w14:textId="59786021" w:rsidR="009B1211" w:rsidRPr="00DD3EC1" w:rsidRDefault="003F0B53" w:rsidP="421ADA8C">
      <w:r w:rsidRPr="3A93DC59">
        <w:t xml:space="preserve">The funding shortfall has been attributed to mitigating factors experienced by the </w:t>
      </w:r>
      <w:r w:rsidR="00BE70F6">
        <w:t>s</w:t>
      </w:r>
      <w:r w:rsidRPr="3A93DC59">
        <w:t>tate</w:t>
      </w:r>
      <w:r w:rsidR="3F66E1B8" w:rsidRPr="3A93DC59">
        <w:t xml:space="preserve"> due to </w:t>
      </w:r>
      <w:r w:rsidR="11D65E8E" w:rsidRPr="3A93DC59">
        <w:t>fluctuations</w:t>
      </w:r>
      <w:r w:rsidR="3F66E1B8" w:rsidRPr="3A93DC59">
        <w:t xml:space="preserve"> in </w:t>
      </w:r>
      <w:r w:rsidR="15460C93" w:rsidRPr="3A93DC59">
        <w:t>student characteristics that exceed what was anticipated and differences between what was allocated and timing differences in the state budget process.</w:t>
      </w:r>
    </w:p>
    <w:p w14:paraId="27F05FD1" w14:textId="0F4B660F" w:rsidR="009B1211" w:rsidRPr="003F0D1D" w:rsidRDefault="00DD3EC1" w:rsidP="003F0D1D">
      <w:pPr>
        <w:pStyle w:val="Heading4"/>
      </w:pPr>
      <w:r w:rsidRPr="421ADA8C">
        <w:t>Changes during 2022</w:t>
      </w:r>
      <w:r w:rsidR="00AB671E">
        <w:t>-</w:t>
      </w:r>
      <w:r w:rsidRPr="421ADA8C">
        <w:t>23</w:t>
      </w:r>
    </w:p>
    <w:p w14:paraId="264F6925" w14:textId="4689E81D" w:rsidR="00E73BA3" w:rsidRDefault="003F0B53" w:rsidP="003F0B53">
      <w:r w:rsidRPr="3A93DC59">
        <w:t xml:space="preserve">Victoria notes that </w:t>
      </w:r>
      <w:r w:rsidR="00792AD3">
        <w:t>it</w:t>
      </w:r>
      <w:r w:rsidR="00792AD3" w:rsidRPr="3A93DC59">
        <w:t xml:space="preserve"> </w:t>
      </w:r>
      <w:r w:rsidRPr="3A93DC59">
        <w:t>allocated funding for the 2023 school year in the 2022</w:t>
      </w:r>
      <w:r w:rsidR="00AB671E" w:rsidRPr="3A93DC59">
        <w:t>-</w:t>
      </w:r>
      <w:r w:rsidRPr="3A93DC59">
        <w:t xml:space="preserve">23 State Budget in May 2022. At the end of 2022, the SRS target increased due to increases in the SRS indexation rate from 3% to 4.3% by $125.9 million. </w:t>
      </w:r>
    </w:p>
    <w:p w14:paraId="2924E39E" w14:textId="5FCC8982" w:rsidR="003F0B53" w:rsidRDefault="003F0B53" w:rsidP="421ADA8C">
      <w:r w:rsidRPr="3A93DC59">
        <w:t>At the end of 2022</w:t>
      </w:r>
      <w:r w:rsidR="00DD3EC1" w:rsidRPr="3A93DC59">
        <w:t>,</w:t>
      </w:r>
      <w:r w:rsidRPr="3A93DC59">
        <w:t xml:space="preserve"> Victoria </w:t>
      </w:r>
      <w:r w:rsidR="00DD3EC1" w:rsidRPr="3A93DC59">
        <w:t xml:space="preserve">advised it was </w:t>
      </w:r>
      <w:r w:rsidRPr="3A93DC59">
        <w:t xml:space="preserve">able to increase expenditure in the education sector to meet the new target for minimum contributions which shifted funding from $8.959 billion to </w:t>
      </w:r>
      <w:r>
        <w:br/>
      </w:r>
      <w:r w:rsidRPr="3A93DC59">
        <w:t xml:space="preserve">$9.085 billion. </w:t>
      </w:r>
    </w:p>
    <w:p w14:paraId="26A36CDE" w14:textId="6C113A6C" w:rsidR="003F0B53" w:rsidRDefault="003F0B53" w:rsidP="421ADA8C">
      <w:r w:rsidRPr="3A93DC59">
        <w:t>At the end of 2023</w:t>
      </w:r>
      <w:r w:rsidR="00E73BA3" w:rsidRPr="3A93DC59">
        <w:t>,</w:t>
      </w:r>
      <w:r w:rsidRPr="3A93DC59">
        <w:t xml:space="preserve"> the SRS target increased significantly due to higher-than expected data on students with disability enrolments and shifted the funding to $9.23 billion. Victoria</w:t>
      </w:r>
      <w:r w:rsidR="006A07F1" w:rsidRPr="3A93DC59">
        <w:t xml:space="preserve"> advised that it</w:t>
      </w:r>
      <w:r w:rsidRPr="3A93DC59">
        <w:t xml:space="preserve"> did not have the ability to allocate or spend additional funding prior to the end of the reporting period.</w:t>
      </w:r>
    </w:p>
    <w:p w14:paraId="0B4843D5" w14:textId="696DAA03" w:rsidR="00272BBE" w:rsidRDefault="00272BBE" w:rsidP="005B3814">
      <w:r>
        <w:t xml:space="preserve">The Board met </w:t>
      </w:r>
      <w:r w:rsidR="006A4E40">
        <w:t xml:space="preserve">with </w:t>
      </w:r>
      <w:r w:rsidR="006814E4">
        <w:t xml:space="preserve">Victorian government </w:t>
      </w:r>
      <w:r w:rsidR="00F731C2">
        <w:t xml:space="preserve">representatives </w:t>
      </w:r>
      <w:r w:rsidR="00D11CB5">
        <w:t>to discuss</w:t>
      </w:r>
      <w:r w:rsidR="004E47FB">
        <w:t xml:space="preserve"> </w:t>
      </w:r>
      <w:r w:rsidR="0029000E">
        <w:t>Victoria</w:t>
      </w:r>
      <w:r w:rsidR="003E030F">
        <w:t>’</w:t>
      </w:r>
      <w:r w:rsidR="004D1C80">
        <w:t xml:space="preserve">s funding </w:t>
      </w:r>
      <w:r w:rsidR="0029000E">
        <w:t>obligations</w:t>
      </w:r>
      <w:r w:rsidR="004D1C80">
        <w:t xml:space="preserve"> under s 22A of the </w:t>
      </w:r>
      <w:r w:rsidR="0029000E">
        <w:t>Act, as well as the mitigating factors.</w:t>
      </w:r>
      <w:r w:rsidR="00806771">
        <w:t xml:space="preserve"> </w:t>
      </w:r>
    </w:p>
    <w:p w14:paraId="7EF8BA9A" w14:textId="63BC63F6" w:rsidR="00274330" w:rsidRDefault="55DEE630" w:rsidP="005B3814">
      <w:r w:rsidRPr="3A93DC59">
        <w:t>The</w:t>
      </w:r>
      <w:r w:rsidR="338EAFA5" w:rsidRPr="3A93DC59">
        <w:t xml:space="preserve"> Board notes the mitigating factors</w:t>
      </w:r>
      <w:r w:rsidRPr="3A93DC59">
        <w:t xml:space="preserve"> provided by Victoria relate</w:t>
      </w:r>
      <w:r w:rsidR="00806E72" w:rsidRPr="3A93DC59">
        <w:t>d</w:t>
      </w:r>
      <w:r w:rsidRPr="3A93DC59">
        <w:t xml:space="preserve"> to conditions created by significant differences in fluctuations in student characteristics that exceed</w:t>
      </w:r>
      <w:r w:rsidR="00806E72" w:rsidRPr="3A93DC59">
        <w:t>ed</w:t>
      </w:r>
      <w:r w:rsidRPr="3A93DC59">
        <w:t xml:space="preserve"> what was anticipated and differences between what was allocated and expended by the government schools in conjunction with timing differences in the state budget process. These are consistent with those circumstances outlined in the </w:t>
      </w:r>
      <w:r w:rsidR="000EAC82" w:rsidRPr="3A93DC59">
        <w:t>t</w:t>
      </w:r>
      <w:r w:rsidRPr="3A93DC59">
        <w:t xml:space="preserve">erms of </w:t>
      </w:r>
      <w:r w:rsidR="000EAC82" w:rsidRPr="3A93DC59">
        <w:t>r</w:t>
      </w:r>
      <w:r w:rsidRPr="3A93DC59">
        <w:t xml:space="preserve">eference for the </w:t>
      </w:r>
      <w:r w:rsidR="000EAC82" w:rsidRPr="3A93DC59">
        <w:t>review</w:t>
      </w:r>
      <w:r w:rsidRPr="3A93DC59">
        <w:t>.</w:t>
      </w:r>
    </w:p>
    <w:p w14:paraId="6725EFFD" w14:textId="77777777" w:rsidR="00587C96" w:rsidRDefault="413B1C3D" w:rsidP="00B6178B">
      <w:r w:rsidRPr="3A93DC59">
        <w:t xml:space="preserve">Under the </w:t>
      </w:r>
      <w:r w:rsidR="5659974E" w:rsidRPr="3A93DC59">
        <w:t>t</w:t>
      </w:r>
      <w:r w:rsidRPr="3A93DC59">
        <w:t xml:space="preserve">erms of </w:t>
      </w:r>
      <w:r w:rsidR="5659974E" w:rsidRPr="3A93DC59">
        <w:t>r</w:t>
      </w:r>
      <w:r w:rsidRPr="3A93DC59">
        <w:t xml:space="preserve">eference, the Board </w:t>
      </w:r>
      <w:r w:rsidR="5F93896B" w:rsidRPr="3A93DC59">
        <w:t>can</w:t>
      </w:r>
      <w:r w:rsidRPr="3A93DC59">
        <w:t xml:space="preserve"> consider fluctuations from year-to-year in funding as part of a jurisdiction’s mitigating circumstances. </w:t>
      </w:r>
      <w:r w:rsidR="338EAFA5" w:rsidRPr="3A93DC59">
        <w:t>The Board further notes that</w:t>
      </w:r>
      <w:r w:rsidR="2E59389B" w:rsidRPr="3A93DC59">
        <w:t xml:space="preserve"> </w:t>
      </w:r>
      <w:r w:rsidR="7A0C27CD" w:rsidRPr="3A93DC59">
        <w:t>Victoria was compliant with the s 22A requirements</w:t>
      </w:r>
      <w:r w:rsidR="424962E1" w:rsidRPr="3A93DC59">
        <w:t xml:space="preserve"> in</w:t>
      </w:r>
      <w:r w:rsidR="7A0C27CD" w:rsidRPr="3A93DC59">
        <w:t xml:space="preserve"> </w:t>
      </w:r>
      <w:r w:rsidR="58C85198" w:rsidRPr="3A93DC59">
        <w:t xml:space="preserve">the previous </w:t>
      </w:r>
      <w:r w:rsidR="4FC4AA14" w:rsidRPr="3A93DC59">
        <w:t>years (</w:t>
      </w:r>
      <w:r w:rsidR="7A0C27CD" w:rsidRPr="3A93DC59">
        <w:t>2021 and 2022</w:t>
      </w:r>
      <w:r w:rsidR="4FC4AA14" w:rsidRPr="3A93DC59">
        <w:t>)</w:t>
      </w:r>
      <w:r w:rsidR="7A0C27CD" w:rsidRPr="3A93DC59">
        <w:t xml:space="preserve">. </w:t>
      </w:r>
      <w:r w:rsidR="05C91FF2" w:rsidRPr="3A93DC59">
        <w:t xml:space="preserve">Victoria has a 3-year average difference of -0.48% </w:t>
      </w:r>
      <w:r w:rsidR="6783BE3E" w:rsidRPr="3A93DC59">
        <w:t>immaterial shortfall</w:t>
      </w:r>
      <w:r w:rsidR="3E52B239" w:rsidRPr="3A93DC59">
        <w:t>,</w:t>
      </w:r>
      <w:r w:rsidR="6783BE3E" w:rsidRPr="3A93DC59">
        <w:t xml:space="preserve"> </w:t>
      </w:r>
      <w:r w:rsidR="1F7BA8B2" w:rsidRPr="3A93DC59">
        <w:t>within</w:t>
      </w:r>
      <w:r w:rsidR="3E52B239" w:rsidRPr="3A93DC59">
        <w:t xml:space="preserve"> the allowed </w:t>
      </w:r>
      <w:r w:rsidR="1CB4318A" w:rsidRPr="3A93DC59">
        <w:t>0.6% immaterial threshold.</w:t>
      </w:r>
      <w:r w:rsidR="43DF0179" w:rsidRPr="3A93DC59">
        <w:t xml:space="preserve"> </w:t>
      </w:r>
      <w:r w:rsidR="00086CEC">
        <w:fldChar w:fldCharType="begin"/>
      </w:r>
      <w:r w:rsidR="00086CEC">
        <w:instrText xml:space="preserve"> REF _Ref190335360 \h  \* MERGEFORMAT </w:instrText>
      </w:r>
      <w:r w:rsidR="00086CEC">
        <w:fldChar w:fldCharType="separate"/>
      </w:r>
    </w:p>
    <w:p w14:paraId="0D9E64DE" w14:textId="566322ED" w:rsidR="001B4C07" w:rsidRDefault="00587C96" w:rsidP="00B6178B">
      <w:r w:rsidRPr="00B6178B">
        <w:t xml:space="preserve">Table </w:t>
      </w:r>
      <w:r>
        <w:rPr>
          <w:noProof/>
        </w:rPr>
        <w:t>5</w:t>
      </w:r>
      <w:r w:rsidR="00086CEC">
        <w:fldChar w:fldCharType="end"/>
      </w:r>
      <w:r w:rsidR="00086CEC">
        <w:t xml:space="preserve"> </w:t>
      </w:r>
      <w:r w:rsidR="00C008A6">
        <w:t xml:space="preserve">shows Victoria’s funding contributions for the government sector </w:t>
      </w:r>
      <w:r w:rsidR="00BA3658">
        <w:t>for</w:t>
      </w:r>
      <w:r w:rsidR="00C008A6">
        <w:t xml:space="preserve"> the past 6 years (2018 to 2023</w:t>
      </w:r>
      <w:r w:rsidR="0016420C">
        <w:t xml:space="preserve"> funding years</w:t>
      </w:r>
      <w:r w:rsidR="00C008A6">
        <w:t>).</w:t>
      </w:r>
      <w:bookmarkStart w:id="439" w:name="_Ref190335360"/>
    </w:p>
    <w:p w14:paraId="2C9F7507" w14:textId="5FABEB20" w:rsidR="00A95D09" w:rsidRPr="00B6178B" w:rsidRDefault="00A95D09" w:rsidP="00B6178B">
      <w:pPr>
        <w:pStyle w:val="Caption"/>
      </w:pPr>
      <w:bookmarkStart w:id="440" w:name="_Toc200636987"/>
      <w:r w:rsidRPr="00B6178B">
        <w:lastRenderedPageBreak/>
        <w:t xml:space="preserve">Table </w:t>
      </w:r>
      <w:r w:rsidRPr="00B6178B">
        <w:fldChar w:fldCharType="begin"/>
      </w:r>
      <w:r w:rsidRPr="00B6178B">
        <w:instrText xml:space="preserve"> SEQ Table \* ARABIC </w:instrText>
      </w:r>
      <w:r w:rsidRPr="00B6178B">
        <w:fldChar w:fldCharType="separate"/>
      </w:r>
      <w:r w:rsidR="00587C96">
        <w:rPr>
          <w:noProof/>
        </w:rPr>
        <w:t>5</w:t>
      </w:r>
      <w:r w:rsidRPr="00B6178B">
        <w:fldChar w:fldCharType="end"/>
      </w:r>
      <w:bookmarkEnd w:id="439"/>
      <w:r w:rsidR="00EA0C0B" w:rsidRPr="00B6178B">
        <w:t>:</w:t>
      </w:r>
      <w:r w:rsidRPr="00B6178B">
        <w:t xml:space="preserve"> History of Victoria’s funding compliance for government and non-government sectors</w:t>
      </w:r>
      <w:bookmarkEnd w:id="440"/>
    </w:p>
    <w:tbl>
      <w:tblPr>
        <w:tblW w:w="5000" w:type="pct"/>
        <w:tblBorders>
          <w:insideH w:val="single" w:sz="4" w:space="0" w:color="auto"/>
        </w:tblBorders>
        <w:tblLook w:val="04A0" w:firstRow="1" w:lastRow="0" w:firstColumn="1" w:lastColumn="0" w:noHBand="0" w:noVBand="1"/>
      </w:tblPr>
      <w:tblGrid>
        <w:gridCol w:w="2181"/>
        <w:gridCol w:w="1002"/>
        <w:gridCol w:w="1001"/>
        <w:gridCol w:w="1362"/>
        <w:gridCol w:w="1362"/>
        <w:gridCol w:w="1036"/>
        <w:gridCol w:w="1126"/>
      </w:tblGrid>
      <w:tr w:rsidR="00DC12C8" w:rsidRPr="00747EE4" w14:paraId="60AC27B4" w14:textId="77777777" w:rsidTr="19505304">
        <w:trPr>
          <w:trHeight w:val="433"/>
        </w:trPr>
        <w:tc>
          <w:tcPr>
            <w:tcW w:w="1202" w:type="pct"/>
            <w:vMerge w:val="restart"/>
            <w:shd w:val="clear" w:color="auto" w:fill="00355F"/>
            <w:vAlign w:val="center"/>
            <w:hideMark/>
          </w:tcPr>
          <w:p w14:paraId="5EE36AB4" w14:textId="77777777" w:rsidR="00DC12C8" w:rsidRPr="00747EE4" w:rsidRDefault="00DC12C8">
            <w:pPr>
              <w:rPr>
                <w:b/>
                <w:bCs/>
              </w:rPr>
            </w:pPr>
            <w:r w:rsidRPr="00747EE4">
              <w:rPr>
                <w:b/>
                <w:bCs/>
              </w:rPr>
              <w:t xml:space="preserve">Sector </w:t>
            </w:r>
          </w:p>
        </w:tc>
        <w:tc>
          <w:tcPr>
            <w:tcW w:w="3798" w:type="pct"/>
            <w:gridSpan w:val="6"/>
            <w:shd w:val="clear" w:color="auto" w:fill="00355F"/>
          </w:tcPr>
          <w:p w14:paraId="55816929" w14:textId="15AF5E5B" w:rsidR="00DC12C8" w:rsidRPr="00747EE4" w:rsidRDefault="1B8B64BF">
            <w:pPr>
              <w:spacing w:before="0" w:after="0"/>
              <w:jc w:val="center"/>
              <w:rPr>
                <w:b/>
                <w:bCs/>
              </w:rPr>
            </w:pPr>
            <w:r w:rsidRPr="00747EE4">
              <w:rPr>
                <w:b/>
                <w:bCs/>
              </w:rPr>
              <w:t xml:space="preserve">Funding </w:t>
            </w:r>
            <w:r w:rsidR="0016420C">
              <w:rPr>
                <w:b/>
                <w:bCs/>
              </w:rPr>
              <w:t>y</w:t>
            </w:r>
            <w:r w:rsidR="0016420C" w:rsidRPr="00747EE4">
              <w:rPr>
                <w:b/>
                <w:bCs/>
              </w:rPr>
              <w:t>ear</w:t>
            </w:r>
            <w:r w:rsidR="005F3C71">
              <w:rPr>
                <w:rStyle w:val="FootnoteReference"/>
                <w:b/>
                <w:bCs/>
              </w:rPr>
              <w:footnoteReference w:id="10"/>
            </w:r>
          </w:p>
        </w:tc>
      </w:tr>
      <w:tr w:rsidR="00DC12C8" w:rsidRPr="00747EE4" w14:paraId="3AAC4850" w14:textId="77777777" w:rsidTr="19505304">
        <w:trPr>
          <w:trHeight w:val="288"/>
        </w:trPr>
        <w:tc>
          <w:tcPr>
            <w:tcW w:w="1202" w:type="pct"/>
            <w:vMerge/>
            <w:vAlign w:val="center"/>
            <w:hideMark/>
          </w:tcPr>
          <w:p w14:paraId="477C0E1D" w14:textId="77777777" w:rsidR="00DC12C8" w:rsidRPr="00747EE4" w:rsidRDefault="00DC12C8">
            <w:pPr>
              <w:rPr>
                <w:b/>
                <w:bCs/>
              </w:rPr>
            </w:pPr>
          </w:p>
        </w:tc>
        <w:tc>
          <w:tcPr>
            <w:tcW w:w="552" w:type="pct"/>
            <w:shd w:val="clear" w:color="auto" w:fill="00355F"/>
            <w:vAlign w:val="center"/>
          </w:tcPr>
          <w:p w14:paraId="7D3653AF" w14:textId="77777777" w:rsidR="00DC12C8" w:rsidRPr="00747EE4" w:rsidRDefault="00DC12C8">
            <w:pPr>
              <w:jc w:val="center"/>
              <w:rPr>
                <w:b/>
                <w:bCs/>
              </w:rPr>
            </w:pPr>
            <w:r w:rsidRPr="00747EE4">
              <w:rPr>
                <w:b/>
                <w:bCs/>
              </w:rPr>
              <w:t>2018</w:t>
            </w:r>
          </w:p>
        </w:tc>
        <w:tc>
          <w:tcPr>
            <w:tcW w:w="552" w:type="pct"/>
            <w:shd w:val="clear" w:color="auto" w:fill="00355F"/>
            <w:vAlign w:val="center"/>
            <w:hideMark/>
          </w:tcPr>
          <w:p w14:paraId="28356905" w14:textId="77777777" w:rsidR="00DC12C8" w:rsidRPr="00747EE4" w:rsidRDefault="00DC12C8">
            <w:pPr>
              <w:jc w:val="center"/>
              <w:rPr>
                <w:b/>
                <w:bCs/>
              </w:rPr>
            </w:pPr>
            <w:r w:rsidRPr="00747EE4">
              <w:rPr>
                <w:b/>
                <w:bCs/>
              </w:rPr>
              <w:t>2019</w:t>
            </w:r>
          </w:p>
        </w:tc>
        <w:tc>
          <w:tcPr>
            <w:tcW w:w="751" w:type="pct"/>
            <w:shd w:val="clear" w:color="auto" w:fill="00355F"/>
            <w:vAlign w:val="center"/>
          </w:tcPr>
          <w:p w14:paraId="240AB5D1" w14:textId="77777777" w:rsidR="00DC12C8" w:rsidRPr="00747EE4" w:rsidRDefault="00DC12C8">
            <w:pPr>
              <w:jc w:val="center"/>
              <w:rPr>
                <w:b/>
                <w:bCs/>
              </w:rPr>
            </w:pPr>
            <w:r w:rsidRPr="00747EE4">
              <w:rPr>
                <w:b/>
                <w:bCs/>
              </w:rPr>
              <w:t>2020</w:t>
            </w:r>
          </w:p>
        </w:tc>
        <w:tc>
          <w:tcPr>
            <w:tcW w:w="751" w:type="pct"/>
            <w:shd w:val="clear" w:color="auto" w:fill="00355F"/>
            <w:vAlign w:val="center"/>
          </w:tcPr>
          <w:p w14:paraId="49EDD3F7" w14:textId="77777777" w:rsidR="00DC12C8" w:rsidRPr="00747EE4" w:rsidRDefault="00DC12C8">
            <w:pPr>
              <w:jc w:val="center"/>
              <w:rPr>
                <w:b/>
                <w:bCs/>
              </w:rPr>
            </w:pPr>
            <w:r w:rsidRPr="00747EE4">
              <w:rPr>
                <w:b/>
                <w:bCs/>
              </w:rPr>
              <w:t>2021</w:t>
            </w:r>
          </w:p>
        </w:tc>
        <w:tc>
          <w:tcPr>
            <w:tcW w:w="571" w:type="pct"/>
            <w:shd w:val="clear" w:color="auto" w:fill="00355F"/>
            <w:vAlign w:val="center"/>
          </w:tcPr>
          <w:p w14:paraId="43E977AF" w14:textId="77777777" w:rsidR="00DC12C8" w:rsidRPr="00747EE4" w:rsidRDefault="00DC12C8">
            <w:pPr>
              <w:jc w:val="center"/>
              <w:rPr>
                <w:b/>
                <w:bCs/>
              </w:rPr>
            </w:pPr>
            <w:r w:rsidRPr="00747EE4">
              <w:rPr>
                <w:b/>
                <w:bCs/>
              </w:rPr>
              <w:t>2022</w:t>
            </w:r>
          </w:p>
        </w:tc>
        <w:tc>
          <w:tcPr>
            <w:tcW w:w="621" w:type="pct"/>
            <w:shd w:val="clear" w:color="auto" w:fill="00355F"/>
            <w:vAlign w:val="center"/>
          </w:tcPr>
          <w:p w14:paraId="6EA13CF4" w14:textId="77777777" w:rsidR="00DC12C8" w:rsidRPr="00747EE4" w:rsidRDefault="00DC12C8">
            <w:pPr>
              <w:jc w:val="center"/>
              <w:rPr>
                <w:b/>
                <w:bCs/>
              </w:rPr>
            </w:pPr>
            <w:r w:rsidRPr="00747EE4">
              <w:rPr>
                <w:b/>
                <w:bCs/>
              </w:rPr>
              <w:t>2023</w:t>
            </w:r>
          </w:p>
        </w:tc>
      </w:tr>
      <w:tr w:rsidR="00DC12C8" w:rsidRPr="00747EE4" w14:paraId="69812095" w14:textId="77777777" w:rsidTr="19505304">
        <w:trPr>
          <w:trHeight w:val="492"/>
        </w:trPr>
        <w:tc>
          <w:tcPr>
            <w:tcW w:w="1202" w:type="pct"/>
            <w:shd w:val="clear" w:color="auto" w:fill="9BC2E6"/>
            <w:vAlign w:val="center"/>
            <w:hideMark/>
          </w:tcPr>
          <w:p w14:paraId="7E5EFFA6" w14:textId="77777777" w:rsidR="00DC12C8" w:rsidRPr="00747EE4" w:rsidRDefault="00DC12C8">
            <w:r w:rsidRPr="00747EE4">
              <w:t xml:space="preserve">Government </w:t>
            </w:r>
          </w:p>
        </w:tc>
        <w:tc>
          <w:tcPr>
            <w:tcW w:w="552" w:type="pct"/>
            <w:shd w:val="clear" w:color="auto" w:fill="F2F2F2" w:themeFill="background1" w:themeFillShade="F2"/>
            <w:vAlign w:val="center"/>
          </w:tcPr>
          <w:p w14:paraId="1D82744D" w14:textId="77777777" w:rsidR="00DC12C8" w:rsidRPr="00747EE4" w:rsidRDefault="00DC12C8">
            <w:pPr>
              <w:jc w:val="center"/>
            </w:pPr>
            <w:r w:rsidRPr="00747EE4">
              <w:t>C</w:t>
            </w:r>
          </w:p>
        </w:tc>
        <w:tc>
          <w:tcPr>
            <w:tcW w:w="552" w:type="pct"/>
            <w:shd w:val="clear" w:color="auto" w:fill="F2F2F2" w:themeFill="background1" w:themeFillShade="F2"/>
            <w:noWrap/>
            <w:vAlign w:val="center"/>
            <w:hideMark/>
          </w:tcPr>
          <w:p w14:paraId="30B45E27" w14:textId="77777777" w:rsidR="00DC12C8" w:rsidRPr="00747EE4" w:rsidRDefault="00DC12C8">
            <w:pPr>
              <w:jc w:val="center"/>
            </w:pPr>
            <w:r>
              <w:t>N</w:t>
            </w:r>
            <w:r w:rsidRPr="00747EE4">
              <w:t>C</w:t>
            </w:r>
          </w:p>
        </w:tc>
        <w:tc>
          <w:tcPr>
            <w:tcW w:w="751" w:type="pct"/>
            <w:shd w:val="clear" w:color="auto" w:fill="F2F2F2" w:themeFill="background1" w:themeFillShade="F2"/>
            <w:noWrap/>
            <w:vAlign w:val="center"/>
          </w:tcPr>
          <w:p w14:paraId="128CD025" w14:textId="77777777" w:rsidR="00DC12C8" w:rsidRPr="00747EE4" w:rsidRDefault="00DC12C8">
            <w:pPr>
              <w:jc w:val="center"/>
            </w:pPr>
            <w:r w:rsidRPr="00747EE4">
              <w:t>C</w:t>
            </w:r>
          </w:p>
        </w:tc>
        <w:tc>
          <w:tcPr>
            <w:tcW w:w="751" w:type="pct"/>
            <w:shd w:val="clear" w:color="auto" w:fill="F2F2F2" w:themeFill="background1" w:themeFillShade="F2"/>
            <w:noWrap/>
            <w:vAlign w:val="center"/>
          </w:tcPr>
          <w:p w14:paraId="3F19C3FA" w14:textId="77777777" w:rsidR="00DC12C8" w:rsidRPr="00747EE4" w:rsidRDefault="00DC12C8">
            <w:pPr>
              <w:jc w:val="center"/>
            </w:pPr>
            <w:r w:rsidRPr="00747EE4">
              <w:t>C</w:t>
            </w:r>
          </w:p>
        </w:tc>
        <w:tc>
          <w:tcPr>
            <w:tcW w:w="571" w:type="pct"/>
            <w:shd w:val="clear" w:color="auto" w:fill="F2F2F2" w:themeFill="background1" w:themeFillShade="F2"/>
            <w:noWrap/>
            <w:vAlign w:val="center"/>
          </w:tcPr>
          <w:p w14:paraId="5A8031EC" w14:textId="77777777" w:rsidR="00DC12C8" w:rsidRPr="00747EE4" w:rsidRDefault="00DC12C8">
            <w:pPr>
              <w:jc w:val="center"/>
            </w:pPr>
            <w:r>
              <w:t>IS</w:t>
            </w:r>
          </w:p>
        </w:tc>
        <w:tc>
          <w:tcPr>
            <w:tcW w:w="621" w:type="pct"/>
            <w:shd w:val="clear" w:color="auto" w:fill="F2F2F2" w:themeFill="background1" w:themeFillShade="F2"/>
            <w:noWrap/>
            <w:vAlign w:val="center"/>
          </w:tcPr>
          <w:p w14:paraId="03081E5A" w14:textId="77777777" w:rsidR="00DC12C8" w:rsidRPr="00747EE4" w:rsidRDefault="00DC12C8">
            <w:pPr>
              <w:jc w:val="center"/>
            </w:pPr>
            <w:r w:rsidRPr="00747EE4">
              <w:t>NC</w:t>
            </w:r>
          </w:p>
        </w:tc>
      </w:tr>
      <w:tr w:rsidR="00DC12C8" w:rsidRPr="00864DC4" w14:paraId="108E0B6A" w14:textId="77777777" w:rsidTr="19505304">
        <w:trPr>
          <w:trHeight w:val="444"/>
        </w:trPr>
        <w:tc>
          <w:tcPr>
            <w:tcW w:w="1202" w:type="pct"/>
            <w:shd w:val="clear" w:color="auto" w:fill="9BC2E6"/>
            <w:vAlign w:val="center"/>
            <w:hideMark/>
          </w:tcPr>
          <w:p w14:paraId="19CBF5AF" w14:textId="1056B69C" w:rsidR="00DC12C8" w:rsidRPr="00747EE4" w:rsidRDefault="00DC12C8">
            <w:r w:rsidRPr="00747EE4">
              <w:t>Non-</w:t>
            </w:r>
            <w:r w:rsidR="00691A49">
              <w:t>g</w:t>
            </w:r>
            <w:r w:rsidRPr="00747EE4">
              <w:t xml:space="preserve">overnment </w:t>
            </w:r>
          </w:p>
        </w:tc>
        <w:tc>
          <w:tcPr>
            <w:tcW w:w="552" w:type="pct"/>
            <w:shd w:val="clear" w:color="auto" w:fill="F2F2F2" w:themeFill="background1" w:themeFillShade="F2"/>
            <w:vAlign w:val="center"/>
          </w:tcPr>
          <w:p w14:paraId="409D073A" w14:textId="77777777" w:rsidR="00DC12C8" w:rsidRPr="00747EE4" w:rsidRDefault="00DC12C8">
            <w:pPr>
              <w:jc w:val="center"/>
            </w:pPr>
            <w:r>
              <w:t>IS</w:t>
            </w:r>
          </w:p>
        </w:tc>
        <w:tc>
          <w:tcPr>
            <w:tcW w:w="552" w:type="pct"/>
            <w:shd w:val="clear" w:color="auto" w:fill="F2F2F2" w:themeFill="background1" w:themeFillShade="F2"/>
            <w:noWrap/>
            <w:vAlign w:val="center"/>
            <w:hideMark/>
          </w:tcPr>
          <w:p w14:paraId="632B0EF0" w14:textId="77777777" w:rsidR="00DC12C8" w:rsidRPr="00747EE4" w:rsidRDefault="00DC12C8">
            <w:pPr>
              <w:jc w:val="center"/>
            </w:pPr>
            <w:r>
              <w:t>IS</w:t>
            </w:r>
          </w:p>
        </w:tc>
        <w:tc>
          <w:tcPr>
            <w:tcW w:w="751" w:type="pct"/>
            <w:shd w:val="clear" w:color="auto" w:fill="F2F2F2" w:themeFill="background1" w:themeFillShade="F2"/>
            <w:noWrap/>
            <w:vAlign w:val="center"/>
          </w:tcPr>
          <w:p w14:paraId="05E90959" w14:textId="77777777" w:rsidR="00DC12C8" w:rsidRPr="00747EE4" w:rsidRDefault="00DC12C8">
            <w:pPr>
              <w:jc w:val="center"/>
            </w:pPr>
            <w:r w:rsidRPr="00747EE4">
              <w:t>IS</w:t>
            </w:r>
          </w:p>
        </w:tc>
        <w:tc>
          <w:tcPr>
            <w:tcW w:w="751" w:type="pct"/>
            <w:shd w:val="clear" w:color="auto" w:fill="F2F2F2" w:themeFill="background1" w:themeFillShade="F2"/>
            <w:noWrap/>
            <w:vAlign w:val="center"/>
          </w:tcPr>
          <w:p w14:paraId="58184DFB" w14:textId="77777777" w:rsidR="00DC12C8" w:rsidRPr="00747EE4" w:rsidRDefault="00DC12C8">
            <w:pPr>
              <w:jc w:val="center"/>
            </w:pPr>
            <w:r w:rsidRPr="00747EE4">
              <w:t>C</w:t>
            </w:r>
          </w:p>
        </w:tc>
        <w:tc>
          <w:tcPr>
            <w:tcW w:w="571" w:type="pct"/>
            <w:shd w:val="clear" w:color="auto" w:fill="F2F2F2" w:themeFill="background1" w:themeFillShade="F2"/>
            <w:noWrap/>
            <w:vAlign w:val="center"/>
          </w:tcPr>
          <w:p w14:paraId="37748E4B" w14:textId="77777777" w:rsidR="00DC12C8" w:rsidRPr="00747EE4" w:rsidRDefault="00DC12C8">
            <w:pPr>
              <w:jc w:val="center"/>
            </w:pPr>
            <w:r w:rsidRPr="00747EE4">
              <w:t>C</w:t>
            </w:r>
          </w:p>
        </w:tc>
        <w:tc>
          <w:tcPr>
            <w:tcW w:w="621" w:type="pct"/>
            <w:shd w:val="clear" w:color="auto" w:fill="F2F2F2" w:themeFill="background1" w:themeFillShade="F2"/>
            <w:noWrap/>
            <w:vAlign w:val="center"/>
          </w:tcPr>
          <w:p w14:paraId="0D83B39B" w14:textId="77777777" w:rsidR="00DC12C8" w:rsidRPr="00747EE4" w:rsidRDefault="00DC12C8">
            <w:pPr>
              <w:jc w:val="center"/>
            </w:pPr>
            <w:r>
              <w:t>IS</w:t>
            </w:r>
          </w:p>
        </w:tc>
      </w:tr>
      <w:tr w:rsidR="00DC12C8" w:rsidRPr="00864DC4" w14:paraId="490A0EAC" w14:textId="77777777" w:rsidTr="19505304">
        <w:trPr>
          <w:trHeight w:val="444"/>
        </w:trPr>
        <w:tc>
          <w:tcPr>
            <w:tcW w:w="5000" w:type="pct"/>
            <w:gridSpan w:val="7"/>
            <w:shd w:val="clear" w:color="auto" w:fill="E7E6E6" w:themeFill="background2"/>
            <w:vAlign w:val="center"/>
          </w:tcPr>
          <w:p w14:paraId="3458ADA3" w14:textId="44607B6F" w:rsidR="00DC12C8" w:rsidRPr="00747EE4" w:rsidRDefault="00DC12C8" w:rsidP="00105547">
            <w:pPr>
              <w:spacing w:before="0" w:after="0"/>
            </w:pPr>
            <w:r w:rsidRPr="00A739E9">
              <w:rPr>
                <w:sz w:val="20"/>
                <w:szCs w:val="20"/>
              </w:rPr>
              <w:t xml:space="preserve">C = </w:t>
            </w:r>
            <w:r w:rsidR="004D36C0">
              <w:rPr>
                <w:sz w:val="20"/>
                <w:szCs w:val="20"/>
              </w:rPr>
              <w:t>c</w:t>
            </w:r>
            <w:r w:rsidRPr="00A739E9">
              <w:rPr>
                <w:sz w:val="20"/>
                <w:szCs w:val="20"/>
              </w:rPr>
              <w:t xml:space="preserve">ompliant </w:t>
            </w:r>
            <w:r w:rsidR="003B40A0">
              <w:rPr>
                <w:sz w:val="20"/>
                <w:szCs w:val="20"/>
              </w:rPr>
              <w:t xml:space="preserve">    </w:t>
            </w:r>
            <w:r w:rsidRPr="00A739E9">
              <w:rPr>
                <w:sz w:val="20"/>
                <w:szCs w:val="20"/>
              </w:rPr>
              <w:t>IS = within immaterial shortfall</w:t>
            </w:r>
            <w:r w:rsidR="003B40A0">
              <w:rPr>
                <w:sz w:val="20"/>
                <w:szCs w:val="20"/>
              </w:rPr>
              <w:t xml:space="preserve">      </w:t>
            </w:r>
            <w:r w:rsidRPr="00A739E9">
              <w:rPr>
                <w:sz w:val="20"/>
                <w:szCs w:val="20"/>
              </w:rPr>
              <w:t>NC = non-compliant</w:t>
            </w:r>
          </w:p>
        </w:tc>
      </w:tr>
    </w:tbl>
    <w:p w14:paraId="3798B177" w14:textId="0338BAF0" w:rsidR="0057784D" w:rsidRDefault="67E3B0A8" w:rsidP="421ADA8C">
      <w:r w:rsidRPr="3A93DC59">
        <w:t xml:space="preserve">The Board found that </w:t>
      </w:r>
      <w:r w:rsidR="41610740" w:rsidRPr="3A93DC59">
        <w:t xml:space="preserve">Victoria </w:t>
      </w:r>
      <w:r w:rsidR="160EA089" w:rsidRPr="3A93DC59">
        <w:t>met the funding requirements</w:t>
      </w:r>
      <w:r w:rsidR="35BEFF73" w:rsidRPr="3A93DC59">
        <w:t xml:space="preserve"> </w:t>
      </w:r>
      <w:r w:rsidR="10E2A559" w:rsidRPr="3A93DC59">
        <w:t>for the government sector for</w:t>
      </w:r>
      <w:r w:rsidR="160EA089" w:rsidRPr="3A93DC59">
        <w:t xml:space="preserve"> most of the reported years</w:t>
      </w:r>
      <w:r w:rsidR="3F43E43C" w:rsidRPr="3A93DC59">
        <w:t xml:space="preserve">, i.e. </w:t>
      </w:r>
      <w:r w:rsidR="4BA7A058" w:rsidRPr="3A93DC59">
        <w:t xml:space="preserve">the </w:t>
      </w:r>
      <w:r w:rsidR="2F2FA703" w:rsidRPr="3A93DC59">
        <w:t>20</w:t>
      </w:r>
      <w:r w:rsidR="3782C071" w:rsidRPr="3A93DC59">
        <w:t>18, 2020-22</w:t>
      </w:r>
      <w:r w:rsidR="4BA7A058" w:rsidRPr="3A93DC59">
        <w:t xml:space="preserve"> funding years</w:t>
      </w:r>
      <w:r w:rsidR="3782C071" w:rsidRPr="3A93DC59">
        <w:t>.</w:t>
      </w:r>
      <w:r w:rsidR="00A92750" w:rsidRPr="3A93DC59">
        <w:t xml:space="preserve"> </w:t>
      </w:r>
      <w:r w:rsidR="5F37299E" w:rsidRPr="3A93DC59">
        <w:t>In addition, the Board understands Victoria has</w:t>
      </w:r>
      <w:r w:rsidR="5ABD59FB" w:rsidRPr="3A93DC59">
        <w:t xml:space="preserve"> been</w:t>
      </w:r>
      <w:r w:rsidR="5F37299E" w:rsidRPr="3A93DC59">
        <w:t xml:space="preserve"> </w:t>
      </w:r>
      <w:r w:rsidR="7DDA79E4" w:rsidRPr="3A93DC59">
        <w:t>proactive</w:t>
      </w:r>
      <w:r w:rsidR="5ABD59FB" w:rsidRPr="3A93DC59">
        <w:t xml:space="preserve"> in</w:t>
      </w:r>
      <w:r w:rsidR="7DDA79E4" w:rsidRPr="3A93DC59">
        <w:t xml:space="preserve"> managing its</w:t>
      </w:r>
      <w:r w:rsidR="3B8E77EF" w:rsidRPr="3A93DC59">
        <w:t xml:space="preserve"> school funding </w:t>
      </w:r>
      <w:r w:rsidR="75C869F4" w:rsidRPr="3A93DC59">
        <w:t>requirements</w:t>
      </w:r>
      <w:r w:rsidR="004132DF" w:rsidRPr="3A93DC59">
        <w:t xml:space="preserve"> </w:t>
      </w:r>
      <w:r w:rsidR="6E267D74" w:rsidRPr="3A93DC59">
        <w:t xml:space="preserve">and </w:t>
      </w:r>
      <w:r w:rsidR="0B79E9C8" w:rsidRPr="3A93DC59">
        <w:t>has</w:t>
      </w:r>
      <w:r w:rsidR="3F82E27A" w:rsidRPr="3A93DC59">
        <w:t xml:space="preserve"> demonstrated its</w:t>
      </w:r>
      <w:r w:rsidR="50577240" w:rsidRPr="3A93DC59">
        <w:t xml:space="preserve"> commitment in</w:t>
      </w:r>
      <w:r w:rsidR="0068C0C6" w:rsidRPr="3A93DC59">
        <w:t xml:space="preserve"> implementing changes in their internal budget processes</w:t>
      </w:r>
      <w:r w:rsidR="77A8AF1A" w:rsidRPr="3A93DC59">
        <w:t xml:space="preserve"> to</w:t>
      </w:r>
      <w:r w:rsidR="50577240" w:rsidRPr="3A93DC59">
        <w:t xml:space="preserve"> </w:t>
      </w:r>
      <w:r w:rsidR="12F2B23A" w:rsidRPr="3A93DC59">
        <w:t>meet its</w:t>
      </w:r>
      <w:r w:rsidR="77A8AF1A" w:rsidRPr="3A93DC59">
        <w:t xml:space="preserve"> future</w:t>
      </w:r>
      <w:r w:rsidR="12F2B23A" w:rsidRPr="3A93DC59">
        <w:t xml:space="preserve"> funding </w:t>
      </w:r>
      <w:r w:rsidR="0B79E9C8" w:rsidRPr="3A93DC59">
        <w:t>obligations</w:t>
      </w:r>
      <w:r w:rsidR="75C869F4" w:rsidRPr="3A93DC59">
        <w:t>.</w:t>
      </w:r>
      <w:r w:rsidR="35BEFF73" w:rsidRPr="3A93DC59">
        <w:t xml:space="preserve"> </w:t>
      </w:r>
    </w:p>
    <w:p w14:paraId="6D7B0885" w14:textId="5423F5CB" w:rsidR="00DC7CD5" w:rsidRDefault="173AE56C" w:rsidP="005B3814">
      <w:r w:rsidRPr="4B51E5DF">
        <w:t>Based on</w:t>
      </w:r>
      <w:r w:rsidR="7C318263" w:rsidRPr="4B51E5DF">
        <w:t xml:space="preserve"> th</w:t>
      </w:r>
      <w:r w:rsidR="7F0EF9BA" w:rsidRPr="4B51E5DF">
        <w:t>e above re</w:t>
      </w:r>
      <w:r w:rsidR="42880CFF" w:rsidRPr="4B51E5DF">
        <w:t>ason</w:t>
      </w:r>
      <w:r w:rsidR="7F0EF9BA" w:rsidRPr="4B51E5DF">
        <w:t>s</w:t>
      </w:r>
      <w:r w:rsidRPr="4B51E5DF">
        <w:t>, the Board considers that Victoria’s mitigating factors appear reasonable</w:t>
      </w:r>
      <w:r w:rsidR="117BD247" w:rsidRPr="4B51E5DF">
        <w:t>.</w:t>
      </w:r>
    </w:p>
    <w:tbl>
      <w:tblPr>
        <w:tblStyle w:val="PullOutBox22"/>
        <w:tblpPr w:leftFromText="180" w:rightFromText="180" w:vertAnchor="text" w:horzAnchor="margin" w:tblpY="74"/>
        <w:tblW w:w="0" w:type="auto"/>
        <w:tblLook w:val="04A0" w:firstRow="1" w:lastRow="0" w:firstColumn="1" w:lastColumn="0" w:noHBand="0" w:noVBand="1"/>
      </w:tblPr>
      <w:tblGrid>
        <w:gridCol w:w="9054"/>
      </w:tblGrid>
      <w:tr w:rsidR="003E2AA1" w:rsidRPr="00E2031A" w14:paraId="5777EDCE" w14:textId="77777777" w:rsidTr="5E658E4B">
        <w:trPr>
          <w:trHeight w:val="1320"/>
          <w:tblHeader/>
        </w:trPr>
        <w:tc>
          <w:tcPr>
            <w:tcW w:w="9054" w:type="dxa"/>
          </w:tcPr>
          <w:p w14:paraId="4A871CAB" w14:textId="1BEDB6C9" w:rsidR="003E2AA1" w:rsidRPr="00E2031A" w:rsidRDefault="3D49B05A" w:rsidP="009350BF">
            <w:pPr>
              <w:pStyle w:val="BoxHeading-Finding"/>
              <w:framePr w:hSpace="0" w:wrap="auto" w:vAnchor="margin" w:hAnchor="text" w:yAlign="inline"/>
            </w:pPr>
            <w:bookmarkStart w:id="441" w:name="_Toc188365436"/>
            <w:bookmarkStart w:id="442" w:name="_Toc188365491"/>
            <w:bookmarkStart w:id="443" w:name="_Toc188365440"/>
            <w:bookmarkStart w:id="444" w:name="_Toc188365495"/>
            <w:bookmarkStart w:id="445" w:name="_Toc188365444"/>
            <w:bookmarkStart w:id="446" w:name="_Toc188365499"/>
            <w:bookmarkStart w:id="447" w:name="_Toc188365448"/>
            <w:bookmarkStart w:id="448" w:name="_Toc188365503"/>
            <w:bookmarkStart w:id="449" w:name="_Toc188365452"/>
            <w:bookmarkStart w:id="450" w:name="_Toc188365507"/>
            <w:bookmarkEnd w:id="441"/>
            <w:bookmarkEnd w:id="442"/>
            <w:bookmarkEnd w:id="443"/>
            <w:bookmarkEnd w:id="444"/>
            <w:bookmarkEnd w:id="445"/>
            <w:bookmarkEnd w:id="446"/>
            <w:bookmarkEnd w:id="447"/>
            <w:bookmarkEnd w:id="448"/>
            <w:bookmarkEnd w:id="449"/>
            <w:bookmarkEnd w:id="450"/>
            <w:r>
              <w:t xml:space="preserve">Finding </w:t>
            </w:r>
            <w:r w:rsidR="035AFFAD">
              <w:t>8</w:t>
            </w:r>
          </w:p>
          <w:p w14:paraId="3C63B087" w14:textId="56551343" w:rsidR="003E2AA1" w:rsidRPr="00E2031A" w:rsidRDefault="007C0DC4" w:rsidP="009350BF">
            <w:r>
              <w:t xml:space="preserve">The Board found that </w:t>
            </w:r>
            <w:r w:rsidR="3D49B05A">
              <w:t xml:space="preserve">Victoria was non-compliant with minimum contribution requirements for the government sector </w:t>
            </w:r>
            <w:r w:rsidR="3796BF75">
              <w:t xml:space="preserve">for the 2023 funding year, </w:t>
            </w:r>
            <w:r w:rsidR="3D49B05A">
              <w:t xml:space="preserve">as the reported share was lower than the required share under its bilateral agreement </w:t>
            </w:r>
            <w:r w:rsidR="002032DB">
              <w:t>(</w:t>
            </w:r>
            <w:r w:rsidR="3D49B05A">
              <w:t>by 1.67%</w:t>
            </w:r>
            <w:r w:rsidR="002032DB">
              <w:t>)</w:t>
            </w:r>
            <w:r w:rsidR="3D49B05A">
              <w:t>. The Board found that Victoria’s mitigating factors</w:t>
            </w:r>
            <w:r w:rsidR="4971FE00">
              <w:t xml:space="preserve"> were</w:t>
            </w:r>
            <w:r w:rsidR="3D49B05A">
              <w:t xml:space="preserve"> reasonable</w:t>
            </w:r>
            <w:r w:rsidR="3CB06FB4">
              <w:t>.</w:t>
            </w:r>
            <w:r w:rsidR="0A941239">
              <w:t xml:space="preserve"> </w:t>
            </w:r>
          </w:p>
        </w:tc>
      </w:tr>
    </w:tbl>
    <w:p w14:paraId="683B380E" w14:textId="77777777" w:rsidR="00BE380D" w:rsidRDefault="00BE380D">
      <w:pPr>
        <w:spacing w:before="0" w:after="160"/>
      </w:pPr>
      <w:r>
        <w:br w:type="page"/>
      </w:r>
    </w:p>
    <w:p w14:paraId="4CEB95A3" w14:textId="53E20F58" w:rsidR="00C13137" w:rsidRPr="00466F56" w:rsidRDefault="00C13137" w:rsidP="00C13137">
      <w:pPr>
        <w:pStyle w:val="Heading1"/>
      </w:pPr>
      <w:bookmarkStart w:id="451" w:name="_Toc37253836"/>
      <w:bookmarkStart w:id="452" w:name="_Ref98488195"/>
      <w:bookmarkStart w:id="453" w:name="_Ref98488244"/>
      <w:bookmarkStart w:id="454" w:name="_Toc160180118"/>
      <w:bookmarkStart w:id="455" w:name="_Toc210815617"/>
      <w:r w:rsidRPr="00466F56">
        <w:lastRenderedPageBreak/>
        <w:t>Appendix A</w:t>
      </w:r>
      <w:r w:rsidR="00C33EE0">
        <w:t xml:space="preserve"> – </w:t>
      </w:r>
      <w:r w:rsidRPr="00466F56">
        <w:t>Terms of reference</w:t>
      </w:r>
      <w:bookmarkEnd w:id="451"/>
      <w:bookmarkEnd w:id="452"/>
      <w:bookmarkEnd w:id="453"/>
      <w:r w:rsidR="00AF63E0">
        <w:rPr>
          <w:rStyle w:val="FootnoteReference"/>
        </w:rPr>
        <w:footnoteReference w:id="11"/>
      </w:r>
      <w:bookmarkStart w:id="456" w:name="_Toc24447248"/>
      <w:bookmarkEnd w:id="454"/>
      <w:bookmarkEnd w:id="455"/>
      <w:r w:rsidRPr="00466F56">
        <w:t xml:space="preserve"> </w:t>
      </w:r>
    </w:p>
    <w:p w14:paraId="2ACC9195" w14:textId="77777777" w:rsidR="00A318DB" w:rsidRPr="00137205" w:rsidRDefault="1D29AF73" w:rsidP="3A93DC59">
      <w:pPr>
        <w:rPr>
          <w:rFonts w:asciiTheme="minorHAnsi" w:eastAsia="Calibri" w:hAnsiTheme="minorHAnsi"/>
        </w:rPr>
      </w:pPr>
      <w:r w:rsidRPr="3A93DC59">
        <w:rPr>
          <w:rFonts w:asciiTheme="minorHAnsi" w:eastAsia="Calibri" w:hAnsiTheme="minorHAnsi"/>
        </w:rPr>
        <w:t xml:space="preserve">The </w:t>
      </w:r>
      <w:r w:rsidRPr="3A93DC59">
        <w:rPr>
          <w:rFonts w:asciiTheme="minorHAnsi" w:eastAsia="Calibri" w:hAnsiTheme="minorHAnsi"/>
          <w:i/>
          <w:iCs/>
        </w:rPr>
        <w:t>Australian Education Act 2013</w:t>
      </w:r>
      <w:r w:rsidRPr="3A93DC59">
        <w:rPr>
          <w:rFonts w:asciiTheme="minorHAnsi" w:eastAsia="Calibri" w:hAnsiTheme="minorHAnsi"/>
        </w:rPr>
        <w:t xml:space="preserve"> (the Act) sets out conditions of financial assistance for state and territories (states) to receive Commonwealth financial assistance for government and non-government schools in that state or territory. This includes default requirements for minimum state funding contributions for the government and non-government sectors under section 22A of the Act.</w:t>
      </w:r>
    </w:p>
    <w:p w14:paraId="04F9CEAF" w14:textId="77777777" w:rsidR="00A318DB" w:rsidRPr="00137205" w:rsidRDefault="1D29AF73" w:rsidP="3A93DC59">
      <w:pPr>
        <w:rPr>
          <w:rFonts w:asciiTheme="minorHAnsi" w:eastAsia="Calibri" w:hAnsiTheme="minorHAnsi"/>
        </w:rPr>
      </w:pPr>
      <w:r w:rsidRPr="3A93DC59">
        <w:rPr>
          <w:rFonts w:asciiTheme="minorHAnsi" w:hAnsiTheme="minorHAnsi"/>
        </w:rPr>
        <w:t>Section 22A of the Act provides that a payment of financial assistance under the Act to a state is subject to the total amount of funding provided by the state for a year for:</w:t>
      </w:r>
    </w:p>
    <w:p w14:paraId="7E7AC2F9" w14:textId="77777777" w:rsidR="00A318DB" w:rsidRPr="00137205" w:rsidRDefault="1D29AF73" w:rsidP="3A93DC59">
      <w:pPr>
        <w:pStyle w:val="ListParagraph"/>
        <w:numPr>
          <w:ilvl w:val="0"/>
          <w:numId w:val="15"/>
        </w:numPr>
        <w:spacing w:before="120" w:after="0" w:line="240" w:lineRule="auto"/>
        <w:rPr>
          <w:rFonts w:eastAsia="Calibri"/>
        </w:rPr>
      </w:pPr>
      <w:r w:rsidRPr="3A93DC59">
        <w:t>government schools located in the state equalling or exceeding the state contribution amount for government schools in the state for the year.</w:t>
      </w:r>
    </w:p>
    <w:p w14:paraId="4696BB86" w14:textId="77777777" w:rsidR="00A318DB" w:rsidRPr="00137205" w:rsidRDefault="1D29AF73" w:rsidP="3A93DC59">
      <w:pPr>
        <w:pStyle w:val="ListParagraph"/>
        <w:numPr>
          <w:ilvl w:val="0"/>
          <w:numId w:val="15"/>
        </w:numPr>
        <w:spacing w:before="120" w:after="0" w:line="240" w:lineRule="auto"/>
        <w:rPr>
          <w:rFonts w:eastAsia="Calibri"/>
        </w:rPr>
      </w:pPr>
      <w:r w:rsidRPr="3A93DC59">
        <w:t>nongovernment schools located in the state equalling or exceeding the state contribution amount for nongovernment schools in the state for the year.</w:t>
      </w:r>
    </w:p>
    <w:p w14:paraId="1FA4E144" w14:textId="77777777" w:rsidR="00A318DB" w:rsidRPr="00137205" w:rsidRDefault="00A318DB" w:rsidP="00A318DB">
      <w:pPr>
        <w:rPr>
          <w:rFonts w:asciiTheme="minorHAnsi" w:eastAsia="Calibri" w:hAnsiTheme="minorHAnsi" w:cstheme="minorHAnsi"/>
          <w:szCs w:val="24"/>
        </w:rPr>
      </w:pPr>
      <w:r w:rsidRPr="00137205">
        <w:rPr>
          <w:rFonts w:asciiTheme="minorHAnsi" w:eastAsia="Calibri" w:hAnsiTheme="minorHAnsi" w:cstheme="minorHAnsi"/>
          <w:szCs w:val="24"/>
        </w:rPr>
        <w:t xml:space="preserve">Bilateral school education reform agreements (bilateral agreements) have been agreed as part of the new national schooling reform arrangements. Bilateral agreements take account of states’ individual circumstances, and each bilateral agreement outlines the state’s commitments to the implementation of reforms. The agreements include agreed minimum state funding contributions, as well as the agreed approach to measuring these contributions and treatment for immaterial shortfall, for the government and non-government sectors where arrangements vary from the default calculations set out in section 22A of the Act. </w:t>
      </w:r>
    </w:p>
    <w:p w14:paraId="1362C286" w14:textId="77777777" w:rsidR="00A318DB" w:rsidRPr="00137205" w:rsidRDefault="1D29AF73" w:rsidP="3A93DC59">
      <w:pPr>
        <w:rPr>
          <w:rFonts w:asciiTheme="minorHAnsi" w:hAnsiTheme="minorHAnsi"/>
        </w:rPr>
      </w:pPr>
      <w:r w:rsidRPr="3A93DC59">
        <w:rPr>
          <w:rFonts w:asciiTheme="minorHAnsi" w:hAnsiTheme="minorHAnsi"/>
        </w:rPr>
        <w:t>The total amount of funding provided by the state for a year will be calculated in accordance with the methodology set out in a state’s bilateral agreement.</w:t>
      </w:r>
    </w:p>
    <w:p w14:paraId="4ECD59D5" w14:textId="77777777" w:rsidR="00A318DB" w:rsidRPr="00137205" w:rsidRDefault="1D29AF73" w:rsidP="3A93DC59">
      <w:pPr>
        <w:rPr>
          <w:rFonts w:asciiTheme="minorHAnsi" w:eastAsia="Calibri" w:hAnsiTheme="minorHAnsi"/>
        </w:rPr>
      </w:pPr>
      <w:r w:rsidRPr="3A93DC59">
        <w:rPr>
          <w:rFonts w:asciiTheme="minorHAnsi" w:eastAsia="Calibri" w:hAnsiTheme="minorHAnsi"/>
        </w:rPr>
        <w:t>The National School Resourcing Board (the Board) has been established under section 128 of the Act. Subsection 128(7) requires an annual independent review of compliance by states with section 22A of the Act.</w:t>
      </w:r>
    </w:p>
    <w:p w14:paraId="36FC2156" w14:textId="77777777" w:rsidR="00A318DB" w:rsidRPr="00137205" w:rsidRDefault="1D29AF73" w:rsidP="3A93DC59">
      <w:pPr>
        <w:rPr>
          <w:rFonts w:asciiTheme="minorHAnsi" w:eastAsia="Calibri" w:hAnsiTheme="minorHAnsi"/>
        </w:rPr>
      </w:pPr>
      <w:r w:rsidRPr="3A93DC59">
        <w:rPr>
          <w:rFonts w:asciiTheme="minorHAnsi" w:eastAsia="Calibri" w:hAnsiTheme="minorHAnsi"/>
        </w:rPr>
        <w:t>Consistent with the Act, the annual review will assess total funding for the government and non-government at the sector level, not school level. States will continue to have the discretion to allocate funding to schools according to their own funding distribution models.</w:t>
      </w:r>
    </w:p>
    <w:p w14:paraId="0197BBBC" w14:textId="77777777" w:rsidR="00A318DB" w:rsidRPr="00137205" w:rsidRDefault="00A318DB" w:rsidP="00A318DB">
      <w:pPr>
        <w:rPr>
          <w:rFonts w:asciiTheme="minorHAnsi" w:eastAsia="Calibri" w:hAnsiTheme="minorHAnsi" w:cstheme="minorHAnsi"/>
          <w:szCs w:val="24"/>
          <w:u w:val="single"/>
        </w:rPr>
      </w:pPr>
      <w:r w:rsidRPr="00137205">
        <w:rPr>
          <w:rFonts w:asciiTheme="minorHAnsi" w:eastAsia="Calibri" w:hAnsiTheme="minorHAnsi" w:cstheme="minorHAnsi"/>
          <w:b/>
          <w:szCs w:val="24"/>
        </w:rPr>
        <w:t>Scope</w:t>
      </w:r>
    </w:p>
    <w:p w14:paraId="3509C675" w14:textId="77777777" w:rsidR="00A318DB" w:rsidRPr="00137205" w:rsidRDefault="00A318DB" w:rsidP="00A318DB">
      <w:pPr>
        <w:rPr>
          <w:rFonts w:asciiTheme="minorHAnsi" w:eastAsia="Calibri" w:hAnsiTheme="minorHAnsi" w:cstheme="minorHAnsi"/>
          <w:szCs w:val="24"/>
        </w:rPr>
      </w:pPr>
      <w:r w:rsidRPr="00137205">
        <w:rPr>
          <w:rFonts w:asciiTheme="minorHAnsi" w:eastAsia="Calibri" w:hAnsiTheme="minorHAnsi" w:cstheme="minorHAnsi"/>
          <w:szCs w:val="24"/>
        </w:rPr>
        <w:t>The Board will consider and provide its assessment relating to compliance by a state subject to the terms of its bilateral agreement, including:</w:t>
      </w:r>
    </w:p>
    <w:p w14:paraId="530F41F5" w14:textId="1BCE7BEB" w:rsidR="00A318DB" w:rsidRPr="00137205" w:rsidRDefault="00A318DB" w:rsidP="0083442E">
      <w:pPr>
        <w:pStyle w:val="ListParagraph"/>
        <w:numPr>
          <w:ilvl w:val="0"/>
          <w:numId w:val="16"/>
        </w:numPr>
        <w:spacing w:before="120" w:after="0" w:line="240" w:lineRule="auto"/>
        <w:rPr>
          <w:rFonts w:eastAsia="Calibri" w:cstheme="minorHAnsi"/>
          <w:szCs w:val="24"/>
        </w:rPr>
      </w:pPr>
      <w:r w:rsidRPr="00137205">
        <w:rPr>
          <w:rFonts w:eastAsia="Calibri" w:cstheme="minorHAnsi"/>
          <w:szCs w:val="24"/>
        </w:rPr>
        <w:t>Whether the reported state funding for the given year equals or exceeds the minimum funding contribution requirements under section 22A of the Act for both government and non</w:t>
      </w:r>
      <w:r w:rsidRPr="00137205">
        <w:rPr>
          <w:rFonts w:eastAsia="Calibri" w:cstheme="minorHAnsi"/>
          <w:szCs w:val="24"/>
        </w:rPr>
        <w:noBreakHyphen/>
        <w:t xml:space="preserve">government sectors </w:t>
      </w:r>
    </w:p>
    <w:p w14:paraId="0B6235FA" w14:textId="5B74A53C" w:rsidR="00A318DB" w:rsidRPr="00137205" w:rsidRDefault="00A318DB" w:rsidP="0083442E">
      <w:pPr>
        <w:pStyle w:val="ListParagraph"/>
        <w:numPr>
          <w:ilvl w:val="0"/>
          <w:numId w:val="16"/>
        </w:numPr>
        <w:spacing w:before="120" w:after="0" w:line="240" w:lineRule="auto"/>
        <w:rPr>
          <w:rFonts w:eastAsia="Calibri" w:cstheme="minorHAnsi"/>
          <w:szCs w:val="24"/>
        </w:rPr>
      </w:pPr>
      <w:r w:rsidRPr="00137205">
        <w:rPr>
          <w:rFonts w:eastAsia="Calibri" w:cstheme="minorHAnsi"/>
          <w:szCs w:val="24"/>
        </w:rPr>
        <w:t>Contributing or mitigating circumstances</w:t>
      </w:r>
    </w:p>
    <w:p w14:paraId="0960586E" w14:textId="51BD6B12" w:rsidR="003D709A" w:rsidRPr="003E5C94" w:rsidRDefault="1D29AF73" w:rsidP="3A93DC59">
      <w:pPr>
        <w:pStyle w:val="ListParagraph"/>
        <w:numPr>
          <w:ilvl w:val="0"/>
          <w:numId w:val="16"/>
        </w:numPr>
        <w:spacing w:before="120" w:after="0" w:line="240" w:lineRule="auto"/>
        <w:rPr>
          <w:rFonts w:eastAsia="Calibri"/>
        </w:rPr>
      </w:pPr>
      <w:r w:rsidRPr="3A93DC59">
        <w:rPr>
          <w:rFonts w:eastAsia="Calibri"/>
        </w:rPr>
        <w:t>Suggestions for adjustments to current reporting processes that impact the ability of states to comply with the requirements under section 22A of the Act.</w:t>
      </w:r>
      <w:r w:rsidRPr="3A93DC59">
        <w:rPr>
          <w:rFonts w:eastAsia="Calibri"/>
        </w:rPr>
        <w:br w:type="page"/>
      </w:r>
    </w:p>
    <w:p w14:paraId="7EEDB061" w14:textId="77777777" w:rsidR="00A318DB" w:rsidRPr="00137205" w:rsidRDefault="00A318DB" w:rsidP="00A318DB">
      <w:pPr>
        <w:keepNext/>
        <w:keepLines/>
        <w:spacing w:before="240"/>
        <w:rPr>
          <w:rFonts w:asciiTheme="minorHAnsi" w:eastAsia="Calibri" w:hAnsiTheme="minorHAnsi" w:cstheme="minorHAnsi"/>
          <w:b/>
          <w:szCs w:val="24"/>
        </w:rPr>
      </w:pPr>
      <w:r w:rsidRPr="00137205">
        <w:rPr>
          <w:rFonts w:asciiTheme="minorHAnsi" w:eastAsia="Calibri" w:hAnsiTheme="minorHAnsi" w:cstheme="minorHAnsi"/>
          <w:b/>
          <w:szCs w:val="24"/>
        </w:rPr>
        <w:lastRenderedPageBreak/>
        <w:t xml:space="preserve">Contributing or mitigating circumstances  </w:t>
      </w:r>
    </w:p>
    <w:p w14:paraId="7F9469C7" w14:textId="77777777" w:rsidR="00A318DB" w:rsidRPr="00137205" w:rsidRDefault="1D29AF73" w:rsidP="3A93DC59">
      <w:pPr>
        <w:spacing w:before="240"/>
        <w:rPr>
          <w:rFonts w:asciiTheme="minorHAnsi" w:eastAsia="Calibri" w:hAnsiTheme="minorHAnsi"/>
          <w:i/>
          <w:iCs/>
        </w:rPr>
      </w:pPr>
      <w:r w:rsidRPr="3A93DC59">
        <w:rPr>
          <w:rFonts w:asciiTheme="minorHAnsi" w:eastAsia="Calibri" w:hAnsiTheme="minorHAnsi"/>
        </w:rPr>
        <w:t xml:space="preserve">The Board is to </w:t>
      </w:r>
      <w:proofErr w:type="gramStart"/>
      <w:r w:rsidRPr="3A93DC59">
        <w:rPr>
          <w:rFonts w:asciiTheme="minorHAnsi" w:eastAsia="Calibri" w:hAnsiTheme="minorHAnsi"/>
        </w:rPr>
        <w:t>take into account</w:t>
      </w:r>
      <w:proofErr w:type="gramEnd"/>
      <w:r w:rsidRPr="3A93DC59">
        <w:rPr>
          <w:rFonts w:asciiTheme="minorHAnsi" w:eastAsia="Calibri" w:hAnsiTheme="minorHAnsi"/>
        </w:rPr>
        <w:t xml:space="preserve"> mitigating factors that have contributed to non-compliance. This may include, but </w:t>
      </w:r>
      <w:proofErr w:type="gramStart"/>
      <w:r w:rsidRPr="3A93DC59">
        <w:rPr>
          <w:rFonts w:asciiTheme="minorHAnsi" w:eastAsia="Calibri" w:hAnsiTheme="minorHAnsi"/>
        </w:rPr>
        <w:t>is not be</w:t>
      </w:r>
      <w:proofErr w:type="gramEnd"/>
      <w:r w:rsidRPr="3A93DC59">
        <w:rPr>
          <w:rFonts w:asciiTheme="minorHAnsi" w:eastAsia="Calibri" w:hAnsiTheme="minorHAnsi"/>
        </w:rPr>
        <w:t xml:space="preserve"> limited to, the following:</w:t>
      </w:r>
    </w:p>
    <w:p w14:paraId="7BAAF0E6" w14:textId="77777777" w:rsidR="00A318DB" w:rsidRPr="00137205" w:rsidRDefault="1D29AF73" w:rsidP="3A93DC59">
      <w:pPr>
        <w:pStyle w:val="ListParagraph"/>
        <w:numPr>
          <w:ilvl w:val="0"/>
          <w:numId w:val="15"/>
        </w:numPr>
        <w:spacing w:before="120" w:after="0" w:line="240" w:lineRule="auto"/>
        <w:rPr>
          <w:rFonts w:eastAsia="Calibri"/>
        </w:rPr>
      </w:pPr>
      <w:r w:rsidRPr="3A93DC59">
        <w:rPr>
          <w:rFonts w:eastAsia="Calibri"/>
        </w:rPr>
        <w:t xml:space="preserve">fluctuations from year-to-year in funding which could be assessed through, for example, the application of a </w:t>
      </w:r>
      <w:proofErr w:type="gramStart"/>
      <w:r w:rsidRPr="3A93DC59">
        <w:rPr>
          <w:rFonts w:eastAsia="Calibri"/>
        </w:rPr>
        <w:t>three year</w:t>
      </w:r>
      <w:proofErr w:type="gramEnd"/>
      <w:r w:rsidRPr="3A93DC59">
        <w:rPr>
          <w:rFonts w:eastAsia="Calibri"/>
        </w:rPr>
        <w:t xml:space="preserve"> rolling average if funding has fallen below the required amount. This may include consideration of funding in the previous or subsequent year, to the assessment year, where funding provided or budgeted for schools is above minimum requirements. The additional funding provided in the previous years could be considered a mitigating/contributing circumstance for the shortfall experienced in the assessment year. Evidence of future Budgets could also assist the Board in assessing compliance.</w:t>
      </w:r>
    </w:p>
    <w:p w14:paraId="67E8A043" w14:textId="77777777" w:rsidR="00A318DB" w:rsidRPr="00137205" w:rsidRDefault="00A318DB" w:rsidP="0083442E">
      <w:pPr>
        <w:pStyle w:val="ListParagraph"/>
        <w:numPr>
          <w:ilvl w:val="0"/>
          <w:numId w:val="15"/>
        </w:numPr>
        <w:spacing w:before="120" w:after="0" w:line="240" w:lineRule="auto"/>
        <w:rPr>
          <w:rFonts w:eastAsia="Calibri" w:cstheme="minorHAnsi"/>
          <w:szCs w:val="24"/>
        </w:rPr>
      </w:pPr>
      <w:r w:rsidRPr="00137205">
        <w:rPr>
          <w:rFonts w:eastAsia="Calibri" w:cstheme="minorHAnsi"/>
          <w:szCs w:val="24"/>
        </w:rPr>
        <w:t>unintended and unforeseeable budget pressures in the state budget process</w:t>
      </w:r>
    </w:p>
    <w:p w14:paraId="62591C27" w14:textId="77777777" w:rsidR="00A318DB" w:rsidRPr="00137205" w:rsidRDefault="00A318DB" w:rsidP="0083442E">
      <w:pPr>
        <w:pStyle w:val="ListParagraph"/>
        <w:numPr>
          <w:ilvl w:val="0"/>
          <w:numId w:val="15"/>
        </w:numPr>
        <w:spacing w:before="120" w:after="0" w:line="240" w:lineRule="auto"/>
        <w:rPr>
          <w:rFonts w:eastAsia="Calibri" w:cstheme="minorHAnsi"/>
          <w:szCs w:val="24"/>
        </w:rPr>
      </w:pPr>
      <w:r w:rsidRPr="00137205">
        <w:rPr>
          <w:rFonts w:eastAsia="Calibri" w:cstheme="minorHAnsi"/>
          <w:szCs w:val="24"/>
        </w:rPr>
        <w:t>other unforeseeable circumstances (e.g. such as natural disasters)</w:t>
      </w:r>
    </w:p>
    <w:p w14:paraId="0F9A0100" w14:textId="77777777" w:rsidR="00A318DB" w:rsidRPr="00137205" w:rsidRDefault="1D29AF73" w:rsidP="3A93DC59">
      <w:pPr>
        <w:pStyle w:val="ListParagraph"/>
        <w:numPr>
          <w:ilvl w:val="0"/>
          <w:numId w:val="15"/>
        </w:numPr>
        <w:spacing w:before="120" w:after="0" w:line="240" w:lineRule="auto"/>
        <w:rPr>
          <w:rFonts w:eastAsia="Calibri"/>
        </w:rPr>
      </w:pPr>
      <w:r w:rsidRPr="3A93DC59">
        <w:rPr>
          <w:rFonts w:eastAsia="Calibri"/>
        </w:rPr>
        <w:t>fluctuations in enrolment numbers or student characteristics that exceed what could have been reasonably anticipated</w:t>
      </w:r>
    </w:p>
    <w:p w14:paraId="22252801" w14:textId="77777777" w:rsidR="00A318DB" w:rsidRPr="00137205" w:rsidRDefault="00A318DB" w:rsidP="0083442E">
      <w:pPr>
        <w:pStyle w:val="ListParagraph"/>
        <w:numPr>
          <w:ilvl w:val="0"/>
          <w:numId w:val="15"/>
        </w:numPr>
        <w:spacing w:before="120" w:after="0" w:line="240" w:lineRule="auto"/>
        <w:rPr>
          <w:rFonts w:eastAsia="Calibri" w:cstheme="minorHAnsi"/>
          <w:szCs w:val="24"/>
        </w:rPr>
      </w:pPr>
      <w:r w:rsidRPr="00137205">
        <w:rPr>
          <w:rFonts w:eastAsia="Calibri" w:cstheme="minorHAnsi"/>
          <w:szCs w:val="24"/>
        </w:rPr>
        <w:t>significant differences in funding provided to schools compared to actual school allocation or school expenditure, that is outside the control of state governments</w:t>
      </w:r>
    </w:p>
    <w:p w14:paraId="067C8163" w14:textId="77777777" w:rsidR="00A318DB" w:rsidRPr="00137205" w:rsidRDefault="00A318DB" w:rsidP="0083442E">
      <w:pPr>
        <w:pStyle w:val="ListParagraph"/>
        <w:numPr>
          <w:ilvl w:val="0"/>
          <w:numId w:val="15"/>
        </w:numPr>
        <w:spacing w:before="120" w:after="0" w:line="240" w:lineRule="auto"/>
        <w:rPr>
          <w:rFonts w:eastAsia="Calibri" w:cstheme="minorHAnsi"/>
          <w:szCs w:val="24"/>
        </w:rPr>
      </w:pPr>
      <w:r w:rsidRPr="00137205">
        <w:rPr>
          <w:rFonts w:eastAsia="Calibri" w:cstheme="minorHAnsi"/>
          <w:szCs w:val="24"/>
        </w:rPr>
        <w:t>financial accounting impacts (e.g. actuarial assessment and timing of expenditure due to reporting dates)</w:t>
      </w:r>
    </w:p>
    <w:p w14:paraId="717C7054" w14:textId="77777777" w:rsidR="00A318DB" w:rsidRPr="00137205" w:rsidRDefault="00A318DB" w:rsidP="0083442E">
      <w:pPr>
        <w:pStyle w:val="ListParagraph"/>
        <w:numPr>
          <w:ilvl w:val="0"/>
          <w:numId w:val="15"/>
        </w:numPr>
        <w:spacing w:before="120" w:after="0" w:line="240" w:lineRule="auto"/>
        <w:rPr>
          <w:rFonts w:eastAsia="Calibri" w:cstheme="minorHAnsi"/>
          <w:szCs w:val="24"/>
        </w:rPr>
      </w:pPr>
      <w:r w:rsidRPr="00137205">
        <w:rPr>
          <w:rFonts w:eastAsia="Calibri" w:cstheme="minorHAnsi"/>
          <w:szCs w:val="24"/>
        </w:rPr>
        <w:t xml:space="preserve">mitigation or rectification processes proposed by the state or territory </w:t>
      </w:r>
    </w:p>
    <w:p w14:paraId="4DEE3DA7" w14:textId="77777777" w:rsidR="00A318DB" w:rsidRPr="00137205" w:rsidRDefault="1D29AF73" w:rsidP="3A93DC59">
      <w:pPr>
        <w:pStyle w:val="ListParagraph"/>
        <w:numPr>
          <w:ilvl w:val="0"/>
          <w:numId w:val="15"/>
        </w:numPr>
        <w:spacing w:before="120" w:after="0" w:line="240" w:lineRule="auto"/>
        <w:rPr>
          <w:rFonts w:eastAsia="Calibri"/>
        </w:rPr>
      </w:pPr>
      <w:r w:rsidRPr="3A93DC59">
        <w:rPr>
          <w:rFonts w:eastAsia="Calibri"/>
        </w:rPr>
        <w:t>other relevant circumstances, supported by data and information from the relevant jurisdiction.</w:t>
      </w:r>
    </w:p>
    <w:p w14:paraId="47C00250" w14:textId="77777777" w:rsidR="00A318DB" w:rsidRPr="00137205" w:rsidRDefault="1D29AF73" w:rsidP="3A93DC59">
      <w:pPr>
        <w:spacing w:before="200"/>
        <w:rPr>
          <w:rFonts w:asciiTheme="minorHAnsi" w:eastAsia="Calibri" w:hAnsiTheme="minorHAnsi"/>
        </w:rPr>
      </w:pPr>
      <w:r w:rsidRPr="3A93DC59">
        <w:rPr>
          <w:rFonts w:asciiTheme="minorHAnsi" w:eastAsia="Calibri" w:hAnsiTheme="minorHAnsi"/>
        </w:rPr>
        <w:t xml:space="preserve">The Board should also have regard to the timing of state budget processes and recognise jurisdictions may set budget appropriations for schools in advance of the state funding contribution amount being finalised based on actual data for the year. </w:t>
      </w:r>
    </w:p>
    <w:p w14:paraId="2C259E51" w14:textId="77777777" w:rsidR="00A318DB" w:rsidRPr="00137205" w:rsidRDefault="1D29AF73" w:rsidP="3A93DC59">
      <w:pPr>
        <w:spacing w:before="200"/>
        <w:rPr>
          <w:rFonts w:asciiTheme="minorHAnsi" w:eastAsia="Calibri" w:hAnsiTheme="minorHAnsi"/>
        </w:rPr>
      </w:pPr>
      <w:r w:rsidRPr="3A93DC59">
        <w:rPr>
          <w:rFonts w:asciiTheme="minorHAnsi" w:eastAsia="Calibri" w:hAnsiTheme="minorHAnsi"/>
        </w:rPr>
        <w:t xml:space="preserve">The Board may make a finding of compliant or non-compliant </w:t>
      </w:r>
      <w:proofErr w:type="gramStart"/>
      <w:r w:rsidRPr="3A93DC59">
        <w:rPr>
          <w:rFonts w:asciiTheme="minorHAnsi" w:eastAsia="Calibri" w:hAnsiTheme="minorHAnsi"/>
        </w:rPr>
        <w:t>taking into account</w:t>
      </w:r>
      <w:proofErr w:type="gramEnd"/>
      <w:r w:rsidRPr="3A93DC59">
        <w:rPr>
          <w:rFonts w:asciiTheme="minorHAnsi" w:eastAsia="Calibri" w:hAnsiTheme="minorHAnsi"/>
        </w:rPr>
        <w:t xml:space="preserve"> immaterial shortfalls and mitigating factors. </w:t>
      </w:r>
    </w:p>
    <w:p w14:paraId="3A374871" w14:textId="77777777" w:rsidR="00A318DB" w:rsidRPr="00137205" w:rsidRDefault="1D29AF73" w:rsidP="3A93DC59">
      <w:pPr>
        <w:spacing w:before="200"/>
        <w:rPr>
          <w:rFonts w:asciiTheme="minorHAnsi" w:eastAsia="Calibri" w:hAnsiTheme="minorHAnsi"/>
        </w:rPr>
      </w:pPr>
      <w:r w:rsidRPr="3A93DC59">
        <w:rPr>
          <w:rFonts w:asciiTheme="minorHAnsi" w:eastAsia="Calibri" w:hAnsiTheme="minorHAnsi"/>
        </w:rPr>
        <w:t>The Board does not have a role in providing recommendations on potential compliance action by the Minister. Under Section 110 of the Act, the Minister has discretion to determine compliance and any sanction action.</w:t>
      </w:r>
    </w:p>
    <w:p w14:paraId="75E2E7AC" w14:textId="77777777" w:rsidR="00A318DB" w:rsidRPr="00137205" w:rsidRDefault="1D29AF73" w:rsidP="3A93DC59">
      <w:pPr>
        <w:spacing w:before="200"/>
        <w:rPr>
          <w:rFonts w:asciiTheme="minorHAnsi" w:eastAsia="Calibri" w:hAnsiTheme="minorHAnsi"/>
        </w:rPr>
      </w:pPr>
      <w:r w:rsidRPr="3A93DC59">
        <w:rPr>
          <w:rFonts w:asciiTheme="minorHAnsi" w:eastAsia="Calibri" w:hAnsiTheme="minorHAnsi"/>
        </w:rPr>
        <w:t xml:space="preserve">Consistent with the terms of reference, the Board will produce a final report containing assessments of overall compliance for each state. </w:t>
      </w:r>
    </w:p>
    <w:p w14:paraId="1CDE9C69" w14:textId="77777777" w:rsidR="00A318DB" w:rsidRPr="00137205" w:rsidRDefault="00A318DB" w:rsidP="00A318DB">
      <w:pPr>
        <w:spacing w:before="200"/>
        <w:rPr>
          <w:rFonts w:asciiTheme="minorHAnsi" w:eastAsia="Calibri" w:hAnsiTheme="minorHAnsi" w:cstheme="minorHAnsi"/>
          <w:b/>
          <w:szCs w:val="24"/>
        </w:rPr>
      </w:pPr>
      <w:r w:rsidRPr="00137205">
        <w:rPr>
          <w:rFonts w:asciiTheme="minorHAnsi" w:eastAsia="Calibri" w:hAnsiTheme="minorHAnsi" w:cstheme="minorHAnsi"/>
          <w:b/>
          <w:szCs w:val="24"/>
        </w:rPr>
        <w:t>Information to support the reviews</w:t>
      </w:r>
    </w:p>
    <w:p w14:paraId="2323236A" w14:textId="77777777" w:rsidR="00A318DB" w:rsidRPr="00137205" w:rsidRDefault="1D29AF73" w:rsidP="3A93DC59">
      <w:pPr>
        <w:spacing w:before="200"/>
        <w:rPr>
          <w:rFonts w:asciiTheme="minorHAnsi" w:eastAsia="Calibri" w:hAnsiTheme="minorHAnsi"/>
        </w:rPr>
      </w:pPr>
      <w:r w:rsidRPr="3A93DC59">
        <w:rPr>
          <w:rFonts w:asciiTheme="minorHAnsi" w:eastAsia="Calibri" w:hAnsiTheme="minorHAnsi"/>
        </w:rPr>
        <w:t xml:space="preserve">The bilateral agreements require states to provide the Australian Government Department of Education with annual reports demonstrating their compliance with section 22A of the Act for a year for the government and non-government sector by 30 November of the following year (unless otherwise set out in the bilateral agreement). </w:t>
      </w:r>
    </w:p>
    <w:p w14:paraId="161266FD" w14:textId="77777777" w:rsidR="00A318DB" w:rsidRPr="00137205" w:rsidRDefault="1D29AF73" w:rsidP="3A93DC59">
      <w:pPr>
        <w:spacing w:before="200"/>
        <w:rPr>
          <w:rFonts w:asciiTheme="minorHAnsi" w:eastAsia="Calibri" w:hAnsiTheme="minorHAnsi"/>
        </w:rPr>
      </w:pPr>
      <w:r w:rsidRPr="3A93DC59">
        <w:rPr>
          <w:rFonts w:asciiTheme="minorHAnsi" w:eastAsia="Calibri" w:hAnsiTheme="minorHAnsi"/>
        </w:rPr>
        <w:t xml:space="preserve">States may also provide any additional information they wish to have considered in the assessment of compliance. </w:t>
      </w:r>
    </w:p>
    <w:p w14:paraId="2718519E" w14:textId="2100E1FE" w:rsidR="003D709A" w:rsidRPr="00137205" w:rsidRDefault="1D29AF73" w:rsidP="3A93DC59">
      <w:pPr>
        <w:spacing w:before="200"/>
        <w:rPr>
          <w:rFonts w:asciiTheme="minorHAnsi" w:hAnsiTheme="minorHAnsi"/>
        </w:rPr>
      </w:pPr>
      <w:r w:rsidRPr="3A93DC59">
        <w:rPr>
          <w:rFonts w:asciiTheme="minorHAnsi" w:eastAsia="Calibri" w:hAnsiTheme="minorHAnsi"/>
        </w:rPr>
        <w:t>This information will be provided to the Board along with any additional information on context and mitigating factors that the Board requests to support its deliberations.</w:t>
      </w:r>
      <w:r w:rsidRPr="3A93DC59">
        <w:rPr>
          <w:rFonts w:asciiTheme="minorHAnsi" w:hAnsiTheme="minorHAnsi"/>
        </w:rPr>
        <w:br w:type="page"/>
      </w:r>
    </w:p>
    <w:bookmarkEnd w:id="456"/>
    <w:p w14:paraId="55D1A195" w14:textId="77777777" w:rsidR="00A318DB" w:rsidRPr="00137205" w:rsidRDefault="1D29AF73" w:rsidP="3A93DC59">
      <w:pPr>
        <w:spacing w:before="200"/>
        <w:rPr>
          <w:rFonts w:asciiTheme="minorHAnsi" w:eastAsia="Calibri" w:hAnsiTheme="minorHAnsi"/>
        </w:rPr>
      </w:pPr>
      <w:r w:rsidRPr="3A93DC59">
        <w:rPr>
          <w:rFonts w:asciiTheme="minorHAnsi" w:eastAsia="Calibri" w:hAnsiTheme="minorHAnsi"/>
        </w:rPr>
        <w:lastRenderedPageBreak/>
        <w:t>States will not usually be required to report separately to the Board. If the Board seeks additional information from states, a formal request will be made by the Australian Government Department of Education, consistent with the arrangements outlined in section 65 (</w:t>
      </w:r>
      <w:proofErr w:type="gramStart"/>
      <w:r w:rsidRPr="3A93DC59">
        <w:rPr>
          <w:rFonts w:asciiTheme="minorHAnsi" w:eastAsia="Calibri" w:hAnsiTheme="minorHAnsi"/>
        </w:rPr>
        <w:t>1)(</w:t>
      </w:r>
      <w:proofErr w:type="gramEnd"/>
      <w:r w:rsidRPr="3A93DC59">
        <w:rPr>
          <w:rFonts w:asciiTheme="minorHAnsi" w:eastAsia="Calibri" w:hAnsiTheme="minorHAnsi"/>
        </w:rPr>
        <w:t xml:space="preserve">aa) of the Australian Education Regulations 2023. </w:t>
      </w:r>
    </w:p>
    <w:p w14:paraId="6630A9C4" w14:textId="77777777" w:rsidR="00A318DB" w:rsidRPr="00137205" w:rsidRDefault="00A318DB" w:rsidP="00A318DB">
      <w:pPr>
        <w:spacing w:before="200"/>
        <w:rPr>
          <w:rFonts w:asciiTheme="minorHAnsi" w:eastAsia="Calibri" w:hAnsiTheme="minorHAnsi" w:cstheme="minorHAnsi"/>
          <w:b/>
        </w:rPr>
      </w:pPr>
      <w:r w:rsidRPr="00137205">
        <w:rPr>
          <w:rFonts w:asciiTheme="minorHAnsi" w:eastAsia="Calibri" w:hAnsiTheme="minorHAnsi" w:cstheme="minorHAnsi"/>
          <w:b/>
        </w:rPr>
        <w:t xml:space="preserve">Consultation </w:t>
      </w:r>
    </w:p>
    <w:p w14:paraId="73EDBFD5" w14:textId="77777777" w:rsidR="00A318DB" w:rsidRPr="00137205" w:rsidRDefault="1D29AF73" w:rsidP="3A93DC59">
      <w:pPr>
        <w:spacing w:before="200"/>
        <w:rPr>
          <w:rFonts w:asciiTheme="minorHAnsi" w:eastAsia="Calibri" w:hAnsiTheme="minorHAnsi"/>
        </w:rPr>
      </w:pPr>
      <w:r w:rsidRPr="3A93DC59">
        <w:rPr>
          <w:rFonts w:asciiTheme="minorHAnsi" w:eastAsia="Calibri" w:hAnsiTheme="minorHAnsi"/>
        </w:rPr>
        <w:t>The Board will consult with states and territories in undertaking its review, including consultation with the Education Council, and may also consult with other parties as required.</w:t>
      </w:r>
    </w:p>
    <w:p w14:paraId="02E54359" w14:textId="77777777" w:rsidR="00A318DB" w:rsidRPr="00137205" w:rsidRDefault="1D29AF73" w:rsidP="3A93DC59">
      <w:pPr>
        <w:spacing w:before="200"/>
        <w:rPr>
          <w:rFonts w:asciiTheme="minorHAnsi" w:eastAsia="Calibri" w:hAnsiTheme="minorHAnsi"/>
          <w:sz w:val="28"/>
          <w:szCs w:val="28"/>
        </w:rPr>
      </w:pPr>
      <w:r w:rsidRPr="3A93DC59">
        <w:rPr>
          <w:rFonts w:asciiTheme="minorHAnsi" w:eastAsia="Calibri" w:hAnsiTheme="minorHAnsi"/>
        </w:rPr>
        <w:t xml:space="preserve">The Board will provide relevant sections of the draft review report to each state and territory, who will have the opportunity to provide further information for the Board’s consideration. States and territories may request that their response, if any, is included as an annexure to the final report. </w:t>
      </w:r>
    </w:p>
    <w:p w14:paraId="30554F47" w14:textId="77777777" w:rsidR="00A318DB" w:rsidRPr="00137205" w:rsidRDefault="00A318DB" w:rsidP="00A318DB">
      <w:pPr>
        <w:spacing w:before="200"/>
        <w:rPr>
          <w:rFonts w:asciiTheme="minorHAnsi" w:eastAsia="Calibri" w:hAnsiTheme="minorHAnsi" w:cstheme="minorHAnsi"/>
          <w:b/>
          <w:szCs w:val="24"/>
        </w:rPr>
      </w:pPr>
      <w:r w:rsidRPr="00137205">
        <w:rPr>
          <w:rFonts w:asciiTheme="minorHAnsi" w:eastAsia="Calibri" w:hAnsiTheme="minorHAnsi" w:cstheme="minorHAnsi"/>
          <w:b/>
          <w:szCs w:val="24"/>
        </w:rPr>
        <w:t>Timing</w:t>
      </w:r>
    </w:p>
    <w:p w14:paraId="53CF1523" w14:textId="7BD422E1" w:rsidR="00A318DB" w:rsidRPr="00137205" w:rsidRDefault="00A318DB" w:rsidP="00A318DB">
      <w:pPr>
        <w:spacing w:before="200"/>
        <w:rPr>
          <w:rFonts w:asciiTheme="minorHAnsi" w:eastAsia="Calibri" w:hAnsiTheme="minorHAnsi" w:cstheme="minorHAnsi"/>
          <w:szCs w:val="24"/>
        </w:rPr>
      </w:pPr>
      <w:r w:rsidRPr="00137205">
        <w:rPr>
          <w:rFonts w:asciiTheme="minorHAnsi" w:eastAsia="Calibri" w:hAnsiTheme="minorHAnsi" w:cstheme="minorHAnsi"/>
          <w:szCs w:val="24"/>
        </w:rPr>
        <w:t>The Board is expected to provide its final report to the Australian Government Minister for Education by April</w:t>
      </w:r>
      <w:r w:rsidR="00B00BC0">
        <w:rPr>
          <w:rFonts w:asciiTheme="minorHAnsi" w:eastAsia="Calibri" w:hAnsiTheme="minorHAnsi" w:cstheme="minorHAnsi"/>
          <w:szCs w:val="24"/>
        </w:rPr>
        <w:t>,</w:t>
      </w:r>
      <w:r w:rsidRPr="00137205">
        <w:rPr>
          <w:rFonts w:asciiTheme="minorHAnsi" w:eastAsia="Calibri" w:hAnsiTheme="minorHAnsi" w:cstheme="minorHAnsi"/>
          <w:szCs w:val="24"/>
        </w:rPr>
        <w:t xml:space="preserve"> </w:t>
      </w:r>
      <w:r w:rsidR="00C321CC">
        <w:rPr>
          <w:rFonts w:asciiTheme="minorHAnsi" w:eastAsia="Calibri" w:hAnsiTheme="minorHAnsi" w:cstheme="minorHAnsi"/>
          <w:szCs w:val="24"/>
        </w:rPr>
        <w:t>2</w:t>
      </w:r>
      <w:r w:rsidR="00C321CC" w:rsidRPr="00137205">
        <w:rPr>
          <w:rFonts w:asciiTheme="minorHAnsi" w:eastAsia="Calibri" w:hAnsiTheme="minorHAnsi" w:cstheme="minorHAnsi"/>
          <w:szCs w:val="24"/>
        </w:rPr>
        <w:t xml:space="preserve"> </w:t>
      </w:r>
      <w:r w:rsidRPr="00137205">
        <w:rPr>
          <w:rFonts w:asciiTheme="minorHAnsi" w:eastAsia="Calibri" w:hAnsiTheme="minorHAnsi" w:cstheme="minorHAnsi"/>
          <w:szCs w:val="24"/>
        </w:rPr>
        <w:t xml:space="preserve">years following the reported year. </w:t>
      </w:r>
    </w:p>
    <w:p w14:paraId="4A6AAEFD" w14:textId="77777777" w:rsidR="00A318DB" w:rsidRPr="00137205" w:rsidRDefault="00A318DB" w:rsidP="00A318DB">
      <w:pPr>
        <w:spacing w:before="200"/>
        <w:rPr>
          <w:rFonts w:asciiTheme="minorHAnsi" w:eastAsia="Calibri" w:hAnsiTheme="minorHAnsi" w:cstheme="minorHAnsi"/>
        </w:rPr>
      </w:pPr>
      <w:r w:rsidRPr="00137205">
        <w:rPr>
          <w:rFonts w:asciiTheme="minorHAnsi" w:eastAsia="Calibri" w:hAnsiTheme="minorHAnsi" w:cstheme="minorHAnsi"/>
        </w:rPr>
        <w:t>The Minister will invite the Chair of the Board to present the report to the Education Council.</w:t>
      </w:r>
    </w:p>
    <w:p w14:paraId="0C07A82E" w14:textId="77777777" w:rsidR="00C13137" w:rsidRDefault="00C13137" w:rsidP="008F453E">
      <w:r>
        <w:br w:type="page"/>
      </w:r>
    </w:p>
    <w:p w14:paraId="1CCB9912" w14:textId="7A12F425" w:rsidR="00C13137" w:rsidRPr="00311050" w:rsidRDefault="00C13137" w:rsidP="00C13137">
      <w:pPr>
        <w:pStyle w:val="Heading1"/>
      </w:pPr>
      <w:bookmarkStart w:id="457" w:name="_Toc37253837"/>
      <w:bookmarkStart w:id="458" w:name="_Toc160180119"/>
      <w:bookmarkStart w:id="459" w:name="_Toc210815618"/>
      <w:r>
        <w:lastRenderedPageBreak/>
        <w:t>Appendix B</w:t>
      </w:r>
      <w:r w:rsidR="00A41235">
        <w:t xml:space="preserve"> </w:t>
      </w:r>
      <w:r w:rsidR="00C33EE0">
        <w:t>–</w:t>
      </w:r>
      <w:r w:rsidR="00A41235">
        <w:t xml:space="preserve"> </w:t>
      </w:r>
      <w:r>
        <w:t xml:space="preserve">Review </w:t>
      </w:r>
      <w:bookmarkEnd w:id="457"/>
      <w:r w:rsidR="006A5333">
        <w:t>process</w:t>
      </w:r>
      <w:bookmarkEnd w:id="458"/>
      <w:bookmarkEnd w:id="459"/>
      <w:r w:rsidR="006A5333">
        <w:t xml:space="preserve"> </w:t>
      </w:r>
    </w:p>
    <w:p w14:paraId="49BC0F65" w14:textId="24F3D7D9" w:rsidR="00C13137" w:rsidRPr="00311050" w:rsidRDefault="7CCE71CE" w:rsidP="421ADA8C">
      <w:r w:rsidRPr="3A93DC59">
        <w:t xml:space="preserve">On </w:t>
      </w:r>
      <w:r w:rsidR="51AFC909" w:rsidRPr="3A93DC59">
        <w:t>4 October 2019,</w:t>
      </w:r>
      <w:r w:rsidR="23538FAE" w:rsidRPr="3A93DC59">
        <w:t xml:space="preserve"> the </w:t>
      </w:r>
      <w:r w:rsidR="79C663D2" w:rsidRPr="3A93DC59">
        <w:t xml:space="preserve">then Australian Government Minister for Education, </w:t>
      </w:r>
      <w:r w:rsidR="595674DF" w:rsidRPr="3A93DC59">
        <w:t xml:space="preserve">the </w:t>
      </w:r>
      <w:r w:rsidR="23538FAE" w:rsidRPr="3A93DC59">
        <w:t xml:space="preserve">Hon Dan Tehan MP, </w:t>
      </w:r>
      <w:r w:rsidR="368728D9" w:rsidRPr="3A93DC59">
        <w:t xml:space="preserve">commissioned </w:t>
      </w:r>
      <w:r w:rsidR="23538FAE" w:rsidRPr="3A93DC59">
        <w:t xml:space="preserve">the Board to </w:t>
      </w:r>
      <w:r w:rsidR="457A14E4" w:rsidRPr="3A93DC59">
        <w:t xml:space="preserve">undertake </w:t>
      </w:r>
      <w:r w:rsidR="5717E214" w:rsidRPr="3A93DC59">
        <w:t xml:space="preserve">annual independent reviews of state and territory compliance with </w:t>
      </w:r>
      <w:r w:rsidR="4DB75892" w:rsidRPr="3A93DC59">
        <w:t>s 22A</w:t>
      </w:r>
      <w:r w:rsidR="5717E214" w:rsidRPr="3A93DC59">
        <w:t xml:space="preserve"> of the </w:t>
      </w:r>
      <w:r w:rsidR="5717E214" w:rsidRPr="3A93DC59">
        <w:rPr>
          <w:i/>
          <w:iCs/>
        </w:rPr>
        <w:t xml:space="preserve">Australian Education Act 2013. </w:t>
      </w:r>
      <w:r w:rsidR="595674DF" w:rsidRPr="3A93DC59">
        <w:t xml:space="preserve">The Board has an </w:t>
      </w:r>
      <w:proofErr w:type="gramStart"/>
      <w:r w:rsidR="595674DF" w:rsidRPr="3A93DC59">
        <w:t>enduring terms of reference</w:t>
      </w:r>
      <w:proofErr w:type="gramEnd"/>
      <w:r w:rsidR="595674DF" w:rsidRPr="3A93DC59">
        <w:t xml:space="preserve"> that reflect its legislated responsibility to conduct this annual review process.</w:t>
      </w:r>
    </w:p>
    <w:p w14:paraId="4EA776F3" w14:textId="664A9C24" w:rsidR="00260933" w:rsidRDefault="23538FAE" w:rsidP="421ADA8C">
      <w:r w:rsidRPr="3A93DC59">
        <w:t>To complete its assessment, the Board reviewed each state and territory’s annual report and any additional information provided</w:t>
      </w:r>
      <w:r w:rsidR="0167CB74" w:rsidRPr="3A93DC59">
        <w:t xml:space="preserve"> </w:t>
      </w:r>
      <w:r w:rsidR="407332B8" w:rsidRPr="3A93DC59">
        <w:t>to the Board, as well as</w:t>
      </w:r>
      <w:r w:rsidRPr="3A93DC59">
        <w:t xml:space="preserve"> considered expert</w:t>
      </w:r>
      <w:r w:rsidR="14EE7571" w:rsidRPr="3A93DC59">
        <w:t xml:space="preserve"> financial audit</w:t>
      </w:r>
      <w:r w:rsidRPr="3A93DC59">
        <w:t xml:space="preserve"> advice.</w:t>
      </w:r>
      <w:r w:rsidR="320C1ABD" w:rsidRPr="3A93DC59">
        <w:t xml:space="preserve"> The Board also offered states and territories the opportunity to </w:t>
      </w:r>
      <w:r w:rsidR="5EE3B0A1" w:rsidRPr="3A93DC59">
        <w:t>provide feedback on the draft report, particularly in relation to</w:t>
      </w:r>
      <w:r w:rsidR="320C1ABD" w:rsidRPr="3A93DC59">
        <w:t xml:space="preserve"> their </w:t>
      </w:r>
      <w:r w:rsidR="526A5494" w:rsidRPr="3A93DC59">
        <w:t xml:space="preserve">funding contributions and reporting processes. </w:t>
      </w:r>
      <w:r w:rsidR="2267D657" w:rsidRPr="3A93DC59">
        <w:t>Representatives from the Northern Territory</w:t>
      </w:r>
      <w:r w:rsidR="000D3338">
        <w:t>, Tasmania</w:t>
      </w:r>
      <w:r w:rsidR="2267D657" w:rsidRPr="3A93DC59">
        <w:t xml:space="preserve"> </w:t>
      </w:r>
      <w:r w:rsidR="00582C6C" w:rsidRPr="00582C6C">
        <w:t xml:space="preserve">and Victoria </w:t>
      </w:r>
      <w:r w:rsidR="2267D657" w:rsidRPr="3A93DC59">
        <w:t>met with the Board.</w:t>
      </w:r>
    </w:p>
    <w:p w14:paraId="0645AE86" w14:textId="7511CE00" w:rsidR="00C605D1" w:rsidRDefault="526A5494" w:rsidP="421ADA8C">
      <w:r w:rsidRPr="3A93DC59">
        <w:t xml:space="preserve">In line with the terms of reference, the Board also provided the draft report to jurisdictions </w:t>
      </w:r>
      <w:r w:rsidR="11D72C7A" w:rsidRPr="3A93DC59">
        <w:t>and welcome</w:t>
      </w:r>
      <w:r w:rsidR="2879E8B0" w:rsidRPr="3A93DC59">
        <w:t>d</w:t>
      </w:r>
      <w:r w:rsidR="11D72C7A" w:rsidRPr="3A93DC59">
        <w:t xml:space="preserve"> any further information.</w:t>
      </w:r>
      <w:r w:rsidR="1C1E81D6" w:rsidRPr="3A93DC59">
        <w:t xml:space="preserve"> Both the Northern Territory and Victoria</w:t>
      </w:r>
      <w:r w:rsidR="5D84FC7B" w:rsidRPr="3A93DC59">
        <w:t xml:space="preserve"> </w:t>
      </w:r>
      <w:r w:rsidR="1C1E81D6" w:rsidRPr="3A93DC59">
        <w:t>took the opportunity to provide response</w:t>
      </w:r>
      <w:r w:rsidR="1C1E81D6" w:rsidRPr="003B08B1">
        <w:t>s</w:t>
      </w:r>
      <w:r w:rsidR="1C1E81D6" w:rsidRPr="3A93DC59">
        <w:t xml:space="preserve"> to be included in </w:t>
      </w:r>
      <w:r w:rsidR="1C1E81D6" w:rsidRPr="002D6B6B">
        <w:t xml:space="preserve">Appendix </w:t>
      </w:r>
      <w:r w:rsidR="505AD9B3" w:rsidRPr="002D6B6B">
        <w:t>C</w:t>
      </w:r>
      <w:r w:rsidR="1C1E81D6" w:rsidRPr="3A93DC59">
        <w:t>.</w:t>
      </w:r>
    </w:p>
    <w:p w14:paraId="422FAD55" w14:textId="77777777" w:rsidR="00C13137" w:rsidRDefault="00C13137" w:rsidP="00643BFC">
      <w:pPr>
        <w:pStyle w:val="Heading2TOR"/>
      </w:pPr>
      <w:bookmarkStart w:id="460" w:name="_Toc160180326"/>
      <w:bookmarkStart w:id="461" w:name="_Toc160634439"/>
      <w:bookmarkStart w:id="462" w:name="_Toc161909392"/>
      <w:bookmarkStart w:id="463" w:name="_Toc184816230"/>
      <w:bookmarkStart w:id="464" w:name="_Toc210306639"/>
      <w:bookmarkStart w:id="465" w:name="_Toc210317465"/>
      <w:bookmarkStart w:id="466" w:name="_Toc210815619"/>
      <w:r>
        <w:t>National School Resourcing Board members</w:t>
      </w:r>
      <w:bookmarkEnd w:id="460"/>
      <w:bookmarkEnd w:id="461"/>
      <w:bookmarkEnd w:id="462"/>
      <w:bookmarkEnd w:id="463"/>
      <w:bookmarkEnd w:id="464"/>
      <w:bookmarkEnd w:id="465"/>
      <w:bookmarkEnd w:id="466"/>
    </w:p>
    <w:p w14:paraId="06374C65" w14:textId="4A2BF479" w:rsidR="009E6696" w:rsidRPr="00A91148" w:rsidRDefault="00CB58C9" w:rsidP="007B77A8">
      <w:r>
        <w:t>Professor Bronwyn Fredericks (</w:t>
      </w:r>
      <w:r w:rsidR="00884FB4">
        <w:t xml:space="preserve">Deputy </w:t>
      </w:r>
      <w:r>
        <w:t>Chair)</w:t>
      </w:r>
      <w:r w:rsidR="002D6B6B">
        <w:tab/>
      </w:r>
      <w:r w:rsidR="002D6B6B">
        <w:tab/>
      </w:r>
      <w:r w:rsidR="002D6B6B" w:rsidRPr="00511A21">
        <w:t>Professor John Firth</w:t>
      </w:r>
      <w:r>
        <w:br/>
        <w:t>Professor Janet Clinton</w:t>
      </w:r>
      <w:r w:rsidR="00FD3F41">
        <w:tab/>
      </w:r>
      <w:r w:rsidR="00FD3F41">
        <w:tab/>
      </w:r>
      <w:r w:rsidR="00FD3F41">
        <w:tab/>
      </w:r>
      <w:r w:rsidR="00FD3F41">
        <w:tab/>
      </w:r>
      <w:r w:rsidR="00FD3F41">
        <w:tab/>
      </w:r>
      <w:r w:rsidR="00FD3F41" w:rsidRPr="00511A21">
        <w:t>Professor Lee Anne Perry AM</w:t>
      </w:r>
      <w:r>
        <w:br/>
        <w:t>Ms Valerie Goul</w:t>
      </w:r>
      <w:r w:rsidR="00474B26">
        <w:t>d</w:t>
      </w:r>
      <w:r w:rsidR="00FD3F41">
        <w:tab/>
      </w:r>
      <w:r w:rsidR="00FD3F41">
        <w:tab/>
      </w:r>
      <w:r w:rsidR="00FD3F41">
        <w:tab/>
      </w:r>
      <w:r w:rsidR="00FD3F41">
        <w:tab/>
      </w:r>
      <w:r w:rsidR="00FD3F41">
        <w:tab/>
      </w:r>
      <w:r w:rsidR="00FD3F41" w:rsidRPr="00511A21">
        <w:t>Professor Andrew Whitehouse</w:t>
      </w:r>
      <w:r w:rsidR="00474B26">
        <w:br/>
      </w:r>
    </w:p>
    <w:p w14:paraId="064AB1CE" w14:textId="77777777" w:rsidR="008A09B9" w:rsidRDefault="008A09B9" w:rsidP="00643BFC">
      <w:pPr>
        <w:pStyle w:val="Heading2TOR"/>
      </w:pPr>
      <w:bookmarkStart w:id="467" w:name="_Toc160180327"/>
      <w:bookmarkStart w:id="468" w:name="_Toc160634440"/>
      <w:bookmarkStart w:id="469" w:name="_Toc161909393"/>
      <w:bookmarkStart w:id="470" w:name="_Toc184816231"/>
      <w:bookmarkStart w:id="471" w:name="_Toc210306640"/>
      <w:bookmarkStart w:id="472" w:name="_Toc210317466"/>
      <w:bookmarkStart w:id="473" w:name="_Toc210815620"/>
      <w:r>
        <w:t>Expert financial audit advisor</w:t>
      </w:r>
      <w:bookmarkEnd w:id="467"/>
      <w:bookmarkEnd w:id="468"/>
      <w:bookmarkEnd w:id="469"/>
      <w:bookmarkEnd w:id="470"/>
      <w:bookmarkEnd w:id="471"/>
      <w:bookmarkEnd w:id="472"/>
      <w:bookmarkEnd w:id="473"/>
    </w:p>
    <w:p w14:paraId="7A93ED78" w14:textId="386F7750" w:rsidR="008A09B9" w:rsidRDefault="714614E7" w:rsidP="421ADA8C">
      <w:r w:rsidRPr="3A93DC59">
        <w:t xml:space="preserve">The Board acknowledges and thanks </w:t>
      </w:r>
      <w:r w:rsidR="770132F7" w:rsidRPr="3A93DC59">
        <w:t>BellchambersBarrett for their</w:t>
      </w:r>
      <w:r w:rsidRPr="3A93DC59">
        <w:t xml:space="preserve"> advice and assistance with the conduct of this review.</w:t>
      </w:r>
    </w:p>
    <w:p w14:paraId="180A194B" w14:textId="77777777" w:rsidR="00C13137" w:rsidRDefault="00C13137" w:rsidP="00643BFC">
      <w:pPr>
        <w:pStyle w:val="Heading2TOR"/>
      </w:pPr>
      <w:bookmarkStart w:id="474" w:name="_Toc160180328"/>
      <w:bookmarkStart w:id="475" w:name="_Toc160634441"/>
      <w:bookmarkStart w:id="476" w:name="_Toc161909394"/>
      <w:bookmarkStart w:id="477" w:name="_Toc184816232"/>
      <w:bookmarkStart w:id="478" w:name="_Toc210306641"/>
      <w:bookmarkStart w:id="479" w:name="_Toc210317467"/>
      <w:bookmarkStart w:id="480" w:name="_Toc210815621"/>
      <w:r>
        <w:t>Review Secretariat</w:t>
      </w:r>
      <w:bookmarkEnd w:id="474"/>
      <w:bookmarkEnd w:id="475"/>
      <w:bookmarkEnd w:id="476"/>
      <w:bookmarkEnd w:id="477"/>
      <w:bookmarkEnd w:id="478"/>
      <w:bookmarkEnd w:id="479"/>
      <w:bookmarkEnd w:id="480"/>
    </w:p>
    <w:p w14:paraId="5497B802" w14:textId="5A3FD519" w:rsidR="004D7758" w:rsidRDefault="00C13137" w:rsidP="00C13137">
      <w:r>
        <w:t xml:space="preserve">A secretariat from the Australian Government Department of Education supported the Board in the conduct of its business and the review process. </w:t>
      </w:r>
    </w:p>
    <w:p w14:paraId="768DEB4A" w14:textId="2687C91B" w:rsidR="00342DBA" w:rsidRDefault="770132F7" w:rsidP="421ADA8C">
      <w:r w:rsidRPr="78B0A025">
        <w:t>Ms Helen Stitt</w:t>
      </w:r>
      <w:r w:rsidR="130801E7" w:rsidRPr="78B0A025">
        <w:t>, Assistant Secretary</w:t>
      </w:r>
      <w:r w:rsidR="7F684C4D" w:rsidRPr="78B0A025">
        <w:t xml:space="preserve"> </w:t>
      </w:r>
      <w:r>
        <w:tab/>
      </w:r>
      <w:r>
        <w:tab/>
      </w:r>
      <w:r w:rsidR="7F684C4D" w:rsidRPr="78B0A025">
        <w:t xml:space="preserve">Ms Emma Freeman, </w:t>
      </w:r>
      <w:r w:rsidR="004B332A">
        <w:t xml:space="preserve">Acting </w:t>
      </w:r>
      <w:r w:rsidR="004B332A" w:rsidRPr="78B0A025">
        <w:t>Assistant Secretary</w:t>
      </w:r>
      <w:r>
        <w:br/>
      </w:r>
      <w:r w:rsidR="00A56586">
        <w:t xml:space="preserve">Ms </w:t>
      </w:r>
      <w:r w:rsidR="00A56586" w:rsidRPr="00EE32CD">
        <w:t>Jessica Overdijk</w:t>
      </w:r>
      <w:r w:rsidR="00A56586">
        <w:t xml:space="preserve">, acting </w:t>
      </w:r>
      <w:r w:rsidR="00A56586" w:rsidRPr="78B0A025">
        <w:t xml:space="preserve">Director </w:t>
      </w:r>
      <w:r w:rsidR="00A56586">
        <w:tab/>
      </w:r>
      <w:r w:rsidR="00A56586">
        <w:tab/>
      </w:r>
      <w:r w:rsidR="10C91F93" w:rsidRPr="78B0A025">
        <w:t>Ms June Fan, Assistant Director</w:t>
      </w:r>
      <w:r w:rsidR="00EA79BD">
        <w:br/>
      </w:r>
      <w:r w:rsidR="00CC08FE" w:rsidRPr="78B0A025">
        <w:t>Ms Jeanie Mackinder, Assistant Director</w:t>
      </w:r>
      <w:r w:rsidR="00CC08FE" w:rsidRPr="78B0A025" w:rsidDel="00F8288D">
        <w:t xml:space="preserve"> </w:t>
      </w:r>
      <w:r>
        <w:tab/>
      </w:r>
      <w:r w:rsidR="10C91F93" w:rsidRPr="78B0A025">
        <w:t xml:space="preserve">Ms </w:t>
      </w:r>
      <w:r w:rsidR="403989EF" w:rsidRPr="78B0A025">
        <w:t>Anne Perusco</w:t>
      </w:r>
      <w:r w:rsidR="58552BCE" w:rsidRPr="78B0A025">
        <w:t>, Assistant Director</w:t>
      </w:r>
      <w:r>
        <w:br/>
      </w:r>
      <w:r w:rsidR="00F8288D" w:rsidRPr="78B0A025">
        <w:t>Ms Sophie Jacobs</w:t>
      </w:r>
      <w:r w:rsidR="00F8288D">
        <w:t>e</w:t>
      </w:r>
      <w:r w:rsidR="00F8288D" w:rsidRPr="78B0A025">
        <w:t xml:space="preserve">n, Assistant Director </w:t>
      </w:r>
      <w:r w:rsidR="00CC08FE">
        <w:tab/>
      </w:r>
      <w:r w:rsidR="00CC08FE">
        <w:tab/>
      </w:r>
      <w:r w:rsidR="1721C8DD" w:rsidRPr="78B0A025">
        <w:t>Mr Tom Zeit</w:t>
      </w:r>
      <w:r w:rsidR="0A6BA10B" w:rsidRPr="78B0A025">
        <w:t xml:space="preserve">lhofer, </w:t>
      </w:r>
      <w:r w:rsidR="416D008F" w:rsidRPr="78B0A025">
        <w:t>Policy Officer</w:t>
      </w:r>
    </w:p>
    <w:p w14:paraId="48A6D7DA" w14:textId="7591F8DD" w:rsidR="00AA4FAA" w:rsidRDefault="00AA4FAA" w:rsidP="0031721E">
      <w:pPr>
        <w:spacing w:after="0"/>
      </w:pPr>
    </w:p>
    <w:p w14:paraId="21411121" w14:textId="593AE235" w:rsidR="004D7758" w:rsidRDefault="004D7758" w:rsidP="000C28EE">
      <w:r>
        <w:br w:type="page"/>
      </w:r>
    </w:p>
    <w:p w14:paraId="0F6A5E8F" w14:textId="4718BAC7" w:rsidR="00AC53A7" w:rsidRDefault="00AC53A7" w:rsidP="00AC53A7">
      <w:pPr>
        <w:pStyle w:val="Heading1"/>
      </w:pPr>
      <w:bookmarkStart w:id="481" w:name="_Ref190331162"/>
      <w:bookmarkStart w:id="482" w:name="_Toc210815622"/>
      <w:bookmarkStart w:id="483" w:name="_Toc37253838"/>
      <w:bookmarkStart w:id="484" w:name="_Ref97035900"/>
      <w:bookmarkStart w:id="485" w:name="_Toc160180120"/>
      <w:r>
        <w:lastRenderedPageBreak/>
        <w:t xml:space="preserve">Appendix C – State and </w:t>
      </w:r>
      <w:r w:rsidR="00560844">
        <w:t>t</w:t>
      </w:r>
      <w:r>
        <w:t>erritory responses</w:t>
      </w:r>
      <w:bookmarkEnd w:id="481"/>
      <w:bookmarkEnd w:id="482"/>
    </w:p>
    <w:p w14:paraId="43BA00BD" w14:textId="06D6F982" w:rsidR="00AC53A7" w:rsidRDefault="00D215A8" w:rsidP="000D7279">
      <w:pPr>
        <w:pStyle w:val="Heading3"/>
      </w:pPr>
      <w:bookmarkStart w:id="486" w:name="_Toc210306643"/>
      <w:bookmarkStart w:id="487" w:name="_Toc210317469"/>
      <w:bookmarkStart w:id="488" w:name="_Toc210815623"/>
      <w:r>
        <w:t>North</w:t>
      </w:r>
      <w:r w:rsidR="000D7279">
        <w:t>ern Territory</w:t>
      </w:r>
      <w:bookmarkEnd w:id="486"/>
      <w:bookmarkEnd w:id="487"/>
      <w:bookmarkEnd w:id="488"/>
    </w:p>
    <w:p w14:paraId="2901CE1D" w14:textId="7F914D2F" w:rsidR="000D7279" w:rsidRDefault="000D7279" w:rsidP="00AC53A7">
      <w:r>
        <w:t>Response from the</w:t>
      </w:r>
      <w:r w:rsidR="00C67F1E">
        <w:t xml:space="preserve"> Minister for Education, </w:t>
      </w:r>
      <w:r w:rsidR="004A3F77" w:rsidRPr="004A3F77">
        <w:t>Hon Jo Hersey MLA</w:t>
      </w:r>
    </w:p>
    <w:p w14:paraId="648A3E52" w14:textId="423AD9CA" w:rsidR="004A3F77" w:rsidRDefault="001E229A" w:rsidP="00E9669F">
      <w:pPr>
        <w:pStyle w:val="ListBullet"/>
      </w:pPr>
      <w:r>
        <w:t>For the 2023 funding year, the Northern Territory (NT) met its Bilateral Agreement required share of the Schooling Resourc</w:t>
      </w:r>
      <w:r w:rsidR="007C324E">
        <w:t>e</w:t>
      </w:r>
      <w:r>
        <w:t xml:space="preserve"> Standard (SRS) for the non-government schooling sector.</w:t>
      </w:r>
    </w:p>
    <w:p w14:paraId="1A4C0C5E" w14:textId="011C43E5" w:rsidR="005F0C03" w:rsidRDefault="005F0C03" w:rsidP="00E9669F">
      <w:pPr>
        <w:pStyle w:val="ListBullet"/>
      </w:pPr>
      <w:r>
        <w:t>For the 2023 funding year, the Northern Territory repo</w:t>
      </w:r>
      <w:r w:rsidR="00F31DFF">
        <w:t>rted a funding contribution lower than the required share of the SRS (59%) under its bilateral agreement (by 1.64%)</w:t>
      </w:r>
      <w:r w:rsidR="007C324E">
        <w:t xml:space="preserve"> [for the government schooling sector]</w:t>
      </w:r>
      <w:r w:rsidR="00F31DFF">
        <w:t>.</w:t>
      </w:r>
    </w:p>
    <w:p w14:paraId="2574A9D8" w14:textId="59662996" w:rsidR="00F31DFF" w:rsidRDefault="00F31DFF" w:rsidP="00E9669F">
      <w:pPr>
        <w:pStyle w:val="ListBullet"/>
      </w:pPr>
      <w:r>
        <w:t>The NT reports its SRS contribution on the expenditure methodology which is impacted by a range of external factors outside the control of the jurisdiction. The NT notes that other jurisdictions report on the allocation methodology.</w:t>
      </w:r>
    </w:p>
    <w:p w14:paraId="159D8B0E" w14:textId="053D90E4" w:rsidR="00F31DFF" w:rsidRDefault="00B01963" w:rsidP="00E9669F">
      <w:pPr>
        <w:pStyle w:val="ListBullet"/>
      </w:pPr>
      <w:r>
        <w:t xml:space="preserve">When </w:t>
      </w:r>
      <w:proofErr w:type="gramStart"/>
      <w:r>
        <w:t>taking into account</w:t>
      </w:r>
      <w:proofErr w:type="gramEnd"/>
      <w:r>
        <w:t xml:space="preserve"> the schools and support services employee under</w:t>
      </w:r>
      <w:r w:rsidR="002D00A9">
        <w:t xml:space="preserve">spends against the NTs approved </w:t>
      </w:r>
      <w:r w:rsidR="00BE398A">
        <w:t>‘</w:t>
      </w:r>
      <w:r w:rsidR="002D00A9">
        <w:t>in scope</w:t>
      </w:r>
      <w:r w:rsidR="00BE398A">
        <w:t>’</w:t>
      </w:r>
      <w:r w:rsidR="002D00A9">
        <w:t xml:space="preserve"> bud</w:t>
      </w:r>
      <w:r w:rsidR="00E9669F">
        <w:t>g</w:t>
      </w:r>
      <w:r w:rsidR="002D00A9">
        <w:t>et, a factor largely outside the control of the Territory, and with the inclusion of the immaterial allowance, the NT would have been complian</w:t>
      </w:r>
      <w:r w:rsidR="00E9669F">
        <w:t>t with the required SRS contribution.</w:t>
      </w:r>
    </w:p>
    <w:p w14:paraId="53393079" w14:textId="64BB46F9" w:rsidR="00EC3863" w:rsidRDefault="00EC3863">
      <w:pPr>
        <w:spacing w:before="0" w:after="160"/>
      </w:pPr>
      <w:r>
        <w:br w:type="page"/>
      </w:r>
    </w:p>
    <w:p w14:paraId="7F9EB298" w14:textId="6B12D4F0" w:rsidR="001E229A" w:rsidRDefault="00EC3863" w:rsidP="00EC3863">
      <w:pPr>
        <w:pStyle w:val="Heading3"/>
      </w:pPr>
      <w:bookmarkStart w:id="489" w:name="_Toc210306644"/>
      <w:bookmarkStart w:id="490" w:name="_Toc210317470"/>
      <w:bookmarkStart w:id="491" w:name="_Toc210815624"/>
      <w:r>
        <w:lastRenderedPageBreak/>
        <w:t>Victoria</w:t>
      </w:r>
      <w:bookmarkEnd w:id="489"/>
      <w:bookmarkEnd w:id="490"/>
      <w:bookmarkEnd w:id="491"/>
    </w:p>
    <w:p w14:paraId="5B540C07" w14:textId="715424D4" w:rsidR="00EC3863" w:rsidRDefault="003C4EEF" w:rsidP="00AC53A7">
      <w:r w:rsidRPr="003C4EEF">
        <w:rPr>
          <w:noProof/>
        </w:rPr>
        <w:drawing>
          <wp:inline distT="0" distB="0" distL="0" distR="0" wp14:anchorId="4415D8B2" wp14:editId="7C9C7DA7">
            <wp:extent cx="5759450" cy="8151495"/>
            <wp:effectExtent l="0" t="0" r="0" b="1905"/>
            <wp:docPr id="901879869" name="Picture 1" descr="A letter of a pap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79869" name="Picture 1" descr="A letter of a paper with text&#10;&#10;AI-generated content may be incorrect."/>
                    <pic:cNvPicPr/>
                  </pic:nvPicPr>
                  <pic:blipFill>
                    <a:blip r:embed="rId38"/>
                    <a:stretch>
                      <a:fillRect/>
                    </a:stretch>
                  </pic:blipFill>
                  <pic:spPr>
                    <a:xfrm>
                      <a:off x="0" y="0"/>
                      <a:ext cx="5759450" cy="8151495"/>
                    </a:xfrm>
                    <a:prstGeom prst="rect">
                      <a:avLst/>
                    </a:prstGeom>
                  </pic:spPr>
                </pic:pic>
              </a:graphicData>
            </a:graphic>
          </wp:inline>
        </w:drawing>
      </w:r>
    </w:p>
    <w:p w14:paraId="3AC51CFA" w14:textId="40B8D4FD" w:rsidR="003C4EEF" w:rsidRDefault="00FE576A" w:rsidP="00AC53A7">
      <w:r w:rsidRPr="00FE576A">
        <w:rPr>
          <w:noProof/>
        </w:rPr>
        <w:lastRenderedPageBreak/>
        <w:drawing>
          <wp:inline distT="0" distB="0" distL="0" distR="0" wp14:anchorId="0DCFB818" wp14:editId="54299173">
            <wp:extent cx="5759450" cy="8114030"/>
            <wp:effectExtent l="0" t="0" r="0" b="1270"/>
            <wp:docPr id="1925803485" name="Picture 1"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03485" name="Picture 1" descr="A close-up of a letter&#10;&#10;AI-generated content may be incorrect."/>
                    <pic:cNvPicPr/>
                  </pic:nvPicPr>
                  <pic:blipFill>
                    <a:blip r:embed="rId39"/>
                    <a:stretch>
                      <a:fillRect/>
                    </a:stretch>
                  </pic:blipFill>
                  <pic:spPr>
                    <a:xfrm>
                      <a:off x="0" y="0"/>
                      <a:ext cx="5759450" cy="8114030"/>
                    </a:xfrm>
                    <a:prstGeom prst="rect">
                      <a:avLst/>
                    </a:prstGeom>
                  </pic:spPr>
                </pic:pic>
              </a:graphicData>
            </a:graphic>
          </wp:inline>
        </w:drawing>
      </w:r>
    </w:p>
    <w:p w14:paraId="171F5FB9" w14:textId="77777777" w:rsidR="00AC53A7" w:rsidRPr="004A3F77" w:rsidRDefault="00AC53A7" w:rsidP="004A3F77">
      <w:r>
        <w:br w:type="page"/>
      </w:r>
    </w:p>
    <w:p w14:paraId="2C16CA79" w14:textId="6FF9A04A" w:rsidR="00C13137" w:rsidRDefault="00C13137" w:rsidP="00C13137">
      <w:pPr>
        <w:pStyle w:val="Heading1"/>
      </w:pPr>
      <w:bookmarkStart w:id="492" w:name="_Ref190334167"/>
      <w:bookmarkStart w:id="493" w:name="_Toc210815625"/>
      <w:r>
        <w:lastRenderedPageBreak/>
        <w:t xml:space="preserve">Appendix </w:t>
      </w:r>
      <w:r w:rsidR="00AC53A7">
        <w:t>D</w:t>
      </w:r>
      <w:r w:rsidR="00BB3264">
        <w:t xml:space="preserve"> </w:t>
      </w:r>
      <w:r w:rsidR="00C33EE0">
        <w:t>–</w:t>
      </w:r>
      <w:r w:rsidR="00A41235">
        <w:t xml:space="preserve"> </w:t>
      </w:r>
      <w:bookmarkEnd w:id="483"/>
      <w:r w:rsidR="003523AB">
        <w:t xml:space="preserve">Guidance to </w:t>
      </w:r>
      <w:r w:rsidR="00A51EC0">
        <w:t>r</w:t>
      </w:r>
      <w:r w:rsidR="003523AB">
        <w:t>e</w:t>
      </w:r>
      <w:r w:rsidR="00A51EC0">
        <w:t>porting</w:t>
      </w:r>
      <w:r w:rsidR="003523AB">
        <w:t xml:space="preserve"> state and territory funding contribution requirements</w:t>
      </w:r>
      <w:bookmarkEnd w:id="484"/>
      <w:bookmarkEnd w:id="485"/>
      <w:bookmarkEnd w:id="492"/>
      <w:bookmarkEnd w:id="493"/>
    </w:p>
    <w:p w14:paraId="412CF11F" w14:textId="573F26B1" w:rsidR="001A7204" w:rsidRDefault="00F544C7" w:rsidP="00054D64">
      <w:pPr>
        <w:jc w:val="center"/>
      </w:pPr>
      <w:r>
        <w:rPr>
          <w:noProof/>
        </w:rPr>
        <w:drawing>
          <wp:inline distT="0" distB="0" distL="0" distR="0" wp14:anchorId="2CBC46B8" wp14:editId="554430DA">
            <wp:extent cx="4935600" cy="6930000"/>
            <wp:effectExtent l="0" t="0" r="0" b="4445"/>
            <wp:docPr id="640209839" name="Picture 1" descr="A cover of a repor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09839" name="Picture 1" descr="A cover of a report&#10;&#10;Online version can be found at https://www.education.gov.au/australian-education-act-2013/resources/guidance-reporting-state-and-territory-funding-contribution-requirements"/>
                    <pic:cNvPicPr/>
                  </pic:nvPicPr>
                  <pic:blipFill>
                    <a:blip r:embed="rId40">
                      <a:extLst>
                        <a:ext uri="{28A0092B-C50C-407E-A947-70E740481C1C}">
                          <a14:useLocalDpi xmlns:a14="http://schemas.microsoft.com/office/drawing/2010/main" val="0"/>
                        </a:ext>
                      </a:extLst>
                    </a:blip>
                    <a:stretch>
                      <a:fillRect/>
                    </a:stretch>
                  </pic:blipFill>
                  <pic:spPr>
                    <a:xfrm>
                      <a:off x="0" y="0"/>
                      <a:ext cx="4935600" cy="6930000"/>
                    </a:xfrm>
                    <a:prstGeom prst="rect">
                      <a:avLst/>
                    </a:prstGeom>
                  </pic:spPr>
                </pic:pic>
              </a:graphicData>
            </a:graphic>
          </wp:inline>
        </w:drawing>
      </w:r>
      <w:r w:rsidR="00AB0570">
        <w:br w:type="page"/>
      </w:r>
    </w:p>
    <w:p w14:paraId="5FE99B9D" w14:textId="6B1C168A" w:rsidR="00000810" w:rsidRDefault="00000810" w:rsidP="00054D64">
      <w:pPr>
        <w:jc w:val="center"/>
      </w:pPr>
    </w:p>
    <w:p w14:paraId="2804230B" w14:textId="3CF2D5A5" w:rsidR="001A7204" w:rsidRDefault="00F544C7" w:rsidP="000C28EE">
      <w:r>
        <w:rPr>
          <w:noProof/>
        </w:rPr>
        <w:drawing>
          <wp:inline distT="0" distB="0" distL="0" distR="0" wp14:anchorId="4AFAFC6C" wp14:editId="6346B468">
            <wp:extent cx="5781600" cy="8236800"/>
            <wp:effectExtent l="0" t="0" r="0" b="0"/>
            <wp:docPr id="1159981160" name="Picture 2" descr="A document with text on it&#10;&#10;Online version can be found at https://www.education.gov.au/australian-education-act-2013/resources/guidance-reporting-state-and-territory-funding-contribution-require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981160" name="Picture 2" descr="A document with text on it&#10;&#10;Online version can be found at https://www.education.gov.au/australian-education-act-2013/resources/guidance-reporting-state-and-territory-funding-contribution-requirements&#10;"/>
                    <pic:cNvPicPr/>
                  </pic:nvPicPr>
                  <pic:blipFill>
                    <a:blip r:embed="rId41">
                      <a:extLst>
                        <a:ext uri="{28A0092B-C50C-407E-A947-70E740481C1C}">
                          <a14:useLocalDpi xmlns:a14="http://schemas.microsoft.com/office/drawing/2010/main" val="0"/>
                        </a:ext>
                      </a:extLst>
                    </a:blip>
                    <a:stretch>
                      <a:fillRect/>
                    </a:stretch>
                  </pic:blipFill>
                  <pic:spPr>
                    <a:xfrm>
                      <a:off x="0" y="0"/>
                      <a:ext cx="5781600" cy="8236800"/>
                    </a:xfrm>
                    <a:prstGeom prst="rect">
                      <a:avLst/>
                    </a:prstGeom>
                  </pic:spPr>
                </pic:pic>
              </a:graphicData>
            </a:graphic>
          </wp:inline>
        </w:drawing>
      </w:r>
      <w:r w:rsidR="001A7204">
        <w:br w:type="page"/>
      </w:r>
    </w:p>
    <w:p w14:paraId="1735C136" w14:textId="57F0D350" w:rsidR="001A7204" w:rsidRDefault="00F544C7" w:rsidP="000C28EE">
      <w:r>
        <w:rPr>
          <w:noProof/>
        </w:rPr>
        <w:lastRenderedPageBreak/>
        <w:drawing>
          <wp:inline distT="0" distB="0" distL="0" distR="0" wp14:anchorId="4CE78060" wp14:editId="4242F511">
            <wp:extent cx="5792400" cy="8197200"/>
            <wp:effectExtent l="0" t="0" r="0" b="0"/>
            <wp:docPr id="431677722" name="Picture 3"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77722" name="Picture 3" descr="A document with text on it&#10;&#10;Online version can be found at https://www.education.gov.au/australian-education-act-2013/resources/guidance-reporting-state-and-territory-funding-contribution-requirements"/>
                    <pic:cNvPicPr/>
                  </pic:nvPicPr>
                  <pic:blipFill>
                    <a:blip r:embed="rId42">
                      <a:extLst>
                        <a:ext uri="{28A0092B-C50C-407E-A947-70E740481C1C}">
                          <a14:useLocalDpi xmlns:a14="http://schemas.microsoft.com/office/drawing/2010/main" val="0"/>
                        </a:ext>
                      </a:extLst>
                    </a:blip>
                    <a:stretch>
                      <a:fillRect/>
                    </a:stretch>
                  </pic:blipFill>
                  <pic:spPr>
                    <a:xfrm>
                      <a:off x="0" y="0"/>
                      <a:ext cx="5792400" cy="8197200"/>
                    </a:xfrm>
                    <a:prstGeom prst="rect">
                      <a:avLst/>
                    </a:prstGeom>
                  </pic:spPr>
                </pic:pic>
              </a:graphicData>
            </a:graphic>
          </wp:inline>
        </w:drawing>
      </w:r>
      <w:r w:rsidR="001A7204">
        <w:br w:type="page"/>
      </w:r>
    </w:p>
    <w:p w14:paraId="5C5D437D" w14:textId="1F51C7C6" w:rsidR="001A7204" w:rsidRDefault="00F544C7" w:rsidP="000C28EE">
      <w:r>
        <w:rPr>
          <w:noProof/>
        </w:rPr>
        <w:lastRenderedPageBreak/>
        <w:drawing>
          <wp:inline distT="0" distB="0" distL="0" distR="0" wp14:anchorId="1F69C8E7" wp14:editId="2A40B7FF">
            <wp:extent cx="5785200" cy="8236800"/>
            <wp:effectExtent l="0" t="0" r="6350" b="0"/>
            <wp:docPr id="72029808" name="Picture 4"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9808" name="Picture 4" descr="A document with text on it&#10;&#10;Online version can be found at https://www.education.gov.au/australian-education-act-2013/resources/guidance-reporting-state-and-territory-funding-contribution-requirements"/>
                    <pic:cNvPicPr/>
                  </pic:nvPicPr>
                  <pic:blipFill>
                    <a:blip r:embed="rId43">
                      <a:extLst>
                        <a:ext uri="{28A0092B-C50C-407E-A947-70E740481C1C}">
                          <a14:useLocalDpi xmlns:a14="http://schemas.microsoft.com/office/drawing/2010/main" val="0"/>
                        </a:ext>
                      </a:extLst>
                    </a:blip>
                    <a:stretch>
                      <a:fillRect/>
                    </a:stretch>
                  </pic:blipFill>
                  <pic:spPr>
                    <a:xfrm>
                      <a:off x="0" y="0"/>
                      <a:ext cx="5785200" cy="8236800"/>
                    </a:xfrm>
                    <a:prstGeom prst="rect">
                      <a:avLst/>
                    </a:prstGeom>
                  </pic:spPr>
                </pic:pic>
              </a:graphicData>
            </a:graphic>
          </wp:inline>
        </w:drawing>
      </w:r>
      <w:r w:rsidR="001A7204">
        <w:br w:type="page"/>
      </w:r>
    </w:p>
    <w:p w14:paraId="10E1A22D" w14:textId="2FC5DA78" w:rsidR="001A7204" w:rsidRDefault="00F544C7" w:rsidP="000C28EE">
      <w:r>
        <w:rPr>
          <w:noProof/>
        </w:rPr>
        <w:lastRenderedPageBreak/>
        <w:drawing>
          <wp:inline distT="0" distB="0" distL="0" distR="0" wp14:anchorId="545AFC31" wp14:editId="55C6947F">
            <wp:extent cx="5832000" cy="8197200"/>
            <wp:effectExtent l="0" t="0" r="0" b="0"/>
            <wp:docPr id="932795072" name="Picture 5"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95072" name="Picture 5" descr="A document with text on it&#10;&#10;Online version can be found at https://www.education.gov.au/australian-education-act-2013/resources/guidance-reporting-state-and-territory-funding-contribution-requirements"/>
                    <pic:cNvPicPr/>
                  </pic:nvPicPr>
                  <pic:blipFill>
                    <a:blip r:embed="rId44">
                      <a:extLst>
                        <a:ext uri="{28A0092B-C50C-407E-A947-70E740481C1C}">
                          <a14:useLocalDpi xmlns:a14="http://schemas.microsoft.com/office/drawing/2010/main" val="0"/>
                        </a:ext>
                      </a:extLst>
                    </a:blip>
                    <a:stretch>
                      <a:fillRect/>
                    </a:stretch>
                  </pic:blipFill>
                  <pic:spPr>
                    <a:xfrm>
                      <a:off x="0" y="0"/>
                      <a:ext cx="5832000" cy="8197200"/>
                    </a:xfrm>
                    <a:prstGeom prst="rect">
                      <a:avLst/>
                    </a:prstGeom>
                  </pic:spPr>
                </pic:pic>
              </a:graphicData>
            </a:graphic>
          </wp:inline>
        </w:drawing>
      </w:r>
      <w:r w:rsidR="001A7204">
        <w:br w:type="page"/>
      </w:r>
    </w:p>
    <w:p w14:paraId="5AEBDB3B" w14:textId="11463ACA" w:rsidR="001A7204" w:rsidRDefault="00F544C7" w:rsidP="000C28EE">
      <w:r>
        <w:rPr>
          <w:noProof/>
        </w:rPr>
        <w:lastRenderedPageBreak/>
        <w:drawing>
          <wp:inline distT="0" distB="0" distL="0" distR="0" wp14:anchorId="4E4A21F0" wp14:editId="139AA7D6">
            <wp:extent cx="5781600" cy="8247600"/>
            <wp:effectExtent l="0" t="0" r="0" b="1270"/>
            <wp:docPr id="938485402" name="Picture 6"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85402" name="Picture 6" descr="A document with text on it&#10;&#10;Online version can be found at https://www.education.gov.au/australian-education-act-2013/resources/guidance-reporting-state-and-territory-funding-contribution-requirements"/>
                    <pic:cNvPicPr/>
                  </pic:nvPicPr>
                  <pic:blipFill>
                    <a:blip r:embed="rId45">
                      <a:extLst>
                        <a:ext uri="{28A0092B-C50C-407E-A947-70E740481C1C}">
                          <a14:useLocalDpi xmlns:a14="http://schemas.microsoft.com/office/drawing/2010/main" val="0"/>
                        </a:ext>
                      </a:extLst>
                    </a:blip>
                    <a:stretch>
                      <a:fillRect/>
                    </a:stretch>
                  </pic:blipFill>
                  <pic:spPr>
                    <a:xfrm>
                      <a:off x="0" y="0"/>
                      <a:ext cx="5781600" cy="8247600"/>
                    </a:xfrm>
                    <a:prstGeom prst="rect">
                      <a:avLst/>
                    </a:prstGeom>
                  </pic:spPr>
                </pic:pic>
              </a:graphicData>
            </a:graphic>
          </wp:inline>
        </w:drawing>
      </w:r>
      <w:r w:rsidR="001A7204">
        <w:br w:type="page"/>
      </w:r>
    </w:p>
    <w:p w14:paraId="24C4E916" w14:textId="0326E72D" w:rsidR="002C536A" w:rsidRDefault="00F544C7" w:rsidP="000C28EE">
      <w:r>
        <w:rPr>
          <w:noProof/>
        </w:rPr>
        <w:lastRenderedPageBreak/>
        <w:drawing>
          <wp:inline distT="0" distB="0" distL="0" distR="0" wp14:anchorId="067F6BAA" wp14:editId="50D30EB7">
            <wp:extent cx="5806800" cy="8258400"/>
            <wp:effectExtent l="0" t="0" r="3810" b="0"/>
            <wp:docPr id="1612836623" name="Picture 7"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36623" name="Picture 7" descr="A document with text on it&#10;&#10;Online version can be found at https://www.education.gov.au/australian-education-act-2013/resources/guidance-reporting-state-and-territory-funding-contribution-requirements"/>
                    <pic:cNvPicPr/>
                  </pic:nvPicPr>
                  <pic:blipFill>
                    <a:blip r:embed="rId46">
                      <a:extLst>
                        <a:ext uri="{28A0092B-C50C-407E-A947-70E740481C1C}">
                          <a14:useLocalDpi xmlns:a14="http://schemas.microsoft.com/office/drawing/2010/main" val="0"/>
                        </a:ext>
                      </a:extLst>
                    </a:blip>
                    <a:stretch>
                      <a:fillRect/>
                    </a:stretch>
                  </pic:blipFill>
                  <pic:spPr>
                    <a:xfrm>
                      <a:off x="0" y="0"/>
                      <a:ext cx="5806800" cy="8258400"/>
                    </a:xfrm>
                    <a:prstGeom prst="rect">
                      <a:avLst/>
                    </a:prstGeom>
                  </pic:spPr>
                </pic:pic>
              </a:graphicData>
            </a:graphic>
          </wp:inline>
        </w:drawing>
      </w:r>
      <w:r w:rsidR="001A7204">
        <w:br w:type="page"/>
      </w:r>
    </w:p>
    <w:p w14:paraId="5EF53BB1" w14:textId="7A2BB4B7" w:rsidR="002C536A" w:rsidRDefault="00F544C7" w:rsidP="00054D64">
      <w:pPr>
        <w:jc w:val="center"/>
      </w:pPr>
      <w:r>
        <w:rPr>
          <w:noProof/>
        </w:rPr>
        <w:lastRenderedPageBreak/>
        <w:drawing>
          <wp:inline distT="0" distB="0" distL="0" distR="0" wp14:anchorId="79C0C9A3" wp14:editId="120B3D3F">
            <wp:extent cx="5770800" cy="8247600"/>
            <wp:effectExtent l="0" t="0" r="1905" b="1270"/>
            <wp:docPr id="1519774886" name="Picture 8"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74886" name="Picture 8" descr="A document with text on it&#10;&#10;Online version can be found at https://www.education.gov.au/australian-education-act-2013/resources/guidance-reporting-state-and-territory-funding-contribution-requirements"/>
                    <pic:cNvPicPr/>
                  </pic:nvPicPr>
                  <pic:blipFill>
                    <a:blip r:embed="rId47">
                      <a:extLst>
                        <a:ext uri="{28A0092B-C50C-407E-A947-70E740481C1C}">
                          <a14:useLocalDpi xmlns:a14="http://schemas.microsoft.com/office/drawing/2010/main" val="0"/>
                        </a:ext>
                      </a:extLst>
                    </a:blip>
                    <a:stretch>
                      <a:fillRect/>
                    </a:stretch>
                  </pic:blipFill>
                  <pic:spPr>
                    <a:xfrm>
                      <a:off x="0" y="0"/>
                      <a:ext cx="5770800" cy="8247600"/>
                    </a:xfrm>
                    <a:prstGeom prst="rect">
                      <a:avLst/>
                    </a:prstGeom>
                  </pic:spPr>
                </pic:pic>
              </a:graphicData>
            </a:graphic>
          </wp:inline>
        </w:drawing>
      </w:r>
    </w:p>
    <w:p w14:paraId="1648AA09" w14:textId="77777777" w:rsidR="001A7204" w:rsidRDefault="001A7204" w:rsidP="001B1CBC">
      <w:pPr>
        <w:sectPr w:rsidR="001A7204" w:rsidSect="00DF260E">
          <w:headerReference w:type="even" r:id="rId48"/>
          <w:headerReference w:type="default" r:id="rId49"/>
          <w:footerReference w:type="default" r:id="rId50"/>
          <w:headerReference w:type="first" r:id="rId51"/>
          <w:pgSz w:w="11906" w:h="16838"/>
          <w:pgMar w:top="1134" w:right="1418" w:bottom="1701" w:left="1418" w:header="680" w:footer="357" w:gutter="0"/>
          <w:pgNumType w:start="1"/>
          <w:cols w:space="708"/>
          <w:docGrid w:linePitch="360"/>
        </w:sectPr>
      </w:pPr>
    </w:p>
    <w:p w14:paraId="617E5FB3" w14:textId="78ED635C" w:rsidR="001A7204" w:rsidRDefault="00F544C7" w:rsidP="00054D64">
      <w:pPr>
        <w:jc w:val="center"/>
      </w:pPr>
      <w:r>
        <w:rPr>
          <w:noProof/>
        </w:rPr>
        <w:lastRenderedPageBreak/>
        <w:drawing>
          <wp:inline distT="0" distB="0" distL="0" distR="0" wp14:anchorId="4609B097" wp14:editId="0F38C694">
            <wp:extent cx="8874000" cy="6224400"/>
            <wp:effectExtent l="0" t="0" r="3810" b="5080"/>
            <wp:docPr id="1613475050" name="Picture 9"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75050" name="Picture 9" descr="A document with text on it&#10;&#10;Online version can be found at https://www.education.gov.au/australian-education-act-2013/resources/guidance-reporting-state-and-territory-funding-contribution-requirements"/>
                    <pic:cNvPicPr/>
                  </pic:nvPicPr>
                  <pic:blipFill>
                    <a:blip r:embed="rId52">
                      <a:extLst>
                        <a:ext uri="{28A0092B-C50C-407E-A947-70E740481C1C}">
                          <a14:useLocalDpi xmlns:a14="http://schemas.microsoft.com/office/drawing/2010/main" val="0"/>
                        </a:ext>
                      </a:extLst>
                    </a:blip>
                    <a:stretch>
                      <a:fillRect/>
                    </a:stretch>
                  </pic:blipFill>
                  <pic:spPr>
                    <a:xfrm>
                      <a:off x="0" y="0"/>
                      <a:ext cx="8874000" cy="6224400"/>
                    </a:xfrm>
                    <a:prstGeom prst="rect">
                      <a:avLst/>
                    </a:prstGeom>
                  </pic:spPr>
                </pic:pic>
              </a:graphicData>
            </a:graphic>
          </wp:inline>
        </w:drawing>
      </w:r>
    </w:p>
    <w:p w14:paraId="6063CD97" w14:textId="677679B9" w:rsidR="00726951" w:rsidRDefault="00F544C7" w:rsidP="000C28EE">
      <w:pPr>
        <w:sectPr w:rsidR="00726951" w:rsidSect="00726951">
          <w:pgSz w:w="16838" w:h="11906" w:orient="landscape"/>
          <w:pgMar w:top="1418" w:right="1134" w:bottom="1418" w:left="1701" w:header="680" w:footer="357" w:gutter="0"/>
          <w:cols w:space="708"/>
          <w:docGrid w:linePitch="360"/>
        </w:sectPr>
      </w:pPr>
      <w:r>
        <w:rPr>
          <w:noProof/>
        </w:rPr>
        <w:lastRenderedPageBreak/>
        <w:drawing>
          <wp:inline distT="0" distB="0" distL="0" distR="0" wp14:anchorId="47288D24" wp14:editId="66C719E3">
            <wp:extent cx="8021169" cy="5687219"/>
            <wp:effectExtent l="0" t="0" r="0" b="8890"/>
            <wp:docPr id="1120277021" name="Picture 10"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77021" name="Picture 10" descr="A document with text on it&#10;&#10;Online version can be found at https://www.education.gov.au/australian-education-act-2013/resources/guidance-reporting-state-and-territory-funding-contribution-requirements"/>
                    <pic:cNvPicPr/>
                  </pic:nvPicPr>
                  <pic:blipFill>
                    <a:blip r:embed="rId53">
                      <a:extLst>
                        <a:ext uri="{28A0092B-C50C-407E-A947-70E740481C1C}">
                          <a14:useLocalDpi xmlns:a14="http://schemas.microsoft.com/office/drawing/2010/main" val="0"/>
                        </a:ext>
                      </a:extLst>
                    </a:blip>
                    <a:stretch>
                      <a:fillRect/>
                    </a:stretch>
                  </pic:blipFill>
                  <pic:spPr>
                    <a:xfrm>
                      <a:off x="0" y="0"/>
                      <a:ext cx="8021169" cy="5687219"/>
                    </a:xfrm>
                    <a:prstGeom prst="rect">
                      <a:avLst/>
                    </a:prstGeom>
                  </pic:spPr>
                </pic:pic>
              </a:graphicData>
            </a:graphic>
          </wp:inline>
        </w:drawing>
      </w:r>
    </w:p>
    <w:p w14:paraId="1988A4A7" w14:textId="005D6C34" w:rsidR="00CF4166" w:rsidRDefault="00F544C7" w:rsidP="00054D64">
      <w:pPr>
        <w:jc w:val="center"/>
      </w:pPr>
      <w:r>
        <w:rPr>
          <w:noProof/>
        </w:rPr>
        <w:lastRenderedPageBreak/>
        <w:drawing>
          <wp:inline distT="0" distB="0" distL="0" distR="0" wp14:anchorId="1B0CB067" wp14:editId="2D3EFEA8">
            <wp:extent cx="5688000" cy="8089200"/>
            <wp:effectExtent l="0" t="0" r="8255" b="7620"/>
            <wp:docPr id="393418086" name="Picture 11"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18086" name="Picture 11" descr="A document with text on it&#10;&#10;Online version can be found at https://www.education.gov.au/australian-education-act-2013/resources/guidance-reporting-state-and-territory-funding-contribution-requirements"/>
                    <pic:cNvPicPr/>
                  </pic:nvPicPr>
                  <pic:blipFill>
                    <a:blip r:embed="rId54">
                      <a:extLst>
                        <a:ext uri="{28A0092B-C50C-407E-A947-70E740481C1C}">
                          <a14:useLocalDpi xmlns:a14="http://schemas.microsoft.com/office/drawing/2010/main" val="0"/>
                        </a:ext>
                      </a:extLst>
                    </a:blip>
                    <a:stretch>
                      <a:fillRect/>
                    </a:stretch>
                  </pic:blipFill>
                  <pic:spPr>
                    <a:xfrm>
                      <a:off x="0" y="0"/>
                      <a:ext cx="5688000" cy="8089200"/>
                    </a:xfrm>
                    <a:prstGeom prst="rect">
                      <a:avLst/>
                    </a:prstGeom>
                  </pic:spPr>
                </pic:pic>
              </a:graphicData>
            </a:graphic>
          </wp:inline>
        </w:drawing>
      </w:r>
    </w:p>
    <w:p w14:paraId="59684BDF" w14:textId="692D4DBA" w:rsidR="00E052E6" w:rsidRDefault="00F544C7">
      <w:pPr>
        <w:spacing w:before="0" w:after="160"/>
      </w:pPr>
      <w:r>
        <w:rPr>
          <w:noProof/>
        </w:rPr>
        <w:lastRenderedPageBreak/>
        <w:drawing>
          <wp:inline distT="0" distB="0" distL="0" distR="0" wp14:anchorId="0A0BD062" wp14:editId="4D5BC7FE">
            <wp:extent cx="5715798" cy="8097380"/>
            <wp:effectExtent l="0" t="0" r="0" b="0"/>
            <wp:docPr id="1956098623" name="Picture 12"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98623" name="Picture 12" descr="A document with text on it&#10;&#10;Online version can be found at https://www.education.gov.au/australian-education-act-2013/resources/guidance-reporting-state-and-territory-funding-contribution-requirements"/>
                    <pic:cNvPicPr/>
                  </pic:nvPicPr>
                  <pic:blipFill>
                    <a:blip r:embed="rId55">
                      <a:extLst>
                        <a:ext uri="{28A0092B-C50C-407E-A947-70E740481C1C}">
                          <a14:useLocalDpi xmlns:a14="http://schemas.microsoft.com/office/drawing/2010/main" val="0"/>
                        </a:ext>
                      </a:extLst>
                    </a:blip>
                    <a:stretch>
                      <a:fillRect/>
                    </a:stretch>
                  </pic:blipFill>
                  <pic:spPr>
                    <a:xfrm>
                      <a:off x="0" y="0"/>
                      <a:ext cx="5715798" cy="8097380"/>
                    </a:xfrm>
                    <a:prstGeom prst="rect">
                      <a:avLst/>
                    </a:prstGeom>
                  </pic:spPr>
                </pic:pic>
              </a:graphicData>
            </a:graphic>
          </wp:inline>
        </w:drawing>
      </w:r>
      <w:r w:rsidR="00E052E6">
        <w:br w:type="page"/>
      </w:r>
    </w:p>
    <w:p w14:paraId="35120C9D" w14:textId="50CE3F16" w:rsidR="001077E3" w:rsidRDefault="00F544C7" w:rsidP="001B1CBC">
      <w:r>
        <w:rPr>
          <w:noProof/>
        </w:rPr>
        <w:lastRenderedPageBreak/>
        <w:drawing>
          <wp:inline distT="0" distB="0" distL="0" distR="0" wp14:anchorId="1356FEB8" wp14:editId="06C1831F">
            <wp:extent cx="5725324" cy="8097380"/>
            <wp:effectExtent l="0" t="0" r="8890" b="0"/>
            <wp:docPr id="886042082" name="Picture 13"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42082" name="Picture 13" descr="A document with text on it&#10;&#10;Online version can be found at https://www.education.gov.au/australian-education-act-2013/resources/guidance-reporting-state-and-territory-funding-contribution-requirements"/>
                    <pic:cNvPicPr/>
                  </pic:nvPicPr>
                  <pic:blipFill>
                    <a:blip r:embed="rId56">
                      <a:extLst>
                        <a:ext uri="{28A0092B-C50C-407E-A947-70E740481C1C}">
                          <a14:useLocalDpi xmlns:a14="http://schemas.microsoft.com/office/drawing/2010/main" val="0"/>
                        </a:ext>
                      </a:extLst>
                    </a:blip>
                    <a:stretch>
                      <a:fillRect/>
                    </a:stretch>
                  </pic:blipFill>
                  <pic:spPr>
                    <a:xfrm>
                      <a:off x="0" y="0"/>
                      <a:ext cx="5725324" cy="8097380"/>
                    </a:xfrm>
                    <a:prstGeom prst="rect">
                      <a:avLst/>
                    </a:prstGeom>
                  </pic:spPr>
                </pic:pic>
              </a:graphicData>
            </a:graphic>
          </wp:inline>
        </w:drawing>
      </w:r>
    </w:p>
    <w:p w14:paraId="72B6FC6A" w14:textId="2808A929" w:rsidR="003C6611" w:rsidRPr="00A764EA" w:rsidRDefault="003C6611" w:rsidP="00A764EA">
      <w:bookmarkStart w:id="494" w:name="_Toc37074401"/>
      <w:bookmarkStart w:id="495" w:name="_Toc37253840"/>
    </w:p>
    <w:p w14:paraId="034E1A7B" w14:textId="77777777" w:rsidR="00E1297E" w:rsidRDefault="00E1297E" w:rsidP="00C13137">
      <w:pPr>
        <w:pStyle w:val="Heading1"/>
        <w:sectPr w:rsidR="00E1297E" w:rsidSect="00726951">
          <w:pgSz w:w="11906" w:h="16838"/>
          <w:pgMar w:top="1134" w:right="1418" w:bottom="1701" w:left="1418" w:header="680" w:footer="357" w:gutter="0"/>
          <w:cols w:space="708"/>
          <w:docGrid w:linePitch="360"/>
        </w:sectPr>
      </w:pPr>
    </w:p>
    <w:p w14:paraId="5E439D0C" w14:textId="03F655B1" w:rsidR="00BB1634" w:rsidRPr="00654840" w:rsidRDefault="6D380C9F" w:rsidP="421ADA8C">
      <w:pPr>
        <w:pStyle w:val="Heading1"/>
      </w:pPr>
      <w:bookmarkStart w:id="496" w:name="_Toc118443622"/>
      <w:bookmarkStart w:id="497" w:name="_Toc160180121"/>
      <w:bookmarkStart w:id="498" w:name="_Ref190334274"/>
      <w:bookmarkStart w:id="499" w:name="_Toc210815626"/>
      <w:r w:rsidRPr="3A93DC59">
        <w:lastRenderedPageBreak/>
        <w:t xml:space="preserve">Appendix </w:t>
      </w:r>
      <w:r w:rsidR="58552BCE" w:rsidRPr="3A93DC59">
        <w:t>E</w:t>
      </w:r>
      <w:r w:rsidR="1858E8DF" w:rsidRPr="3A93DC59">
        <w:t xml:space="preserve"> </w:t>
      </w:r>
      <w:r w:rsidRPr="3A93DC59">
        <w:t>– Jurisdictions’ reporting</w:t>
      </w:r>
      <w:bookmarkEnd w:id="496"/>
      <w:bookmarkEnd w:id="497"/>
      <w:bookmarkEnd w:id="498"/>
      <w:r w:rsidR="003704DB">
        <w:rPr>
          <w:rStyle w:val="FootnoteReference"/>
        </w:rPr>
        <w:footnoteReference w:id="12"/>
      </w:r>
      <w:bookmarkEnd w:id="499"/>
      <w:r w:rsidRPr="3A93DC59">
        <w:t xml:space="preserve"> </w:t>
      </w:r>
    </w:p>
    <w:p w14:paraId="03BAFF33" w14:textId="647A336C" w:rsidR="00E9517A" w:rsidRPr="000E7C7F" w:rsidRDefault="008D6303" w:rsidP="000E7C7F">
      <w:pPr>
        <w:pStyle w:val="Heading3"/>
      </w:pPr>
      <w:bookmarkStart w:id="500" w:name="_Toc210306647"/>
      <w:bookmarkStart w:id="501" w:name="_Toc210317473"/>
      <w:bookmarkStart w:id="502" w:name="_Toc210815627"/>
      <w:bookmarkStart w:id="503" w:name="_Hlk158892075"/>
      <w:r>
        <w:t>Australian Capital Territory</w:t>
      </w:r>
      <w:bookmarkEnd w:id="500"/>
      <w:bookmarkEnd w:id="501"/>
      <w:bookmarkEnd w:id="5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6"/>
        <w:gridCol w:w="1720"/>
        <w:gridCol w:w="1501"/>
        <w:gridCol w:w="1720"/>
        <w:gridCol w:w="1497"/>
      </w:tblGrid>
      <w:tr w:rsidR="008D6303" w:rsidRPr="00654840" w14:paraId="1B4ECA07" w14:textId="77777777" w:rsidTr="003A62E6">
        <w:trPr>
          <w:trHeight w:val="411"/>
        </w:trPr>
        <w:tc>
          <w:tcPr>
            <w:tcW w:w="2346" w:type="dxa"/>
            <w:tcBorders>
              <w:bottom w:val="single" w:sz="4" w:space="0" w:color="auto"/>
            </w:tcBorders>
            <w:shd w:val="clear" w:color="auto" w:fill="FFFFFF" w:themeFill="background1"/>
            <w:vAlign w:val="center"/>
          </w:tcPr>
          <w:p w14:paraId="0F4BE6DF" w14:textId="12943074"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Funding</w:t>
            </w:r>
          </w:p>
        </w:tc>
        <w:tc>
          <w:tcPr>
            <w:tcW w:w="1720" w:type="dxa"/>
            <w:tcBorders>
              <w:bottom w:val="single" w:sz="4" w:space="0" w:color="auto"/>
            </w:tcBorders>
            <w:shd w:val="clear" w:color="auto" w:fill="FFFFFF" w:themeFill="background1"/>
            <w:vAlign w:val="center"/>
          </w:tcPr>
          <w:p w14:paraId="6DE4AECF" w14:textId="2E40C92D"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Government sector ($</w:t>
            </w:r>
            <w:r w:rsidR="00CE5FAD">
              <w:rPr>
                <w:rFonts w:eastAsia="Times New Roman" w:cs="Calibri"/>
                <w:b/>
                <w:bCs/>
                <w:color w:val="000000"/>
                <w:sz w:val="18"/>
                <w:szCs w:val="18"/>
                <w:lang w:eastAsia="en-AU"/>
              </w:rPr>
              <w:t>M</w:t>
            </w:r>
            <w:r w:rsidRPr="00654840">
              <w:rPr>
                <w:rFonts w:eastAsia="Times New Roman" w:cs="Calibri"/>
                <w:b/>
                <w:bCs/>
                <w:color w:val="000000"/>
                <w:sz w:val="18"/>
                <w:szCs w:val="18"/>
                <w:lang w:eastAsia="en-AU"/>
              </w:rPr>
              <w:t>)</w:t>
            </w:r>
          </w:p>
        </w:tc>
        <w:tc>
          <w:tcPr>
            <w:tcW w:w="1501" w:type="dxa"/>
            <w:tcBorders>
              <w:bottom w:val="single" w:sz="4" w:space="0" w:color="auto"/>
            </w:tcBorders>
            <w:shd w:val="clear" w:color="auto" w:fill="FFFFFF" w:themeFill="background1"/>
            <w:vAlign w:val="center"/>
          </w:tcPr>
          <w:p w14:paraId="79132512" w14:textId="188EA0B1"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Government sector %</w:t>
            </w:r>
          </w:p>
        </w:tc>
        <w:tc>
          <w:tcPr>
            <w:tcW w:w="1720" w:type="dxa"/>
            <w:tcBorders>
              <w:bottom w:val="single" w:sz="4" w:space="0" w:color="auto"/>
            </w:tcBorders>
            <w:shd w:val="clear" w:color="auto" w:fill="FFFFFF" w:themeFill="background1"/>
            <w:vAlign w:val="center"/>
          </w:tcPr>
          <w:p w14:paraId="6E8216B4" w14:textId="432A8AF7"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Non-government sector ($</w:t>
            </w:r>
            <w:r w:rsidR="00CE5FAD">
              <w:rPr>
                <w:rFonts w:eastAsia="Times New Roman" w:cs="Calibri"/>
                <w:b/>
                <w:bCs/>
                <w:color w:val="000000"/>
                <w:sz w:val="18"/>
                <w:szCs w:val="18"/>
                <w:lang w:eastAsia="en-AU"/>
              </w:rPr>
              <w:t>M</w:t>
            </w:r>
            <w:r w:rsidRPr="00654840">
              <w:rPr>
                <w:rFonts w:eastAsia="Times New Roman" w:cs="Calibri"/>
                <w:b/>
                <w:bCs/>
                <w:color w:val="000000"/>
                <w:sz w:val="18"/>
                <w:szCs w:val="18"/>
                <w:lang w:eastAsia="en-AU"/>
              </w:rPr>
              <w:t>)</w:t>
            </w:r>
          </w:p>
        </w:tc>
        <w:tc>
          <w:tcPr>
            <w:tcW w:w="1497" w:type="dxa"/>
            <w:tcBorders>
              <w:bottom w:val="single" w:sz="4" w:space="0" w:color="auto"/>
            </w:tcBorders>
            <w:shd w:val="clear" w:color="auto" w:fill="FFFFFF" w:themeFill="background1"/>
            <w:vAlign w:val="center"/>
          </w:tcPr>
          <w:p w14:paraId="0FADD847" w14:textId="41EFF6F4"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Non-government sector %</w:t>
            </w:r>
          </w:p>
        </w:tc>
      </w:tr>
      <w:tr w:rsidR="009509CC" w:rsidRPr="00654840" w14:paraId="179E7766" w14:textId="77777777" w:rsidTr="003A62E6">
        <w:trPr>
          <w:trHeight w:val="411"/>
        </w:trPr>
        <w:tc>
          <w:tcPr>
            <w:tcW w:w="2346" w:type="dxa"/>
            <w:tcBorders>
              <w:bottom w:val="single" w:sz="4" w:space="0" w:color="auto"/>
            </w:tcBorders>
            <w:shd w:val="clear" w:color="auto" w:fill="D9E2F3" w:themeFill="accent5" w:themeFillTint="33"/>
            <w:vAlign w:val="center"/>
            <w:hideMark/>
          </w:tcPr>
          <w:p w14:paraId="3E9E3B39" w14:textId="77777777" w:rsidR="009509CC" w:rsidRPr="00654840" w:rsidRDefault="009509CC" w:rsidP="009509CC">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720" w:type="dxa"/>
            <w:tcBorders>
              <w:bottom w:val="single" w:sz="4" w:space="0" w:color="auto"/>
            </w:tcBorders>
            <w:shd w:val="clear" w:color="auto" w:fill="D9E2F3" w:themeFill="accent5" w:themeFillTint="33"/>
            <w:vAlign w:val="center"/>
          </w:tcPr>
          <w:p w14:paraId="5752C4DC" w14:textId="3D9B87D6" w:rsidR="009509CC" w:rsidRPr="00FC6A3D" w:rsidRDefault="009509CC" w:rsidP="009509CC">
            <w:pPr>
              <w:spacing w:before="20" w:after="20" w:line="240" w:lineRule="auto"/>
              <w:jc w:val="right"/>
              <w:rPr>
                <w:rFonts w:eastAsia="Times New Roman" w:cs="Calibri"/>
                <w:bCs/>
                <w:sz w:val="18"/>
                <w:szCs w:val="18"/>
                <w:lang w:eastAsia="en-AU"/>
              </w:rPr>
            </w:pPr>
            <w:r w:rsidRPr="00FC6A3D">
              <w:rPr>
                <w:rFonts w:eastAsia="Times New Roman" w:cstheme="minorHAnsi"/>
                <w:color w:val="000000"/>
                <w:sz w:val="18"/>
                <w:szCs w:val="18"/>
                <w:lang w:eastAsia="en-AU"/>
              </w:rPr>
              <w:t>800</w:t>
            </w:r>
            <w:r w:rsidR="00B50411">
              <w:rPr>
                <w:rFonts w:eastAsia="Times New Roman" w:cstheme="minorHAnsi"/>
                <w:color w:val="000000"/>
                <w:sz w:val="18"/>
                <w:szCs w:val="18"/>
                <w:lang w:eastAsia="en-AU"/>
              </w:rPr>
              <w:t>.</w:t>
            </w:r>
            <w:r w:rsidRPr="00FC6A3D">
              <w:rPr>
                <w:rFonts w:eastAsia="Times New Roman" w:cstheme="minorHAnsi"/>
                <w:color w:val="000000"/>
                <w:sz w:val="18"/>
                <w:szCs w:val="18"/>
                <w:lang w:eastAsia="en-AU"/>
              </w:rPr>
              <w:t>91</w:t>
            </w:r>
            <w:r w:rsidR="00B50411">
              <w:rPr>
                <w:rFonts w:eastAsia="Times New Roman" w:cstheme="minorHAnsi"/>
                <w:color w:val="000000"/>
                <w:sz w:val="18"/>
                <w:szCs w:val="18"/>
                <w:lang w:eastAsia="en-AU"/>
              </w:rPr>
              <w:t>6</w:t>
            </w:r>
          </w:p>
        </w:tc>
        <w:tc>
          <w:tcPr>
            <w:tcW w:w="1501" w:type="dxa"/>
            <w:tcBorders>
              <w:bottom w:val="single" w:sz="4" w:space="0" w:color="auto"/>
            </w:tcBorders>
            <w:shd w:val="clear" w:color="auto" w:fill="D9E2F3" w:themeFill="accent5" w:themeFillTint="33"/>
            <w:vAlign w:val="center"/>
          </w:tcPr>
          <w:p w14:paraId="1D570CE2" w14:textId="7D23F117" w:rsidR="009509CC" w:rsidRPr="00FC6A3D" w:rsidRDefault="009509CC" w:rsidP="009509CC">
            <w:pPr>
              <w:spacing w:before="20" w:after="20" w:line="240" w:lineRule="auto"/>
              <w:jc w:val="right"/>
              <w:rPr>
                <w:rFonts w:eastAsia="Times New Roman" w:cs="Calibri"/>
                <w:bCs/>
                <w:sz w:val="18"/>
                <w:szCs w:val="18"/>
                <w:lang w:eastAsia="en-AU"/>
              </w:rPr>
            </w:pPr>
          </w:p>
        </w:tc>
        <w:tc>
          <w:tcPr>
            <w:tcW w:w="1720" w:type="dxa"/>
            <w:tcBorders>
              <w:bottom w:val="single" w:sz="4" w:space="0" w:color="auto"/>
            </w:tcBorders>
            <w:shd w:val="clear" w:color="auto" w:fill="D9E2F3" w:themeFill="accent5" w:themeFillTint="33"/>
            <w:vAlign w:val="center"/>
          </w:tcPr>
          <w:p w14:paraId="2F95EF3A" w14:textId="0FEAC622" w:rsidR="009509CC" w:rsidRPr="00FC6A3D" w:rsidRDefault="009509CC" w:rsidP="009509CC">
            <w:pPr>
              <w:spacing w:before="20" w:after="20" w:line="240" w:lineRule="auto"/>
              <w:jc w:val="right"/>
              <w:rPr>
                <w:rFonts w:eastAsia="Times New Roman" w:cs="Calibri"/>
                <w:bCs/>
                <w:sz w:val="18"/>
                <w:szCs w:val="18"/>
                <w:lang w:eastAsia="en-AU"/>
              </w:rPr>
            </w:pPr>
            <w:r w:rsidRPr="00FC6A3D">
              <w:rPr>
                <w:rFonts w:eastAsia="Times New Roman" w:cstheme="minorHAnsi"/>
                <w:color w:val="000000"/>
                <w:sz w:val="18"/>
                <w:szCs w:val="18"/>
                <w:lang w:eastAsia="en-AU"/>
              </w:rPr>
              <w:t>298</w:t>
            </w:r>
            <w:r w:rsidR="00914D98">
              <w:rPr>
                <w:rFonts w:eastAsia="Times New Roman" w:cstheme="minorHAnsi"/>
                <w:color w:val="000000"/>
                <w:sz w:val="18"/>
                <w:szCs w:val="18"/>
                <w:lang w:eastAsia="en-AU"/>
              </w:rPr>
              <w:t>.</w:t>
            </w:r>
            <w:r w:rsidRPr="00FC6A3D">
              <w:rPr>
                <w:rFonts w:eastAsia="Times New Roman" w:cstheme="minorHAnsi"/>
                <w:color w:val="000000"/>
                <w:sz w:val="18"/>
                <w:szCs w:val="18"/>
                <w:lang w:eastAsia="en-AU"/>
              </w:rPr>
              <w:t>14</w:t>
            </w:r>
            <w:r w:rsidR="00914D98">
              <w:rPr>
                <w:rFonts w:eastAsia="Times New Roman" w:cstheme="minorHAnsi"/>
                <w:color w:val="000000"/>
                <w:sz w:val="18"/>
                <w:szCs w:val="18"/>
                <w:lang w:eastAsia="en-AU"/>
              </w:rPr>
              <w:t>6</w:t>
            </w:r>
          </w:p>
        </w:tc>
        <w:tc>
          <w:tcPr>
            <w:tcW w:w="1497" w:type="dxa"/>
            <w:tcBorders>
              <w:bottom w:val="single" w:sz="4" w:space="0" w:color="auto"/>
            </w:tcBorders>
            <w:shd w:val="clear" w:color="auto" w:fill="D9E2F3" w:themeFill="accent5" w:themeFillTint="33"/>
            <w:vAlign w:val="center"/>
          </w:tcPr>
          <w:p w14:paraId="26075598" w14:textId="200317F4" w:rsidR="009509CC" w:rsidRPr="00FC6A3D" w:rsidRDefault="009509CC" w:rsidP="009509CC">
            <w:pPr>
              <w:spacing w:before="20" w:after="20" w:line="240" w:lineRule="auto"/>
              <w:jc w:val="right"/>
              <w:rPr>
                <w:rFonts w:eastAsia="Times New Roman" w:cs="Calibri"/>
                <w:bCs/>
                <w:sz w:val="18"/>
                <w:szCs w:val="18"/>
                <w:lang w:eastAsia="en-AU"/>
              </w:rPr>
            </w:pPr>
          </w:p>
        </w:tc>
      </w:tr>
      <w:tr w:rsidR="009509CC" w:rsidRPr="00654840" w14:paraId="66281617" w14:textId="77777777" w:rsidTr="003A62E6">
        <w:trPr>
          <w:trHeight w:val="408"/>
        </w:trPr>
        <w:tc>
          <w:tcPr>
            <w:tcW w:w="2346" w:type="dxa"/>
            <w:tcBorders>
              <w:bottom w:val="single" w:sz="4" w:space="0" w:color="auto"/>
            </w:tcBorders>
            <w:vAlign w:val="center"/>
            <w:hideMark/>
          </w:tcPr>
          <w:p w14:paraId="35572F4A" w14:textId="77777777" w:rsidR="009509CC" w:rsidRPr="00654840" w:rsidRDefault="009509CC" w:rsidP="009509CC">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720" w:type="dxa"/>
            <w:tcBorders>
              <w:bottom w:val="single" w:sz="4" w:space="0" w:color="auto"/>
            </w:tcBorders>
            <w:vAlign w:val="center"/>
          </w:tcPr>
          <w:p w14:paraId="6CBDFC4D" w14:textId="21D5D0DD" w:rsidR="009509CC" w:rsidRPr="00FC6A3D" w:rsidRDefault="009509CC" w:rsidP="009509CC">
            <w:pPr>
              <w:spacing w:before="20" w:after="20" w:line="240" w:lineRule="auto"/>
              <w:jc w:val="right"/>
              <w:rPr>
                <w:rFonts w:eastAsia="Times New Roman" w:cs="Calibri"/>
                <w:bCs/>
                <w:sz w:val="18"/>
                <w:szCs w:val="18"/>
                <w:lang w:eastAsia="en-AU"/>
              </w:rPr>
            </w:pPr>
            <w:r w:rsidRPr="00FC6A3D">
              <w:rPr>
                <w:rFonts w:eastAsia="Times New Roman" w:cstheme="minorHAnsi"/>
                <w:color w:val="000000"/>
                <w:sz w:val="18"/>
                <w:szCs w:val="18"/>
                <w:lang w:eastAsia="en-AU"/>
              </w:rPr>
              <w:t>640</w:t>
            </w:r>
            <w:r w:rsidR="00914D98">
              <w:rPr>
                <w:rFonts w:eastAsia="Times New Roman" w:cstheme="minorHAnsi"/>
                <w:color w:val="000000"/>
                <w:sz w:val="18"/>
                <w:szCs w:val="18"/>
                <w:lang w:eastAsia="en-AU"/>
              </w:rPr>
              <w:t>.</w:t>
            </w:r>
            <w:r w:rsidRPr="00FC6A3D">
              <w:rPr>
                <w:rFonts w:eastAsia="Times New Roman" w:cstheme="minorHAnsi"/>
                <w:color w:val="000000"/>
                <w:sz w:val="18"/>
                <w:szCs w:val="18"/>
                <w:lang w:eastAsia="en-AU"/>
              </w:rPr>
              <w:t>73</w:t>
            </w:r>
            <w:r w:rsidR="00914D98">
              <w:rPr>
                <w:rFonts w:eastAsia="Times New Roman" w:cstheme="minorHAnsi"/>
                <w:color w:val="000000"/>
                <w:sz w:val="18"/>
                <w:szCs w:val="18"/>
                <w:lang w:eastAsia="en-AU"/>
              </w:rPr>
              <w:t>3</w:t>
            </w:r>
          </w:p>
        </w:tc>
        <w:tc>
          <w:tcPr>
            <w:tcW w:w="1501" w:type="dxa"/>
            <w:tcBorders>
              <w:bottom w:val="single" w:sz="4" w:space="0" w:color="auto"/>
            </w:tcBorders>
            <w:vAlign w:val="center"/>
          </w:tcPr>
          <w:p w14:paraId="4F850EAE" w14:textId="10D36684" w:rsidR="009509CC" w:rsidRPr="00FC6A3D" w:rsidRDefault="009509CC" w:rsidP="009509CC">
            <w:pPr>
              <w:spacing w:before="20" w:after="20" w:line="240" w:lineRule="auto"/>
              <w:jc w:val="right"/>
              <w:rPr>
                <w:rFonts w:eastAsia="Times New Roman" w:cs="Calibri"/>
                <w:bCs/>
                <w:sz w:val="18"/>
                <w:szCs w:val="18"/>
                <w:lang w:eastAsia="en-AU"/>
              </w:rPr>
            </w:pPr>
            <w:r w:rsidRPr="00FC6A3D">
              <w:rPr>
                <w:rFonts w:eastAsia="Times New Roman" w:cstheme="minorHAnsi"/>
                <w:color w:val="000000"/>
                <w:sz w:val="18"/>
                <w:szCs w:val="18"/>
                <w:lang w:eastAsia="en-AU"/>
              </w:rPr>
              <w:t>80</w:t>
            </w:r>
          </w:p>
        </w:tc>
        <w:tc>
          <w:tcPr>
            <w:tcW w:w="1720" w:type="dxa"/>
            <w:tcBorders>
              <w:bottom w:val="single" w:sz="4" w:space="0" w:color="auto"/>
            </w:tcBorders>
            <w:vAlign w:val="center"/>
          </w:tcPr>
          <w:p w14:paraId="3E911B07" w14:textId="64E8F4A1" w:rsidR="009509CC" w:rsidRPr="00FC6A3D" w:rsidRDefault="009509CC" w:rsidP="009509CC">
            <w:pPr>
              <w:spacing w:before="20" w:after="20" w:line="240" w:lineRule="auto"/>
              <w:jc w:val="right"/>
              <w:rPr>
                <w:rFonts w:eastAsia="Times New Roman" w:cs="Calibri"/>
                <w:bCs/>
                <w:color w:val="000000"/>
                <w:sz w:val="18"/>
                <w:szCs w:val="18"/>
                <w:lang w:eastAsia="en-AU"/>
              </w:rPr>
            </w:pPr>
            <w:r w:rsidRPr="00FC6A3D">
              <w:rPr>
                <w:rFonts w:eastAsia="Times New Roman" w:cstheme="minorHAnsi"/>
                <w:color w:val="000000"/>
                <w:sz w:val="18"/>
                <w:szCs w:val="18"/>
                <w:lang w:eastAsia="en-AU"/>
              </w:rPr>
              <w:t>59</w:t>
            </w:r>
            <w:r w:rsidR="00914D98">
              <w:rPr>
                <w:rFonts w:eastAsia="Times New Roman" w:cstheme="minorHAnsi"/>
                <w:color w:val="000000"/>
                <w:sz w:val="18"/>
                <w:szCs w:val="18"/>
                <w:lang w:eastAsia="en-AU"/>
              </w:rPr>
              <w:t>.</w:t>
            </w:r>
            <w:r w:rsidRPr="00FC6A3D">
              <w:rPr>
                <w:rFonts w:eastAsia="Times New Roman" w:cstheme="minorHAnsi"/>
                <w:color w:val="000000"/>
                <w:sz w:val="18"/>
                <w:szCs w:val="18"/>
                <w:lang w:eastAsia="en-AU"/>
              </w:rPr>
              <w:t>629</w:t>
            </w:r>
          </w:p>
        </w:tc>
        <w:tc>
          <w:tcPr>
            <w:tcW w:w="1497" w:type="dxa"/>
            <w:tcBorders>
              <w:bottom w:val="single" w:sz="4" w:space="0" w:color="auto"/>
            </w:tcBorders>
            <w:vAlign w:val="center"/>
          </w:tcPr>
          <w:p w14:paraId="5FC6B202" w14:textId="2DF30A6A" w:rsidR="009509CC" w:rsidRPr="00FC6A3D" w:rsidRDefault="009509CC" w:rsidP="009509CC">
            <w:pPr>
              <w:spacing w:before="20" w:after="20" w:line="240" w:lineRule="auto"/>
              <w:jc w:val="right"/>
              <w:rPr>
                <w:rFonts w:eastAsia="Times New Roman" w:cs="Calibri"/>
                <w:bCs/>
                <w:sz w:val="18"/>
                <w:szCs w:val="18"/>
                <w:lang w:eastAsia="en-AU"/>
              </w:rPr>
            </w:pPr>
            <w:r w:rsidRPr="00FC6A3D">
              <w:rPr>
                <w:rFonts w:eastAsia="Times New Roman" w:cstheme="minorHAnsi"/>
                <w:color w:val="000000"/>
                <w:sz w:val="18"/>
                <w:szCs w:val="18"/>
                <w:lang w:eastAsia="en-AU"/>
              </w:rPr>
              <w:t>20</w:t>
            </w:r>
          </w:p>
        </w:tc>
      </w:tr>
      <w:tr w:rsidR="009509CC" w:rsidRPr="00654840" w14:paraId="6CA6E4FC" w14:textId="77777777" w:rsidTr="003A62E6">
        <w:trPr>
          <w:trHeight w:val="408"/>
        </w:trPr>
        <w:tc>
          <w:tcPr>
            <w:tcW w:w="2346" w:type="dxa"/>
            <w:tcBorders>
              <w:bottom w:val="single" w:sz="4" w:space="0" w:color="auto"/>
            </w:tcBorders>
            <w:shd w:val="clear" w:color="auto" w:fill="D9E2F3" w:themeFill="accent5" w:themeFillTint="33"/>
            <w:vAlign w:val="center"/>
            <w:hideMark/>
          </w:tcPr>
          <w:p w14:paraId="2AE4579C" w14:textId="77777777" w:rsidR="009509CC" w:rsidRPr="00654840" w:rsidRDefault="009509CC" w:rsidP="009509CC">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720" w:type="dxa"/>
            <w:tcBorders>
              <w:bottom w:val="single" w:sz="4" w:space="0" w:color="auto"/>
            </w:tcBorders>
            <w:shd w:val="clear" w:color="auto" w:fill="D9E2F3" w:themeFill="accent5" w:themeFillTint="33"/>
            <w:vAlign w:val="center"/>
          </w:tcPr>
          <w:p w14:paraId="1501BAB1" w14:textId="216E67C6" w:rsidR="009509CC" w:rsidRPr="00FC6A3D" w:rsidRDefault="009509CC" w:rsidP="009509CC">
            <w:pPr>
              <w:spacing w:before="20" w:after="20" w:line="240" w:lineRule="auto"/>
              <w:jc w:val="right"/>
              <w:rPr>
                <w:rFonts w:eastAsia="Times New Roman" w:cs="Calibri"/>
                <w:bCs/>
                <w:color w:val="000000"/>
                <w:sz w:val="18"/>
                <w:szCs w:val="18"/>
                <w:lang w:eastAsia="en-AU"/>
              </w:rPr>
            </w:pPr>
            <w:r w:rsidRPr="00FC6A3D">
              <w:rPr>
                <w:rFonts w:eastAsia="Times New Roman" w:cstheme="minorHAnsi"/>
                <w:color w:val="000000"/>
                <w:sz w:val="18"/>
                <w:szCs w:val="18"/>
                <w:lang w:eastAsia="en-AU"/>
              </w:rPr>
              <w:t>714</w:t>
            </w:r>
            <w:r w:rsidR="00914D98">
              <w:rPr>
                <w:rFonts w:eastAsia="Times New Roman" w:cstheme="minorHAnsi"/>
                <w:color w:val="000000"/>
                <w:sz w:val="18"/>
                <w:szCs w:val="18"/>
                <w:lang w:eastAsia="en-AU"/>
              </w:rPr>
              <w:t>.</w:t>
            </w:r>
            <w:r w:rsidRPr="00FC6A3D">
              <w:rPr>
                <w:rFonts w:eastAsia="Times New Roman" w:cstheme="minorHAnsi"/>
                <w:color w:val="000000"/>
                <w:sz w:val="18"/>
                <w:szCs w:val="18"/>
                <w:lang w:eastAsia="en-AU"/>
              </w:rPr>
              <w:t>89</w:t>
            </w:r>
            <w:r w:rsidR="00914D98">
              <w:rPr>
                <w:rFonts w:eastAsia="Times New Roman" w:cstheme="minorHAnsi"/>
                <w:color w:val="000000"/>
                <w:sz w:val="18"/>
                <w:szCs w:val="18"/>
                <w:lang w:eastAsia="en-AU"/>
              </w:rPr>
              <w:t>4</w:t>
            </w:r>
          </w:p>
        </w:tc>
        <w:tc>
          <w:tcPr>
            <w:tcW w:w="1501" w:type="dxa"/>
            <w:tcBorders>
              <w:bottom w:val="single" w:sz="4" w:space="0" w:color="auto"/>
            </w:tcBorders>
            <w:shd w:val="clear" w:color="auto" w:fill="D9E2F3" w:themeFill="accent5" w:themeFillTint="33"/>
            <w:vAlign w:val="center"/>
          </w:tcPr>
          <w:p w14:paraId="7E63C28F" w14:textId="2E3D49CF" w:rsidR="009509CC" w:rsidRPr="00FC6A3D" w:rsidRDefault="009509CC" w:rsidP="009509CC">
            <w:pPr>
              <w:spacing w:before="20" w:after="20" w:line="240" w:lineRule="auto"/>
              <w:jc w:val="right"/>
              <w:rPr>
                <w:rFonts w:eastAsia="Times New Roman" w:cs="Calibri"/>
                <w:bCs/>
                <w:sz w:val="18"/>
                <w:szCs w:val="18"/>
                <w:lang w:eastAsia="en-AU"/>
              </w:rPr>
            </w:pPr>
            <w:r w:rsidRPr="00FC6A3D">
              <w:rPr>
                <w:rFonts w:eastAsia="Times New Roman" w:cstheme="minorHAnsi"/>
                <w:color w:val="000000"/>
                <w:sz w:val="18"/>
                <w:szCs w:val="18"/>
                <w:lang w:eastAsia="en-AU"/>
              </w:rPr>
              <w:t>89.26</w:t>
            </w:r>
          </w:p>
        </w:tc>
        <w:tc>
          <w:tcPr>
            <w:tcW w:w="1720" w:type="dxa"/>
            <w:tcBorders>
              <w:bottom w:val="single" w:sz="4" w:space="0" w:color="auto"/>
            </w:tcBorders>
            <w:shd w:val="clear" w:color="auto" w:fill="D9E2F3" w:themeFill="accent5" w:themeFillTint="33"/>
            <w:vAlign w:val="center"/>
          </w:tcPr>
          <w:p w14:paraId="542BD2DF" w14:textId="5F999AD6" w:rsidR="009509CC" w:rsidRPr="00FC6A3D" w:rsidRDefault="009509CC" w:rsidP="009509CC">
            <w:pPr>
              <w:spacing w:before="20" w:after="20" w:line="240" w:lineRule="auto"/>
              <w:jc w:val="right"/>
              <w:rPr>
                <w:rFonts w:eastAsia="Times New Roman" w:cs="Calibri"/>
                <w:bCs/>
                <w:color w:val="000000"/>
                <w:sz w:val="18"/>
                <w:szCs w:val="18"/>
                <w:lang w:eastAsia="en-AU"/>
              </w:rPr>
            </w:pPr>
            <w:r w:rsidRPr="00FC6A3D">
              <w:rPr>
                <w:rFonts w:eastAsia="Times New Roman" w:cstheme="minorHAnsi"/>
                <w:color w:val="000000"/>
                <w:sz w:val="18"/>
                <w:szCs w:val="18"/>
                <w:lang w:eastAsia="en-AU"/>
              </w:rPr>
              <w:t>59</w:t>
            </w:r>
            <w:r w:rsidR="00914D98">
              <w:rPr>
                <w:rFonts w:eastAsia="Times New Roman" w:cstheme="minorHAnsi"/>
                <w:color w:val="000000"/>
                <w:sz w:val="18"/>
                <w:szCs w:val="18"/>
                <w:lang w:eastAsia="en-AU"/>
              </w:rPr>
              <w:t>.</w:t>
            </w:r>
            <w:r w:rsidRPr="00FC6A3D">
              <w:rPr>
                <w:rFonts w:eastAsia="Times New Roman" w:cstheme="minorHAnsi"/>
                <w:color w:val="000000"/>
                <w:sz w:val="18"/>
                <w:szCs w:val="18"/>
                <w:lang w:eastAsia="en-AU"/>
              </w:rPr>
              <w:t>629</w:t>
            </w:r>
          </w:p>
        </w:tc>
        <w:tc>
          <w:tcPr>
            <w:tcW w:w="1497" w:type="dxa"/>
            <w:tcBorders>
              <w:bottom w:val="single" w:sz="4" w:space="0" w:color="auto"/>
            </w:tcBorders>
            <w:shd w:val="clear" w:color="auto" w:fill="D9E2F3" w:themeFill="accent5" w:themeFillTint="33"/>
            <w:vAlign w:val="center"/>
          </w:tcPr>
          <w:p w14:paraId="304596A5" w14:textId="01973FBF" w:rsidR="009509CC" w:rsidRPr="00FC6A3D" w:rsidRDefault="009509CC" w:rsidP="009509CC">
            <w:pPr>
              <w:spacing w:before="20" w:after="20" w:line="240" w:lineRule="auto"/>
              <w:jc w:val="right"/>
              <w:rPr>
                <w:rFonts w:eastAsia="Times New Roman" w:cs="Calibri"/>
                <w:bCs/>
                <w:sz w:val="18"/>
                <w:szCs w:val="18"/>
                <w:lang w:eastAsia="en-AU"/>
              </w:rPr>
            </w:pPr>
            <w:r w:rsidRPr="00FC6A3D">
              <w:rPr>
                <w:rFonts w:eastAsia="Times New Roman" w:cstheme="minorHAnsi"/>
                <w:color w:val="000000"/>
                <w:sz w:val="18"/>
                <w:szCs w:val="18"/>
                <w:lang w:eastAsia="en-AU"/>
              </w:rPr>
              <w:t>20</w:t>
            </w:r>
          </w:p>
        </w:tc>
      </w:tr>
      <w:tr w:rsidR="009509CC" w:rsidRPr="00654840" w14:paraId="6B39325E" w14:textId="77777777" w:rsidTr="003A62E6">
        <w:trPr>
          <w:trHeight w:val="408"/>
        </w:trPr>
        <w:tc>
          <w:tcPr>
            <w:tcW w:w="2346" w:type="dxa"/>
            <w:tcBorders>
              <w:bottom w:val="single" w:sz="4" w:space="0" w:color="auto"/>
            </w:tcBorders>
            <w:vAlign w:val="center"/>
            <w:hideMark/>
          </w:tcPr>
          <w:p w14:paraId="59AB7BE0" w14:textId="77777777" w:rsidR="009509CC" w:rsidRPr="00654840" w:rsidRDefault="009509CC" w:rsidP="009509CC">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720" w:type="dxa"/>
            <w:tcBorders>
              <w:bottom w:val="single" w:sz="4" w:space="0" w:color="auto"/>
            </w:tcBorders>
            <w:vAlign w:val="center"/>
          </w:tcPr>
          <w:p w14:paraId="22BC229C" w14:textId="22754407" w:rsidR="009509CC" w:rsidRPr="00FC6A3D" w:rsidRDefault="003A62E6" w:rsidP="009509CC">
            <w:pPr>
              <w:spacing w:before="20" w:after="20" w:line="240" w:lineRule="auto"/>
              <w:jc w:val="right"/>
              <w:rPr>
                <w:rFonts w:eastAsia="Times New Roman" w:cs="Calibri"/>
                <w:bCs/>
                <w:color w:val="000000"/>
                <w:sz w:val="18"/>
                <w:szCs w:val="18"/>
                <w:lang w:eastAsia="en-AU"/>
              </w:rPr>
            </w:pPr>
            <w:r>
              <w:rPr>
                <w:rFonts w:eastAsia="Times New Roman" w:cstheme="minorHAnsi"/>
                <w:color w:val="000000"/>
                <w:sz w:val="18"/>
                <w:szCs w:val="18"/>
                <w:lang w:eastAsia="en-AU"/>
              </w:rPr>
              <w:t>N/a</w:t>
            </w:r>
          </w:p>
        </w:tc>
        <w:tc>
          <w:tcPr>
            <w:tcW w:w="1501" w:type="dxa"/>
            <w:tcBorders>
              <w:bottom w:val="single" w:sz="4" w:space="0" w:color="auto"/>
            </w:tcBorders>
            <w:vAlign w:val="center"/>
          </w:tcPr>
          <w:p w14:paraId="2688732B" w14:textId="07BF86E4"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20" w:type="dxa"/>
            <w:tcBorders>
              <w:bottom w:val="single" w:sz="4" w:space="0" w:color="auto"/>
            </w:tcBorders>
            <w:vAlign w:val="center"/>
          </w:tcPr>
          <w:p w14:paraId="5BB710CF" w14:textId="59A6966B" w:rsidR="009509CC" w:rsidRPr="00FC6A3D" w:rsidRDefault="003A62E6" w:rsidP="009509CC">
            <w:pPr>
              <w:spacing w:before="20" w:after="20" w:line="240" w:lineRule="auto"/>
              <w:jc w:val="right"/>
              <w:rPr>
                <w:rFonts w:eastAsia="Times New Roman" w:cs="Calibri"/>
                <w:bCs/>
                <w:color w:val="000000"/>
                <w:sz w:val="18"/>
                <w:szCs w:val="18"/>
                <w:lang w:eastAsia="en-AU"/>
              </w:rPr>
            </w:pPr>
            <w:r>
              <w:rPr>
                <w:rFonts w:eastAsia="Times New Roman" w:cstheme="minorHAnsi"/>
                <w:color w:val="000000"/>
                <w:sz w:val="18"/>
                <w:szCs w:val="18"/>
                <w:lang w:eastAsia="en-AU"/>
              </w:rPr>
              <w:t>N/a</w:t>
            </w:r>
          </w:p>
        </w:tc>
        <w:tc>
          <w:tcPr>
            <w:tcW w:w="1497" w:type="dxa"/>
            <w:tcBorders>
              <w:bottom w:val="single" w:sz="4" w:space="0" w:color="auto"/>
            </w:tcBorders>
            <w:vAlign w:val="center"/>
          </w:tcPr>
          <w:p w14:paraId="190CCD63" w14:textId="66E56C8C"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9509CC" w:rsidRPr="00654840" w14:paraId="372DAA3A" w14:textId="77777777" w:rsidTr="003A62E6">
        <w:trPr>
          <w:trHeight w:val="408"/>
        </w:trPr>
        <w:tc>
          <w:tcPr>
            <w:tcW w:w="2346" w:type="dxa"/>
            <w:tcBorders>
              <w:bottom w:val="single" w:sz="4" w:space="0" w:color="auto"/>
            </w:tcBorders>
            <w:shd w:val="clear" w:color="auto" w:fill="D9E2F3" w:themeFill="accent5" w:themeFillTint="33"/>
            <w:vAlign w:val="center"/>
          </w:tcPr>
          <w:p w14:paraId="0C4E3EC8" w14:textId="77777777" w:rsidR="009509CC" w:rsidRPr="00654840" w:rsidRDefault="009509CC" w:rsidP="009509CC">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720" w:type="dxa"/>
            <w:tcBorders>
              <w:bottom w:val="single" w:sz="4" w:space="0" w:color="auto"/>
            </w:tcBorders>
            <w:shd w:val="clear" w:color="auto" w:fill="D9E2F3" w:themeFill="accent5" w:themeFillTint="33"/>
            <w:vAlign w:val="center"/>
          </w:tcPr>
          <w:p w14:paraId="30CB3CA0" w14:textId="0A82235C"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1" w:type="dxa"/>
            <w:tcBorders>
              <w:bottom w:val="single" w:sz="4" w:space="0" w:color="auto"/>
            </w:tcBorders>
            <w:shd w:val="clear" w:color="auto" w:fill="D9E2F3" w:themeFill="accent5" w:themeFillTint="33"/>
            <w:vAlign w:val="center"/>
          </w:tcPr>
          <w:p w14:paraId="7FE181EA" w14:textId="3D93347F"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20" w:type="dxa"/>
            <w:tcBorders>
              <w:bottom w:val="single" w:sz="4" w:space="0" w:color="auto"/>
            </w:tcBorders>
            <w:shd w:val="clear" w:color="auto" w:fill="D9E2F3" w:themeFill="accent5" w:themeFillTint="33"/>
            <w:vAlign w:val="center"/>
          </w:tcPr>
          <w:p w14:paraId="0941EC44" w14:textId="5351CF31"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bottom w:val="single" w:sz="4" w:space="0" w:color="auto"/>
            </w:tcBorders>
            <w:shd w:val="clear" w:color="auto" w:fill="D9E2F3" w:themeFill="accent5" w:themeFillTint="33"/>
            <w:vAlign w:val="center"/>
          </w:tcPr>
          <w:p w14:paraId="4111A2BA" w14:textId="04866997" w:rsidR="009509CC" w:rsidRPr="00FC6A3D" w:rsidDel="002336A1"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9509CC" w:rsidRPr="00654840" w14:paraId="2B62A988" w14:textId="77777777" w:rsidTr="003A62E6">
        <w:trPr>
          <w:trHeight w:val="408"/>
        </w:trPr>
        <w:tc>
          <w:tcPr>
            <w:tcW w:w="2346" w:type="dxa"/>
            <w:tcBorders>
              <w:bottom w:val="single" w:sz="4" w:space="0" w:color="auto"/>
            </w:tcBorders>
            <w:vAlign w:val="center"/>
            <w:hideMark/>
          </w:tcPr>
          <w:p w14:paraId="6DE845A4" w14:textId="77777777" w:rsidR="009509CC" w:rsidRPr="00654840" w:rsidRDefault="009509CC" w:rsidP="009509CC">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720" w:type="dxa"/>
            <w:tcBorders>
              <w:bottom w:val="single" w:sz="4" w:space="0" w:color="auto"/>
            </w:tcBorders>
            <w:vAlign w:val="center"/>
          </w:tcPr>
          <w:p w14:paraId="02C484DD" w14:textId="338D70B7" w:rsidR="009509CC" w:rsidRPr="00FC6A3D" w:rsidRDefault="003A62E6" w:rsidP="009509CC">
            <w:pPr>
              <w:spacing w:before="20" w:after="20" w:line="240" w:lineRule="auto"/>
              <w:jc w:val="right"/>
              <w:rPr>
                <w:rFonts w:eastAsia="Times New Roman" w:cs="Calibri"/>
                <w:bCs/>
                <w:color w:val="000000"/>
                <w:sz w:val="18"/>
                <w:szCs w:val="18"/>
                <w:lang w:eastAsia="en-AU"/>
              </w:rPr>
            </w:pPr>
            <w:r>
              <w:rPr>
                <w:rFonts w:eastAsia="Times New Roman" w:cstheme="minorHAnsi"/>
                <w:color w:val="000000"/>
                <w:sz w:val="18"/>
                <w:szCs w:val="18"/>
                <w:lang w:eastAsia="en-AU"/>
              </w:rPr>
              <w:t>N/a</w:t>
            </w:r>
          </w:p>
        </w:tc>
        <w:tc>
          <w:tcPr>
            <w:tcW w:w="1501" w:type="dxa"/>
            <w:tcBorders>
              <w:bottom w:val="single" w:sz="4" w:space="0" w:color="auto"/>
            </w:tcBorders>
            <w:vAlign w:val="center"/>
          </w:tcPr>
          <w:p w14:paraId="4829D57F" w14:textId="5429F26C"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20" w:type="dxa"/>
            <w:tcBorders>
              <w:bottom w:val="single" w:sz="4" w:space="0" w:color="auto"/>
            </w:tcBorders>
            <w:vAlign w:val="center"/>
          </w:tcPr>
          <w:p w14:paraId="07F0405C" w14:textId="6846002F" w:rsidR="009509CC" w:rsidRPr="00FC6A3D" w:rsidRDefault="003A62E6" w:rsidP="009509CC">
            <w:pPr>
              <w:spacing w:before="20" w:after="20" w:line="240" w:lineRule="auto"/>
              <w:jc w:val="right"/>
              <w:rPr>
                <w:rFonts w:eastAsia="Times New Roman" w:cs="Calibri"/>
                <w:bCs/>
                <w:color w:val="000000"/>
                <w:sz w:val="18"/>
                <w:szCs w:val="18"/>
                <w:lang w:eastAsia="en-AU"/>
              </w:rPr>
            </w:pPr>
            <w:r>
              <w:rPr>
                <w:rFonts w:eastAsia="Times New Roman" w:cstheme="minorHAnsi"/>
                <w:color w:val="000000"/>
                <w:sz w:val="18"/>
                <w:szCs w:val="18"/>
                <w:lang w:eastAsia="en-AU"/>
              </w:rPr>
              <w:t>N/a</w:t>
            </w:r>
          </w:p>
        </w:tc>
        <w:tc>
          <w:tcPr>
            <w:tcW w:w="1497" w:type="dxa"/>
            <w:tcBorders>
              <w:bottom w:val="single" w:sz="4" w:space="0" w:color="auto"/>
            </w:tcBorders>
            <w:vAlign w:val="center"/>
          </w:tcPr>
          <w:p w14:paraId="26E1BE06" w14:textId="6081FAF1"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9509CC" w:rsidRPr="00654840" w14:paraId="2B5146C7" w14:textId="77777777" w:rsidTr="003A62E6">
        <w:trPr>
          <w:trHeight w:val="408"/>
        </w:trPr>
        <w:tc>
          <w:tcPr>
            <w:tcW w:w="2346" w:type="dxa"/>
            <w:tcBorders>
              <w:bottom w:val="single" w:sz="4" w:space="0" w:color="auto"/>
            </w:tcBorders>
            <w:shd w:val="clear" w:color="auto" w:fill="D9E2F3" w:themeFill="accent5" w:themeFillTint="33"/>
            <w:vAlign w:val="center"/>
          </w:tcPr>
          <w:p w14:paraId="7C280EE8" w14:textId="053EE35B" w:rsidR="009509CC" w:rsidRPr="00654840" w:rsidRDefault="009509CC" w:rsidP="009509CC">
            <w:pPr>
              <w:spacing w:before="20" w:after="20" w:line="240" w:lineRule="auto"/>
              <w:rPr>
                <w:rFonts w:eastAsia="Times New Roman" w:cs="Calibri"/>
                <w:b/>
                <w:sz w:val="18"/>
                <w:szCs w:val="18"/>
              </w:rPr>
            </w:pPr>
            <w:r w:rsidRPr="00B20F94">
              <w:rPr>
                <w:rFonts w:eastAsia="Times New Roman" w:cs="Calibri"/>
                <w:b/>
                <w:sz w:val="18"/>
                <w:szCs w:val="18"/>
              </w:rPr>
              <w:t>Total Shortfall</w:t>
            </w:r>
          </w:p>
        </w:tc>
        <w:tc>
          <w:tcPr>
            <w:tcW w:w="1720" w:type="dxa"/>
            <w:tcBorders>
              <w:bottom w:val="single" w:sz="4" w:space="0" w:color="auto"/>
            </w:tcBorders>
            <w:shd w:val="clear" w:color="auto" w:fill="D9E2F3" w:themeFill="accent5" w:themeFillTint="33"/>
            <w:vAlign w:val="center"/>
          </w:tcPr>
          <w:p w14:paraId="27D0DCCF" w14:textId="33979798" w:rsidR="009509CC" w:rsidRPr="00FC6A3D" w:rsidRDefault="003A62E6" w:rsidP="009509CC">
            <w:pPr>
              <w:spacing w:before="20" w:after="20" w:line="240" w:lineRule="auto"/>
              <w:jc w:val="right"/>
              <w:rPr>
                <w:rFonts w:eastAsia="Times New Roman" w:cs="Calibri"/>
                <w:bCs/>
                <w:color w:val="000000"/>
                <w:sz w:val="18"/>
                <w:szCs w:val="18"/>
                <w:lang w:eastAsia="en-AU"/>
              </w:rPr>
            </w:pPr>
            <w:r>
              <w:rPr>
                <w:rFonts w:eastAsia="Times New Roman" w:cstheme="minorHAnsi"/>
                <w:color w:val="000000"/>
                <w:sz w:val="18"/>
                <w:szCs w:val="18"/>
                <w:lang w:eastAsia="en-AU"/>
              </w:rPr>
              <w:t>N/a</w:t>
            </w:r>
          </w:p>
        </w:tc>
        <w:tc>
          <w:tcPr>
            <w:tcW w:w="1501" w:type="dxa"/>
            <w:tcBorders>
              <w:bottom w:val="single" w:sz="4" w:space="0" w:color="auto"/>
            </w:tcBorders>
            <w:shd w:val="clear" w:color="auto" w:fill="D9E2F3" w:themeFill="accent5" w:themeFillTint="33"/>
            <w:vAlign w:val="center"/>
          </w:tcPr>
          <w:p w14:paraId="12B3B4DD" w14:textId="56FC9665"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20" w:type="dxa"/>
            <w:tcBorders>
              <w:bottom w:val="single" w:sz="4" w:space="0" w:color="auto"/>
            </w:tcBorders>
            <w:shd w:val="clear" w:color="auto" w:fill="D9E2F3" w:themeFill="accent5" w:themeFillTint="33"/>
            <w:vAlign w:val="center"/>
          </w:tcPr>
          <w:p w14:paraId="132E3697" w14:textId="4F13AA70" w:rsidR="009509CC" w:rsidRPr="00FC6A3D" w:rsidRDefault="003A62E6" w:rsidP="009509CC">
            <w:pPr>
              <w:spacing w:before="20" w:after="20" w:line="240" w:lineRule="auto"/>
              <w:jc w:val="right"/>
              <w:rPr>
                <w:rFonts w:eastAsia="Times New Roman" w:cs="Calibri"/>
                <w:bCs/>
                <w:color w:val="000000"/>
                <w:sz w:val="18"/>
                <w:szCs w:val="18"/>
                <w:lang w:eastAsia="en-AU"/>
              </w:rPr>
            </w:pPr>
            <w:r>
              <w:rPr>
                <w:rFonts w:eastAsia="Times New Roman" w:cstheme="minorHAnsi"/>
                <w:color w:val="000000"/>
                <w:sz w:val="18"/>
                <w:szCs w:val="18"/>
                <w:lang w:eastAsia="en-AU"/>
              </w:rPr>
              <w:t>N/a</w:t>
            </w:r>
          </w:p>
        </w:tc>
        <w:tc>
          <w:tcPr>
            <w:tcW w:w="1497" w:type="dxa"/>
            <w:tcBorders>
              <w:bottom w:val="single" w:sz="4" w:space="0" w:color="auto"/>
            </w:tcBorders>
            <w:shd w:val="clear" w:color="auto" w:fill="D9E2F3" w:themeFill="accent5" w:themeFillTint="33"/>
            <w:vAlign w:val="center"/>
          </w:tcPr>
          <w:p w14:paraId="6EF0EA16" w14:textId="4B146A07"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9509CC" w:rsidRPr="00654840" w14:paraId="7D331CB5" w14:textId="77777777" w:rsidTr="003A62E6">
        <w:trPr>
          <w:trHeight w:val="408"/>
        </w:trPr>
        <w:tc>
          <w:tcPr>
            <w:tcW w:w="2346" w:type="dxa"/>
            <w:vAlign w:val="center"/>
            <w:hideMark/>
          </w:tcPr>
          <w:p w14:paraId="030E9D07" w14:textId="22D5FE2D" w:rsidR="009509CC" w:rsidRPr="00654840" w:rsidRDefault="00C50C1E" w:rsidP="009509CC">
            <w:pPr>
              <w:spacing w:before="20" w:after="20" w:line="240" w:lineRule="auto"/>
              <w:rPr>
                <w:rFonts w:eastAsia="Times New Roman" w:cs="Calibri"/>
                <w:b/>
                <w:sz w:val="18"/>
                <w:szCs w:val="18"/>
              </w:rPr>
            </w:pPr>
            <w:r>
              <w:rPr>
                <w:rFonts w:eastAsia="Times New Roman" w:cs="Calibri"/>
                <w:b/>
                <w:sz w:val="18"/>
                <w:szCs w:val="18"/>
              </w:rPr>
              <w:t>Cap</w:t>
            </w:r>
            <w:r w:rsidR="009509CC" w:rsidRPr="00654840">
              <w:rPr>
                <w:rFonts w:eastAsia="Times New Roman" w:cs="Calibri"/>
                <w:b/>
                <w:sz w:val="18"/>
                <w:szCs w:val="18"/>
              </w:rPr>
              <w:t xml:space="preserve"> on inclusions</w:t>
            </w:r>
          </w:p>
        </w:tc>
        <w:tc>
          <w:tcPr>
            <w:tcW w:w="1720" w:type="dxa"/>
            <w:vAlign w:val="center"/>
          </w:tcPr>
          <w:p w14:paraId="62AAC81E" w14:textId="7584D0A8"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1" w:type="dxa"/>
            <w:vAlign w:val="center"/>
          </w:tcPr>
          <w:p w14:paraId="4CCC180B" w14:textId="0345A676"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20" w:type="dxa"/>
            <w:vAlign w:val="center"/>
          </w:tcPr>
          <w:p w14:paraId="4CC3331D" w14:textId="220F9FDC"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vAlign w:val="center"/>
          </w:tcPr>
          <w:p w14:paraId="778CC68F" w14:textId="67C11070"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9509CC" w:rsidRPr="00654840" w14:paraId="3635BECC" w14:textId="77777777" w:rsidTr="003A62E6">
        <w:trPr>
          <w:trHeight w:val="408"/>
        </w:trPr>
        <w:tc>
          <w:tcPr>
            <w:tcW w:w="2346" w:type="dxa"/>
            <w:shd w:val="clear" w:color="auto" w:fill="D9E2F3" w:themeFill="accent5" w:themeFillTint="33"/>
            <w:vAlign w:val="center"/>
            <w:hideMark/>
          </w:tcPr>
          <w:p w14:paraId="2CE13CBF" w14:textId="77777777" w:rsidR="009509CC" w:rsidRPr="00654840" w:rsidRDefault="009509CC" w:rsidP="009509CC">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720" w:type="dxa"/>
            <w:shd w:val="clear" w:color="auto" w:fill="D9E2F3" w:themeFill="accent5" w:themeFillTint="33"/>
            <w:vAlign w:val="center"/>
          </w:tcPr>
          <w:p w14:paraId="57E441EE" w14:textId="4C748E18"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1" w:type="dxa"/>
            <w:shd w:val="clear" w:color="auto" w:fill="D9E2F3" w:themeFill="accent5" w:themeFillTint="33"/>
            <w:vAlign w:val="center"/>
          </w:tcPr>
          <w:p w14:paraId="6AC2196E" w14:textId="2E7C1107"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20" w:type="dxa"/>
            <w:shd w:val="clear" w:color="auto" w:fill="D9E2F3" w:themeFill="accent5" w:themeFillTint="33"/>
            <w:vAlign w:val="center"/>
          </w:tcPr>
          <w:p w14:paraId="3356863A" w14:textId="68A5F901"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shd w:val="clear" w:color="auto" w:fill="D9E2F3" w:themeFill="accent5" w:themeFillTint="33"/>
            <w:vAlign w:val="center"/>
          </w:tcPr>
          <w:p w14:paraId="19681CD0" w14:textId="11C822BF" w:rsidR="009509CC" w:rsidRPr="00FC6A3D" w:rsidRDefault="003A62E6" w:rsidP="009509CC">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bookmarkEnd w:id="503"/>
    </w:tbl>
    <w:p w14:paraId="2B294184" w14:textId="77777777" w:rsidR="00BB2B21" w:rsidRDefault="00BB2B21" w:rsidP="00BB2B21"/>
    <w:p w14:paraId="544A242E" w14:textId="424E95CC" w:rsidR="008D6303" w:rsidRPr="000E7C7F" w:rsidRDefault="008D6303" w:rsidP="000E7C7F">
      <w:pPr>
        <w:pStyle w:val="Heading3"/>
      </w:pPr>
      <w:bookmarkStart w:id="504" w:name="_Toc210306648"/>
      <w:bookmarkStart w:id="505" w:name="_Toc210317474"/>
      <w:bookmarkStart w:id="506" w:name="_Toc210815628"/>
      <w:bookmarkStart w:id="507" w:name="_Hlk158892126"/>
      <w:r>
        <w:t>New South Wales</w:t>
      </w:r>
      <w:bookmarkEnd w:id="504"/>
      <w:bookmarkEnd w:id="505"/>
      <w:bookmarkEnd w:id="506"/>
    </w:p>
    <w:tbl>
      <w:tblPr>
        <w:tblW w:w="0" w:type="auto"/>
        <w:tblLayout w:type="fixed"/>
        <w:tblLook w:val="04A0" w:firstRow="1" w:lastRow="0" w:firstColumn="1" w:lastColumn="0" w:noHBand="0" w:noVBand="1"/>
      </w:tblPr>
      <w:tblGrid>
        <w:gridCol w:w="2347"/>
        <w:gridCol w:w="1718"/>
        <w:gridCol w:w="1502"/>
        <w:gridCol w:w="1718"/>
        <w:gridCol w:w="1497"/>
      </w:tblGrid>
      <w:tr w:rsidR="00C6632D" w:rsidRPr="00654840" w14:paraId="269C8CD9" w14:textId="77777777" w:rsidTr="19505304">
        <w:trPr>
          <w:trHeight w:val="411"/>
        </w:trPr>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19715" w14:textId="2C26EEE8"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Funding</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7C0DE5DB" w14:textId="0E15E11B"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Calibri" w:cs="Times New Roman"/>
                <w:b/>
                <w:bCs/>
                <w:sz w:val="18"/>
                <w:szCs w:val="18"/>
              </w:rPr>
              <w:t>Government sector ($</w:t>
            </w:r>
            <w:r w:rsidR="00CE5FAD">
              <w:rPr>
                <w:rFonts w:eastAsia="Calibri" w:cs="Times New Roman"/>
                <w:b/>
                <w:bCs/>
                <w:sz w:val="18"/>
                <w:szCs w:val="18"/>
              </w:rPr>
              <w:t>M</w:t>
            </w:r>
            <w:r w:rsidRPr="00654840">
              <w:rPr>
                <w:rFonts w:eastAsia="Calibri" w:cs="Times New Roman"/>
                <w:b/>
                <w:bCs/>
                <w:sz w:val="18"/>
                <w:szCs w:val="18"/>
              </w:rPr>
              <w:t>)</w:t>
            </w:r>
          </w:p>
        </w:tc>
        <w:tc>
          <w:tcPr>
            <w:tcW w:w="1502" w:type="dxa"/>
            <w:tcBorders>
              <w:top w:val="single" w:sz="4" w:space="0" w:color="auto"/>
              <w:left w:val="nil"/>
              <w:bottom w:val="single" w:sz="4" w:space="0" w:color="auto"/>
              <w:right w:val="single" w:sz="4" w:space="0" w:color="auto"/>
            </w:tcBorders>
            <w:shd w:val="clear" w:color="auto" w:fill="FFFFFF" w:themeFill="background1"/>
            <w:vAlign w:val="center"/>
          </w:tcPr>
          <w:p w14:paraId="3C37EBAF" w14:textId="56A87F94"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Calibri" w:cs="Times New Roman"/>
                <w:b/>
                <w:bCs/>
                <w:sz w:val="18"/>
                <w:szCs w:val="18"/>
              </w:rPr>
              <w:t>Government sector %</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48596C6B" w14:textId="38621611"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Calibri" w:cs="Times New Roman"/>
                <w:b/>
                <w:bCs/>
                <w:sz w:val="18"/>
                <w:szCs w:val="18"/>
              </w:rPr>
              <w:t>Non-government sector ($</w:t>
            </w:r>
            <w:r w:rsidR="00CE5FAD">
              <w:rPr>
                <w:rFonts w:eastAsia="Calibri" w:cs="Times New Roman"/>
                <w:b/>
                <w:bCs/>
                <w:sz w:val="18"/>
                <w:szCs w:val="18"/>
              </w:rPr>
              <w:t>M</w:t>
            </w:r>
            <w:r w:rsidRPr="00654840">
              <w:rPr>
                <w:rFonts w:eastAsia="Calibri" w:cs="Times New Roman"/>
                <w:b/>
                <w:bCs/>
                <w:sz w:val="18"/>
                <w:szCs w:val="18"/>
              </w:rPr>
              <w:t>)</w:t>
            </w:r>
          </w:p>
        </w:tc>
        <w:tc>
          <w:tcPr>
            <w:tcW w:w="1497" w:type="dxa"/>
            <w:tcBorders>
              <w:top w:val="single" w:sz="4" w:space="0" w:color="auto"/>
              <w:left w:val="nil"/>
              <w:bottom w:val="single" w:sz="4" w:space="0" w:color="auto"/>
              <w:right w:val="single" w:sz="4" w:space="0" w:color="auto"/>
            </w:tcBorders>
            <w:shd w:val="clear" w:color="auto" w:fill="FFFFFF" w:themeFill="background1"/>
            <w:vAlign w:val="center"/>
          </w:tcPr>
          <w:p w14:paraId="29A12887" w14:textId="2D1B94DA"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Calibri" w:cs="Times New Roman"/>
                <w:b/>
                <w:bCs/>
                <w:sz w:val="18"/>
                <w:szCs w:val="18"/>
              </w:rPr>
              <w:t>Non-government sector %</w:t>
            </w:r>
          </w:p>
        </w:tc>
      </w:tr>
      <w:tr w:rsidR="00C6632D" w:rsidRPr="00654840" w14:paraId="0E8983A9" w14:textId="77777777" w:rsidTr="19505304">
        <w:trPr>
          <w:trHeight w:val="411"/>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DA062F1" w14:textId="77777777" w:rsidR="00F86BFD" w:rsidRPr="00654840" w:rsidRDefault="00F86BFD" w:rsidP="00F86BFD">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1F1AFBE" w14:textId="135BD24C"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16,036</w:t>
            </w:r>
            <w:r w:rsidR="009D0FBC">
              <w:rPr>
                <w:rFonts w:eastAsia="Times New Roman" w:cstheme="minorHAnsi"/>
                <w:color w:val="000000"/>
                <w:sz w:val="18"/>
                <w:szCs w:val="18"/>
                <w:lang w:eastAsia="en-AU"/>
              </w:rPr>
              <w:t>.</w:t>
            </w:r>
            <w:r w:rsidRPr="00A73802">
              <w:rPr>
                <w:rFonts w:eastAsia="Times New Roman" w:cstheme="minorHAnsi"/>
                <w:color w:val="000000"/>
                <w:sz w:val="18"/>
                <w:szCs w:val="18"/>
                <w:lang w:eastAsia="en-AU"/>
              </w:rPr>
              <w:t>00</w:t>
            </w:r>
            <w:r w:rsidR="00C60188">
              <w:rPr>
                <w:rFonts w:eastAsia="Times New Roman" w:cstheme="minorHAnsi"/>
                <w:color w:val="000000"/>
                <w:sz w:val="18"/>
                <w:szCs w:val="18"/>
                <w:lang w:eastAsia="en-AU"/>
              </w:rPr>
              <w:t>9</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FF01285" w14:textId="31BAA9AF" w:rsidR="00F86BFD" w:rsidRPr="00654840" w:rsidRDefault="00F86BFD" w:rsidP="00F86BFD">
            <w:pPr>
              <w:spacing w:before="20" w:after="20" w:line="240" w:lineRule="auto"/>
              <w:jc w:val="right"/>
              <w:rPr>
                <w:rFonts w:eastAsia="Times New Roman" w:cs="Calibri"/>
                <w:bCs/>
                <w:sz w:val="18"/>
                <w:szCs w:val="18"/>
                <w:lang w:eastAsia="en-AU"/>
              </w:rPr>
            </w:pP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80353F5" w14:textId="30E67FF8"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6,172</w:t>
            </w:r>
            <w:r w:rsidR="00766B5A">
              <w:rPr>
                <w:rFonts w:eastAsia="Times New Roman" w:cstheme="minorHAnsi"/>
                <w:color w:val="000000"/>
                <w:sz w:val="18"/>
                <w:szCs w:val="18"/>
                <w:lang w:eastAsia="en-AU"/>
              </w:rPr>
              <w:t>.</w:t>
            </w:r>
            <w:r w:rsidRPr="00A73802">
              <w:rPr>
                <w:rFonts w:eastAsia="Times New Roman" w:cstheme="minorHAnsi"/>
                <w:color w:val="000000"/>
                <w:sz w:val="18"/>
                <w:szCs w:val="18"/>
                <w:lang w:eastAsia="en-AU"/>
              </w:rPr>
              <w:t>86</w:t>
            </w:r>
            <w:r w:rsidR="00331EB8">
              <w:rPr>
                <w:rFonts w:eastAsia="Times New Roman" w:cstheme="minorHAnsi"/>
                <w:color w:val="000000"/>
                <w:sz w:val="18"/>
                <w:szCs w:val="18"/>
                <w:lang w:eastAsia="en-AU"/>
              </w:rPr>
              <w:t>7</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2B89719" w14:textId="610C6155" w:rsidR="00F86BFD" w:rsidRPr="00654840" w:rsidRDefault="00F86BFD" w:rsidP="00F86BFD">
            <w:pPr>
              <w:spacing w:before="20" w:after="20" w:line="240" w:lineRule="auto"/>
              <w:jc w:val="right"/>
              <w:rPr>
                <w:rFonts w:eastAsia="Times New Roman" w:cs="Calibri"/>
                <w:bCs/>
                <w:sz w:val="18"/>
                <w:szCs w:val="18"/>
                <w:lang w:eastAsia="en-AU"/>
              </w:rPr>
            </w:pPr>
          </w:p>
        </w:tc>
      </w:tr>
      <w:tr w:rsidR="00F86BFD" w:rsidRPr="00654840" w14:paraId="7C4BDDEB"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4C8C9B3F" w14:textId="77777777" w:rsidR="00F86BFD" w:rsidRPr="00654840" w:rsidRDefault="00F86BFD" w:rsidP="00F86BFD">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718" w:type="dxa"/>
            <w:tcBorders>
              <w:top w:val="single" w:sz="4" w:space="0" w:color="auto"/>
              <w:left w:val="nil"/>
              <w:bottom w:val="single" w:sz="4" w:space="0" w:color="auto"/>
              <w:right w:val="single" w:sz="4" w:space="0" w:color="auto"/>
            </w:tcBorders>
            <w:vAlign w:val="center"/>
          </w:tcPr>
          <w:p w14:paraId="0610BABB" w14:textId="370C78B8"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11,581</w:t>
            </w:r>
            <w:r w:rsidR="009D0FBC">
              <w:rPr>
                <w:rFonts w:eastAsia="Times New Roman" w:cstheme="minorHAnsi"/>
                <w:color w:val="000000"/>
                <w:sz w:val="18"/>
                <w:szCs w:val="18"/>
                <w:lang w:eastAsia="en-AU"/>
              </w:rPr>
              <w:t>.</w:t>
            </w:r>
            <w:r w:rsidRPr="00A73802">
              <w:rPr>
                <w:rFonts w:eastAsia="Times New Roman" w:cstheme="minorHAnsi"/>
                <w:color w:val="000000"/>
                <w:sz w:val="18"/>
                <w:szCs w:val="18"/>
                <w:lang w:eastAsia="en-AU"/>
              </w:rPr>
              <w:t>205</w:t>
            </w:r>
          </w:p>
        </w:tc>
        <w:tc>
          <w:tcPr>
            <w:tcW w:w="1502" w:type="dxa"/>
            <w:tcBorders>
              <w:top w:val="single" w:sz="4" w:space="0" w:color="auto"/>
              <w:left w:val="nil"/>
              <w:bottom w:val="single" w:sz="4" w:space="0" w:color="auto"/>
              <w:right w:val="single" w:sz="4" w:space="0" w:color="auto"/>
            </w:tcBorders>
            <w:vAlign w:val="center"/>
          </w:tcPr>
          <w:p w14:paraId="4AD85D9E" w14:textId="5CFD3D83"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72.22</w:t>
            </w:r>
          </w:p>
        </w:tc>
        <w:tc>
          <w:tcPr>
            <w:tcW w:w="1718" w:type="dxa"/>
            <w:tcBorders>
              <w:top w:val="single" w:sz="4" w:space="0" w:color="auto"/>
              <w:left w:val="nil"/>
              <w:bottom w:val="single" w:sz="4" w:space="0" w:color="auto"/>
              <w:right w:val="single" w:sz="4" w:space="0" w:color="auto"/>
            </w:tcBorders>
            <w:vAlign w:val="center"/>
          </w:tcPr>
          <w:p w14:paraId="698C4D63" w14:textId="6AC84735"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1,393</w:t>
            </w:r>
            <w:r w:rsidR="00766B5A">
              <w:rPr>
                <w:rFonts w:eastAsia="Times New Roman" w:cstheme="minorHAnsi"/>
                <w:color w:val="000000"/>
                <w:sz w:val="18"/>
                <w:szCs w:val="18"/>
                <w:lang w:eastAsia="en-AU"/>
              </w:rPr>
              <w:t>.</w:t>
            </w:r>
            <w:r w:rsidRPr="00A73802">
              <w:rPr>
                <w:rFonts w:eastAsia="Times New Roman" w:cstheme="minorHAnsi"/>
                <w:color w:val="000000"/>
                <w:sz w:val="18"/>
                <w:szCs w:val="18"/>
                <w:lang w:eastAsia="en-AU"/>
              </w:rPr>
              <w:t>21</w:t>
            </w:r>
            <w:r w:rsidR="00331EB8">
              <w:rPr>
                <w:rFonts w:eastAsia="Times New Roman" w:cstheme="minorHAnsi"/>
                <w:color w:val="000000"/>
                <w:sz w:val="18"/>
                <w:szCs w:val="18"/>
                <w:lang w:eastAsia="en-AU"/>
              </w:rPr>
              <w:t>6</w:t>
            </w:r>
          </w:p>
        </w:tc>
        <w:tc>
          <w:tcPr>
            <w:tcW w:w="1497" w:type="dxa"/>
            <w:tcBorders>
              <w:top w:val="single" w:sz="4" w:space="0" w:color="auto"/>
              <w:left w:val="nil"/>
              <w:bottom w:val="single" w:sz="4" w:space="0" w:color="auto"/>
              <w:right w:val="single" w:sz="4" w:space="0" w:color="auto"/>
            </w:tcBorders>
            <w:vAlign w:val="center"/>
          </w:tcPr>
          <w:p w14:paraId="4681CABF" w14:textId="4534D42F"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22.57</w:t>
            </w:r>
          </w:p>
        </w:tc>
      </w:tr>
      <w:tr w:rsidR="00C6632D" w:rsidRPr="00654840" w14:paraId="2D3D7351"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058D8D17" w14:textId="77777777" w:rsidR="00F86BFD" w:rsidRPr="00654840" w:rsidRDefault="00F86BFD" w:rsidP="00F86BFD">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AA94535" w14:textId="35791C4F"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12,873</w:t>
            </w:r>
            <w:r w:rsidR="009D0FBC">
              <w:rPr>
                <w:rFonts w:eastAsia="Times New Roman" w:cstheme="minorHAnsi"/>
                <w:color w:val="000000"/>
                <w:sz w:val="18"/>
                <w:szCs w:val="18"/>
                <w:lang w:eastAsia="en-AU"/>
              </w:rPr>
              <w:t>.</w:t>
            </w:r>
            <w:r w:rsidRPr="00A73802">
              <w:rPr>
                <w:rFonts w:eastAsia="Times New Roman" w:cstheme="minorHAnsi"/>
                <w:color w:val="000000"/>
                <w:sz w:val="18"/>
                <w:szCs w:val="18"/>
                <w:lang w:eastAsia="en-AU"/>
              </w:rPr>
              <w:t>228</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AD0E634" w14:textId="6737B693"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80.28</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B1C64EF" w14:textId="6766C704"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1,443</w:t>
            </w:r>
            <w:r w:rsidR="00766B5A">
              <w:rPr>
                <w:rFonts w:eastAsia="Times New Roman" w:cstheme="minorHAnsi"/>
                <w:color w:val="000000"/>
                <w:sz w:val="18"/>
                <w:szCs w:val="18"/>
                <w:lang w:eastAsia="en-AU"/>
              </w:rPr>
              <w:t>.</w:t>
            </w:r>
            <w:r w:rsidRPr="00A73802">
              <w:rPr>
                <w:rFonts w:eastAsia="Times New Roman" w:cstheme="minorHAnsi"/>
                <w:color w:val="000000"/>
                <w:sz w:val="18"/>
                <w:szCs w:val="18"/>
                <w:lang w:eastAsia="en-AU"/>
              </w:rPr>
              <w:t>253</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B58EB08" w14:textId="1F45C585"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23.38</w:t>
            </w:r>
          </w:p>
        </w:tc>
      </w:tr>
      <w:tr w:rsidR="00F86BFD" w:rsidRPr="00654840" w14:paraId="31C4E6CC"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297DA300" w14:textId="77777777" w:rsidR="00F86BFD" w:rsidRPr="00654840" w:rsidRDefault="00F86BFD" w:rsidP="00F86BFD">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718" w:type="dxa"/>
            <w:tcBorders>
              <w:top w:val="single" w:sz="4" w:space="0" w:color="auto"/>
              <w:left w:val="nil"/>
              <w:bottom w:val="single" w:sz="4" w:space="0" w:color="auto"/>
              <w:right w:val="single" w:sz="4" w:space="0" w:color="auto"/>
            </w:tcBorders>
            <w:vAlign w:val="center"/>
          </w:tcPr>
          <w:p w14:paraId="3BC88D80" w14:textId="7D7520CE" w:rsidR="00F86BFD" w:rsidRPr="00654840" w:rsidRDefault="00F86BFD" w:rsidP="00F86BFD">
            <w:pPr>
              <w:spacing w:before="20" w:after="20" w:line="240" w:lineRule="auto"/>
              <w:jc w:val="right"/>
              <w:rPr>
                <w:rFonts w:eastAsia="Times New Roman" w:cs="Calibri"/>
                <w:bCs/>
                <w:sz w:val="18"/>
                <w:szCs w:val="18"/>
                <w:lang w:eastAsia="en-AU"/>
              </w:rPr>
            </w:pPr>
            <w:r w:rsidRPr="56AE6E59">
              <w:rPr>
                <w:rFonts w:eastAsia="Times New Roman"/>
                <w:color w:val="000000" w:themeColor="text1"/>
                <w:sz w:val="18"/>
                <w:szCs w:val="18"/>
                <w:lang w:eastAsia="en-AU"/>
              </w:rPr>
              <w:t>-96</w:t>
            </w:r>
            <w:r w:rsidR="00072E01">
              <w:rPr>
                <w:rFonts w:eastAsia="Times New Roman"/>
                <w:color w:val="000000" w:themeColor="text1"/>
                <w:sz w:val="18"/>
                <w:szCs w:val="18"/>
                <w:lang w:eastAsia="en-AU"/>
              </w:rPr>
              <w:t>.</w:t>
            </w:r>
            <w:r w:rsidRPr="56AE6E59">
              <w:rPr>
                <w:rFonts w:eastAsia="Times New Roman"/>
                <w:color w:val="000000" w:themeColor="text1"/>
                <w:sz w:val="18"/>
                <w:szCs w:val="18"/>
                <w:lang w:eastAsia="en-AU"/>
              </w:rPr>
              <w:t>216</w:t>
            </w:r>
            <w:r w:rsidR="00072E01" w:rsidRPr="56AE6E59" w:rsidDel="00072E01">
              <w:rPr>
                <w:rFonts w:eastAsia="Times New Roman"/>
                <w:color w:val="000000" w:themeColor="text1"/>
                <w:sz w:val="18"/>
                <w:szCs w:val="18"/>
                <w:lang w:eastAsia="en-AU"/>
              </w:rPr>
              <w:t xml:space="preserve"> </w:t>
            </w:r>
          </w:p>
        </w:tc>
        <w:tc>
          <w:tcPr>
            <w:tcW w:w="1502" w:type="dxa"/>
            <w:tcBorders>
              <w:top w:val="single" w:sz="4" w:space="0" w:color="auto"/>
              <w:left w:val="nil"/>
              <w:bottom w:val="single" w:sz="4" w:space="0" w:color="auto"/>
              <w:right w:val="single" w:sz="4" w:space="0" w:color="auto"/>
            </w:tcBorders>
            <w:vAlign w:val="center"/>
          </w:tcPr>
          <w:p w14:paraId="17E92E4F" w14:textId="5997623E"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-0.6</w:t>
            </w:r>
          </w:p>
        </w:tc>
        <w:tc>
          <w:tcPr>
            <w:tcW w:w="1718" w:type="dxa"/>
            <w:tcBorders>
              <w:top w:val="single" w:sz="4" w:space="0" w:color="auto"/>
              <w:left w:val="nil"/>
              <w:bottom w:val="single" w:sz="4" w:space="0" w:color="auto"/>
              <w:right w:val="single" w:sz="4" w:space="0" w:color="auto"/>
            </w:tcBorders>
            <w:vAlign w:val="center"/>
          </w:tcPr>
          <w:p w14:paraId="67A25920" w14:textId="77A469F4" w:rsidR="00F86BFD" w:rsidRPr="00561802" w:rsidRDefault="00F86BFD" w:rsidP="00561802">
            <w:pPr>
              <w:spacing w:before="20" w:after="20" w:line="240" w:lineRule="auto"/>
              <w:jc w:val="right"/>
              <w:rPr>
                <w:rFonts w:eastAsia="Times New Roman" w:cstheme="minorHAnsi"/>
                <w:color w:val="000000"/>
                <w:sz w:val="18"/>
                <w:szCs w:val="18"/>
                <w:lang w:eastAsia="en-AU"/>
              </w:rPr>
            </w:pPr>
            <w:r w:rsidRPr="00A73802">
              <w:rPr>
                <w:rFonts w:eastAsia="Times New Roman" w:cstheme="minorHAnsi"/>
                <w:color w:val="000000"/>
                <w:sz w:val="18"/>
                <w:szCs w:val="18"/>
                <w:lang w:eastAsia="en-AU"/>
              </w:rPr>
              <w:t>-37</w:t>
            </w:r>
            <w:r w:rsidR="00331EB8">
              <w:rPr>
                <w:rFonts w:eastAsia="Times New Roman" w:cstheme="minorHAnsi"/>
                <w:color w:val="000000"/>
                <w:sz w:val="18"/>
                <w:szCs w:val="18"/>
                <w:lang w:eastAsia="en-AU"/>
              </w:rPr>
              <w:t>.</w:t>
            </w:r>
            <w:r w:rsidRPr="00A73802">
              <w:rPr>
                <w:rFonts w:eastAsia="Times New Roman" w:cstheme="minorHAnsi"/>
                <w:color w:val="000000"/>
                <w:sz w:val="18"/>
                <w:szCs w:val="18"/>
                <w:lang w:eastAsia="en-AU"/>
              </w:rPr>
              <w:t>037</w:t>
            </w:r>
          </w:p>
        </w:tc>
        <w:tc>
          <w:tcPr>
            <w:tcW w:w="1497" w:type="dxa"/>
            <w:tcBorders>
              <w:top w:val="single" w:sz="4" w:space="0" w:color="auto"/>
              <w:left w:val="nil"/>
              <w:bottom w:val="single" w:sz="4" w:space="0" w:color="auto"/>
              <w:right w:val="single" w:sz="4" w:space="0" w:color="auto"/>
            </w:tcBorders>
            <w:vAlign w:val="center"/>
          </w:tcPr>
          <w:p w14:paraId="5A4204F4" w14:textId="78AD59AC" w:rsidR="00F86BFD" w:rsidRPr="00654840" w:rsidRDefault="00F86BFD" w:rsidP="00F86BFD">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-0.6</w:t>
            </w:r>
          </w:p>
        </w:tc>
      </w:tr>
      <w:tr w:rsidR="00C6632D" w:rsidRPr="00654840" w14:paraId="333352DC"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9D6F7FF" w14:textId="77777777" w:rsidR="00F86BFD" w:rsidRPr="00654840" w:rsidRDefault="00F86BFD" w:rsidP="00F86BFD">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2FD6D71" w14:textId="2D561A31" w:rsidR="00F86BFD" w:rsidRPr="00654840"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F5C6CE8" w14:textId="5B378345" w:rsidR="00F86BFD" w:rsidRPr="00654840"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7CAC67E" w14:textId="7BB3D41E" w:rsidR="00F86BFD" w:rsidRPr="00654840"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92D8AD2" w14:textId="3CDD6BE0" w:rsidR="00F86BFD" w:rsidRPr="00654840"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F86BFD" w:rsidRPr="00654840" w14:paraId="4182E0A5"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52FEA114" w14:textId="77777777" w:rsidR="00F86BFD" w:rsidRPr="00654840" w:rsidRDefault="00F86BFD" w:rsidP="00F86BFD">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718" w:type="dxa"/>
            <w:tcBorders>
              <w:top w:val="single" w:sz="4" w:space="0" w:color="auto"/>
              <w:left w:val="nil"/>
              <w:bottom w:val="single" w:sz="4" w:space="0" w:color="auto"/>
              <w:right w:val="single" w:sz="4" w:space="0" w:color="auto"/>
            </w:tcBorders>
            <w:vAlign w:val="center"/>
          </w:tcPr>
          <w:p w14:paraId="235BEAE4" w14:textId="15803649" w:rsidR="00F86BFD" w:rsidRPr="00654840"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vAlign w:val="center"/>
          </w:tcPr>
          <w:p w14:paraId="184EF942" w14:textId="72AF540D" w:rsidR="00F86BFD" w:rsidRPr="00654840"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vAlign w:val="center"/>
          </w:tcPr>
          <w:p w14:paraId="28BD16F2" w14:textId="4B386624" w:rsidR="00F86BFD" w:rsidRPr="00654840"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vAlign w:val="center"/>
          </w:tcPr>
          <w:p w14:paraId="7925FDB4" w14:textId="6B7FBC94" w:rsidR="00F86BFD" w:rsidRPr="00654840"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36401C" w:rsidRPr="00654840" w14:paraId="13A5FDEC"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A2901A6" w14:textId="4287DCB7" w:rsidR="00F86BFD" w:rsidRPr="00654840" w:rsidRDefault="00F86BFD" w:rsidP="00F86BFD">
            <w:pPr>
              <w:spacing w:before="20" w:after="20" w:line="240" w:lineRule="auto"/>
              <w:rPr>
                <w:rFonts w:eastAsia="Times New Roman" w:cs="Calibri"/>
                <w:b/>
                <w:sz w:val="18"/>
                <w:szCs w:val="18"/>
              </w:rPr>
            </w:pPr>
            <w:r w:rsidRPr="00B20F94">
              <w:rPr>
                <w:rFonts w:eastAsia="Times New Roman" w:cs="Calibri"/>
                <w:b/>
                <w:sz w:val="18"/>
                <w:szCs w:val="18"/>
              </w:rPr>
              <w:t>Total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2312F32" w14:textId="288A332C" w:rsidR="00F86BFD" w:rsidRPr="00654840"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3EC6E99" w14:textId="380423B0" w:rsidR="00F86BFD"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05BD0D4" w14:textId="6CE922A6" w:rsidR="00F86BFD" w:rsidRPr="00654840"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D67288F" w14:textId="14F24E4B" w:rsidR="00F86BFD" w:rsidRPr="00654840" w:rsidRDefault="003A62E6" w:rsidP="00F86BF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36401C" w:rsidRPr="00654840" w14:paraId="59EE1D03"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54F0F654" w14:textId="79819C37" w:rsidR="008F0033" w:rsidRPr="00654840" w:rsidRDefault="00C50C1E" w:rsidP="008F0033">
            <w:pPr>
              <w:spacing w:before="20" w:after="20" w:line="240" w:lineRule="auto"/>
              <w:rPr>
                <w:rFonts w:eastAsia="Times New Roman" w:cs="Calibri"/>
                <w:b/>
                <w:sz w:val="18"/>
                <w:szCs w:val="18"/>
              </w:rPr>
            </w:pPr>
            <w:r>
              <w:rPr>
                <w:rFonts w:eastAsia="Times New Roman" w:cs="Calibri"/>
                <w:b/>
                <w:sz w:val="18"/>
                <w:szCs w:val="18"/>
              </w:rPr>
              <w:t>Cap</w:t>
            </w:r>
            <w:r w:rsidR="008F0033" w:rsidRPr="00654840">
              <w:rPr>
                <w:rFonts w:eastAsia="Times New Roman" w:cs="Calibri"/>
                <w:b/>
                <w:sz w:val="18"/>
                <w:szCs w:val="18"/>
              </w:rPr>
              <w:t xml:space="preserve"> on inclusions</w:t>
            </w:r>
          </w:p>
        </w:tc>
        <w:tc>
          <w:tcPr>
            <w:tcW w:w="1718" w:type="dxa"/>
            <w:tcBorders>
              <w:top w:val="single" w:sz="4" w:space="0" w:color="auto"/>
              <w:left w:val="nil"/>
              <w:bottom w:val="single" w:sz="4" w:space="0" w:color="auto"/>
              <w:right w:val="single" w:sz="4" w:space="0" w:color="auto"/>
            </w:tcBorders>
            <w:vAlign w:val="center"/>
          </w:tcPr>
          <w:p w14:paraId="0AF9680F" w14:textId="120634CF" w:rsidR="008F0033" w:rsidRPr="00654840" w:rsidRDefault="571B9014" w:rsidP="008F0033">
            <w:pPr>
              <w:spacing w:before="20" w:after="20" w:line="240" w:lineRule="auto"/>
              <w:jc w:val="right"/>
              <w:rPr>
                <w:rFonts w:eastAsia="Times New Roman" w:cs="Calibri"/>
                <w:bCs/>
                <w:sz w:val="18"/>
                <w:szCs w:val="18"/>
                <w:lang w:eastAsia="en-AU"/>
              </w:rPr>
            </w:pPr>
            <w:r w:rsidRPr="19505304">
              <w:rPr>
                <w:rFonts w:eastAsia="Times New Roman"/>
                <w:color w:val="000000"/>
                <w:sz w:val="18"/>
                <w:szCs w:val="18"/>
                <w:lang w:eastAsia="en-AU"/>
              </w:rPr>
              <w:t>641</w:t>
            </w:r>
            <w:r w:rsidR="29BE9059" w:rsidRPr="19505304">
              <w:rPr>
                <w:rFonts w:eastAsia="Times New Roman"/>
                <w:color w:val="000000"/>
                <w:sz w:val="18"/>
                <w:szCs w:val="18"/>
                <w:lang w:eastAsia="en-AU"/>
              </w:rPr>
              <w:t>.</w:t>
            </w:r>
            <w:r w:rsidRPr="19505304">
              <w:rPr>
                <w:rFonts w:eastAsia="Times New Roman"/>
                <w:color w:val="000000"/>
                <w:sz w:val="18"/>
                <w:szCs w:val="18"/>
                <w:lang w:eastAsia="en-AU"/>
              </w:rPr>
              <w:t>440</w:t>
            </w:r>
            <w:r w:rsidR="008F0033" w:rsidRPr="19505304">
              <w:rPr>
                <w:rStyle w:val="FootnoteReference"/>
                <w:rFonts w:eastAsia="Times New Roman" w:cs="Calibri"/>
                <w:sz w:val="18"/>
                <w:szCs w:val="18"/>
                <w:lang w:eastAsia="en-AU"/>
              </w:rPr>
              <w:footnoteReference w:id="13"/>
            </w:r>
          </w:p>
        </w:tc>
        <w:tc>
          <w:tcPr>
            <w:tcW w:w="1502" w:type="dxa"/>
            <w:tcBorders>
              <w:top w:val="single" w:sz="4" w:space="0" w:color="auto"/>
              <w:left w:val="nil"/>
              <w:bottom w:val="single" w:sz="4" w:space="0" w:color="auto"/>
              <w:right w:val="single" w:sz="4" w:space="0" w:color="auto"/>
            </w:tcBorders>
            <w:vAlign w:val="center"/>
          </w:tcPr>
          <w:p w14:paraId="1D19BBE7" w14:textId="358D70DA" w:rsidR="008F0033" w:rsidRPr="00654840" w:rsidRDefault="008F0033" w:rsidP="008F0033">
            <w:pPr>
              <w:spacing w:before="20" w:after="20" w:line="240" w:lineRule="auto"/>
              <w:jc w:val="right"/>
              <w:rPr>
                <w:rFonts w:eastAsia="Times New Roman" w:cs="Calibri"/>
                <w:bCs/>
                <w:sz w:val="18"/>
                <w:szCs w:val="18"/>
                <w:lang w:eastAsia="en-AU"/>
              </w:rPr>
            </w:pPr>
            <w:r w:rsidRPr="00A73802">
              <w:rPr>
                <w:rFonts w:eastAsia="Times New Roman" w:cstheme="minorHAnsi"/>
                <w:color w:val="000000"/>
                <w:sz w:val="18"/>
                <w:szCs w:val="18"/>
                <w:lang w:eastAsia="en-AU"/>
              </w:rPr>
              <w:t>4</w:t>
            </w:r>
            <w:r w:rsidR="002A3B86">
              <w:rPr>
                <w:rFonts w:eastAsia="Times New Roman" w:cstheme="minorHAnsi"/>
                <w:color w:val="000000"/>
                <w:sz w:val="18"/>
                <w:szCs w:val="18"/>
                <w:lang w:eastAsia="en-AU"/>
              </w:rPr>
              <w:t>.0</w:t>
            </w:r>
          </w:p>
        </w:tc>
        <w:tc>
          <w:tcPr>
            <w:tcW w:w="1718" w:type="dxa"/>
            <w:tcBorders>
              <w:top w:val="single" w:sz="4" w:space="0" w:color="auto"/>
              <w:left w:val="nil"/>
              <w:bottom w:val="single" w:sz="4" w:space="0" w:color="auto"/>
              <w:right w:val="single" w:sz="4" w:space="0" w:color="auto"/>
            </w:tcBorders>
            <w:vAlign w:val="center"/>
          </w:tcPr>
          <w:p w14:paraId="7F4A4616" w14:textId="73301E51" w:rsidR="008F0033" w:rsidRPr="00654840" w:rsidRDefault="003A62E6" w:rsidP="008F0033">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vAlign w:val="center"/>
          </w:tcPr>
          <w:p w14:paraId="5F6FAA88" w14:textId="7B837D7D" w:rsidR="008F0033" w:rsidRPr="00654840" w:rsidRDefault="003A62E6" w:rsidP="008F0033">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36401C" w:rsidRPr="00654840" w14:paraId="78EACA1C"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EDBF4BA" w14:textId="77777777" w:rsidR="00DC0907" w:rsidRPr="00654840" w:rsidRDefault="00DC0907" w:rsidP="00DC0907">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1ED3509" w14:textId="1807F2B4" w:rsidR="00DC0907" w:rsidRPr="00654840" w:rsidRDefault="003A62E6" w:rsidP="00DC0907">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4188BC9" w14:textId="03F69ED0" w:rsidR="00DC0907" w:rsidRPr="00654840" w:rsidRDefault="003A62E6" w:rsidP="00DC0907">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CB77F0E" w14:textId="2737469D" w:rsidR="00DC0907" w:rsidRPr="00654840" w:rsidRDefault="003A62E6" w:rsidP="00DC0907">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691F82E" w14:textId="0FEEB7C2" w:rsidR="00DC0907" w:rsidRPr="00654840" w:rsidRDefault="003A62E6" w:rsidP="00DC0907">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bookmarkEnd w:id="507"/>
    </w:tbl>
    <w:p w14:paraId="6A967CD1" w14:textId="0308C236" w:rsidR="00BB1634" w:rsidRPr="00654840" w:rsidRDefault="00BB1634" w:rsidP="00BB1634">
      <w:pPr>
        <w:spacing w:before="0" w:after="160"/>
      </w:pPr>
    </w:p>
    <w:p w14:paraId="735E57AB" w14:textId="571E409A" w:rsidR="00E9517A" w:rsidRPr="000E7C7F" w:rsidRDefault="008D6303" w:rsidP="000E7C7F">
      <w:pPr>
        <w:pStyle w:val="Heading3"/>
      </w:pPr>
      <w:bookmarkStart w:id="508" w:name="_Toc210306649"/>
      <w:bookmarkStart w:id="509" w:name="_Toc210317475"/>
      <w:bookmarkStart w:id="510" w:name="_Toc210815629"/>
      <w:bookmarkStart w:id="511" w:name="_Hlk158892188"/>
      <w:r>
        <w:t>Northern Territory</w:t>
      </w:r>
      <w:bookmarkEnd w:id="508"/>
      <w:bookmarkEnd w:id="509"/>
      <w:bookmarkEnd w:id="510"/>
    </w:p>
    <w:tbl>
      <w:tblPr>
        <w:tblW w:w="8787" w:type="dxa"/>
        <w:tblLook w:val="04A0" w:firstRow="1" w:lastRow="0" w:firstColumn="1" w:lastColumn="0" w:noHBand="0" w:noVBand="1"/>
      </w:tblPr>
      <w:tblGrid>
        <w:gridCol w:w="2348"/>
        <w:gridCol w:w="1720"/>
        <w:gridCol w:w="1502"/>
        <w:gridCol w:w="1720"/>
        <w:gridCol w:w="1497"/>
      </w:tblGrid>
      <w:tr w:rsidR="008D6303" w:rsidRPr="00654840" w14:paraId="6E53FFE2" w14:textId="77777777" w:rsidTr="19505304">
        <w:trPr>
          <w:trHeight w:val="408"/>
        </w:trPr>
        <w:tc>
          <w:tcPr>
            <w:tcW w:w="2348" w:type="dxa"/>
            <w:tcBorders>
              <w:top w:val="single" w:sz="4" w:space="0" w:color="auto"/>
              <w:left w:val="single" w:sz="4" w:space="0" w:color="auto"/>
              <w:bottom w:val="single" w:sz="4" w:space="0" w:color="auto"/>
              <w:right w:val="single" w:sz="4" w:space="0" w:color="auto"/>
            </w:tcBorders>
            <w:vAlign w:val="center"/>
          </w:tcPr>
          <w:p w14:paraId="61A66C1B" w14:textId="14B755A8" w:rsidR="008D6303" w:rsidRPr="00654840" w:rsidRDefault="008D6303" w:rsidP="003E5C94">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720" w:type="dxa"/>
            <w:tcBorders>
              <w:top w:val="single" w:sz="4" w:space="0" w:color="auto"/>
              <w:left w:val="nil"/>
              <w:bottom w:val="single" w:sz="4" w:space="0" w:color="auto"/>
              <w:right w:val="single" w:sz="4" w:space="0" w:color="auto"/>
            </w:tcBorders>
            <w:vAlign w:val="center"/>
          </w:tcPr>
          <w:p w14:paraId="488E33DB" w14:textId="5B89BE67"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r w:rsidR="00CE5FAD">
              <w:rPr>
                <w:rFonts w:eastAsia="Calibri" w:cs="Times New Roman"/>
                <w:b/>
                <w:bCs/>
                <w:sz w:val="18"/>
                <w:szCs w:val="18"/>
              </w:rPr>
              <w:t>M</w:t>
            </w:r>
            <w:r w:rsidRPr="00654840">
              <w:rPr>
                <w:rFonts w:eastAsia="Calibri" w:cs="Times New Roman"/>
                <w:b/>
                <w:bCs/>
                <w:sz w:val="18"/>
                <w:szCs w:val="18"/>
              </w:rPr>
              <w:t>)</w:t>
            </w:r>
          </w:p>
        </w:tc>
        <w:tc>
          <w:tcPr>
            <w:tcW w:w="1502" w:type="dxa"/>
            <w:tcBorders>
              <w:top w:val="single" w:sz="4" w:space="0" w:color="auto"/>
              <w:left w:val="nil"/>
              <w:bottom w:val="single" w:sz="4" w:space="0" w:color="auto"/>
              <w:right w:val="single" w:sz="4" w:space="0" w:color="auto"/>
            </w:tcBorders>
            <w:vAlign w:val="center"/>
          </w:tcPr>
          <w:p w14:paraId="12682F8E" w14:textId="02404766"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720" w:type="dxa"/>
            <w:tcBorders>
              <w:top w:val="single" w:sz="4" w:space="0" w:color="auto"/>
              <w:left w:val="nil"/>
              <w:bottom w:val="single" w:sz="4" w:space="0" w:color="auto"/>
              <w:right w:val="single" w:sz="4" w:space="0" w:color="auto"/>
            </w:tcBorders>
            <w:vAlign w:val="center"/>
          </w:tcPr>
          <w:p w14:paraId="41F509A4" w14:textId="7122EAB3"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r w:rsidR="00CE5FAD">
              <w:rPr>
                <w:rFonts w:eastAsia="Calibri" w:cs="Times New Roman"/>
                <w:b/>
                <w:bCs/>
                <w:sz w:val="18"/>
                <w:szCs w:val="18"/>
              </w:rPr>
              <w:t>M</w:t>
            </w:r>
            <w:r w:rsidRPr="00654840">
              <w:rPr>
                <w:rFonts w:eastAsia="Calibri" w:cs="Times New Roman"/>
                <w:b/>
                <w:bCs/>
                <w:sz w:val="18"/>
                <w:szCs w:val="18"/>
              </w:rPr>
              <w:t>)</w:t>
            </w:r>
          </w:p>
        </w:tc>
        <w:tc>
          <w:tcPr>
            <w:tcW w:w="1497" w:type="dxa"/>
            <w:tcBorders>
              <w:top w:val="single" w:sz="4" w:space="0" w:color="auto"/>
              <w:left w:val="nil"/>
              <w:bottom w:val="single" w:sz="4" w:space="0" w:color="auto"/>
              <w:right w:val="single" w:sz="4" w:space="0" w:color="auto"/>
            </w:tcBorders>
            <w:vAlign w:val="center"/>
          </w:tcPr>
          <w:p w14:paraId="707FB51D" w14:textId="346255BA"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13558D" w:rsidRPr="00654840" w14:paraId="5F10B3C8" w14:textId="77777777" w:rsidTr="19505304">
        <w:trPr>
          <w:trHeight w:val="408"/>
        </w:trPr>
        <w:tc>
          <w:tcPr>
            <w:tcW w:w="234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D33CA99" w14:textId="77777777" w:rsidR="0013558D" w:rsidRPr="00654840" w:rsidRDefault="0013558D" w:rsidP="0013558D">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72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6F01E08" w14:textId="01198DD0"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999</w:t>
            </w:r>
            <w:r w:rsidR="00621D5C">
              <w:rPr>
                <w:rFonts w:eastAsia="Times New Roman" w:cstheme="minorHAnsi"/>
                <w:color w:val="000000"/>
                <w:sz w:val="18"/>
                <w:szCs w:val="18"/>
                <w:lang w:eastAsia="en-AU"/>
              </w:rPr>
              <w:t>.</w:t>
            </w:r>
            <w:r w:rsidRPr="004D34C7">
              <w:rPr>
                <w:rFonts w:eastAsia="Times New Roman" w:cstheme="minorHAnsi"/>
                <w:color w:val="000000"/>
                <w:sz w:val="18"/>
                <w:szCs w:val="18"/>
                <w:lang w:eastAsia="en-AU"/>
              </w:rPr>
              <w:t>02</w:t>
            </w:r>
            <w:r w:rsidR="00331EB8">
              <w:rPr>
                <w:rFonts w:eastAsia="Times New Roman" w:cstheme="minorHAnsi"/>
                <w:color w:val="000000"/>
                <w:sz w:val="18"/>
                <w:szCs w:val="18"/>
                <w:lang w:eastAsia="en-AU"/>
              </w:rPr>
              <w:t>3</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4BCF991" w14:textId="32FEF403" w:rsidR="0013558D" w:rsidRPr="00654840" w:rsidRDefault="0013558D" w:rsidP="0013558D">
            <w:pPr>
              <w:spacing w:before="20" w:after="20" w:line="240" w:lineRule="auto"/>
              <w:jc w:val="right"/>
              <w:rPr>
                <w:rFonts w:eastAsia="Times New Roman" w:cs="Calibri"/>
                <w:bCs/>
                <w:sz w:val="18"/>
                <w:szCs w:val="18"/>
                <w:lang w:eastAsia="en-AU"/>
              </w:rPr>
            </w:pPr>
          </w:p>
        </w:tc>
        <w:tc>
          <w:tcPr>
            <w:tcW w:w="172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0BEEF4B" w14:textId="6B0FFFFE"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263</w:t>
            </w:r>
            <w:r w:rsidR="00621D5C">
              <w:rPr>
                <w:rFonts w:eastAsia="Times New Roman" w:cstheme="minorHAnsi"/>
                <w:color w:val="000000"/>
                <w:sz w:val="18"/>
                <w:szCs w:val="18"/>
                <w:lang w:eastAsia="en-AU"/>
              </w:rPr>
              <w:t>.</w:t>
            </w:r>
            <w:r w:rsidRPr="004D34C7">
              <w:rPr>
                <w:rFonts w:eastAsia="Times New Roman" w:cstheme="minorHAnsi"/>
                <w:color w:val="000000"/>
                <w:sz w:val="18"/>
                <w:szCs w:val="18"/>
                <w:lang w:eastAsia="en-AU"/>
              </w:rPr>
              <w:t>56</w:t>
            </w:r>
            <w:r w:rsidR="003A21B4">
              <w:rPr>
                <w:rFonts w:eastAsia="Times New Roman" w:cstheme="minorHAnsi"/>
                <w:color w:val="000000"/>
                <w:sz w:val="18"/>
                <w:szCs w:val="18"/>
                <w:lang w:eastAsia="en-AU"/>
              </w:rPr>
              <w:t>1</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7EECBE4" w14:textId="79E3F3C6" w:rsidR="0013558D" w:rsidRPr="00654840" w:rsidRDefault="0013558D" w:rsidP="0013558D">
            <w:pPr>
              <w:spacing w:before="20" w:after="20" w:line="240" w:lineRule="auto"/>
              <w:jc w:val="right"/>
              <w:rPr>
                <w:rFonts w:eastAsia="Times New Roman" w:cs="Calibri"/>
                <w:bCs/>
                <w:sz w:val="18"/>
                <w:szCs w:val="18"/>
                <w:lang w:eastAsia="en-AU"/>
              </w:rPr>
            </w:pPr>
          </w:p>
        </w:tc>
      </w:tr>
      <w:tr w:rsidR="0013558D" w:rsidRPr="00654840" w14:paraId="5736EFE2" w14:textId="77777777" w:rsidTr="19505304">
        <w:trPr>
          <w:trHeight w:val="408"/>
        </w:trPr>
        <w:tc>
          <w:tcPr>
            <w:tcW w:w="2348" w:type="dxa"/>
            <w:tcBorders>
              <w:top w:val="single" w:sz="4" w:space="0" w:color="auto"/>
              <w:left w:val="single" w:sz="4" w:space="0" w:color="auto"/>
              <w:bottom w:val="single" w:sz="4" w:space="0" w:color="auto"/>
              <w:right w:val="single" w:sz="4" w:space="0" w:color="auto"/>
            </w:tcBorders>
            <w:vAlign w:val="center"/>
            <w:hideMark/>
          </w:tcPr>
          <w:p w14:paraId="1ECDEFAD" w14:textId="77777777" w:rsidR="0013558D" w:rsidRPr="00654840" w:rsidRDefault="0013558D" w:rsidP="0013558D">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720" w:type="dxa"/>
            <w:tcBorders>
              <w:top w:val="single" w:sz="4" w:space="0" w:color="auto"/>
              <w:left w:val="nil"/>
              <w:bottom w:val="single" w:sz="4" w:space="0" w:color="auto"/>
              <w:right w:val="single" w:sz="4" w:space="0" w:color="auto"/>
            </w:tcBorders>
            <w:vAlign w:val="center"/>
          </w:tcPr>
          <w:p w14:paraId="5D708887" w14:textId="2E4BDEC2"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589</w:t>
            </w:r>
            <w:r w:rsidR="00621D5C">
              <w:rPr>
                <w:rFonts w:eastAsia="Times New Roman" w:cstheme="minorHAnsi"/>
                <w:color w:val="000000"/>
                <w:sz w:val="18"/>
                <w:szCs w:val="18"/>
                <w:lang w:eastAsia="en-AU"/>
              </w:rPr>
              <w:t>.</w:t>
            </w:r>
            <w:r w:rsidRPr="004D34C7">
              <w:rPr>
                <w:rFonts w:eastAsia="Times New Roman" w:cstheme="minorHAnsi"/>
                <w:color w:val="000000"/>
                <w:sz w:val="18"/>
                <w:szCs w:val="18"/>
                <w:lang w:eastAsia="en-AU"/>
              </w:rPr>
              <w:t>423</w:t>
            </w:r>
          </w:p>
        </w:tc>
        <w:tc>
          <w:tcPr>
            <w:tcW w:w="1502" w:type="dxa"/>
            <w:tcBorders>
              <w:top w:val="single" w:sz="4" w:space="0" w:color="auto"/>
              <w:left w:val="nil"/>
              <w:bottom w:val="single" w:sz="4" w:space="0" w:color="auto"/>
              <w:right w:val="single" w:sz="4" w:space="0" w:color="auto"/>
            </w:tcBorders>
            <w:vAlign w:val="center"/>
          </w:tcPr>
          <w:p w14:paraId="4132843A" w14:textId="5736A978"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59</w:t>
            </w:r>
          </w:p>
        </w:tc>
        <w:tc>
          <w:tcPr>
            <w:tcW w:w="1720" w:type="dxa"/>
            <w:tcBorders>
              <w:top w:val="single" w:sz="4" w:space="0" w:color="auto"/>
              <w:left w:val="nil"/>
              <w:bottom w:val="single" w:sz="4" w:space="0" w:color="auto"/>
              <w:right w:val="single" w:sz="4" w:space="0" w:color="auto"/>
            </w:tcBorders>
            <w:vAlign w:val="center"/>
          </w:tcPr>
          <w:p w14:paraId="4A076F19" w14:textId="308B2255"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39</w:t>
            </w:r>
            <w:r w:rsidR="006160D1">
              <w:rPr>
                <w:rFonts w:eastAsia="Times New Roman" w:cstheme="minorHAnsi"/>
                <w:color w:val="000000"/>
                <w:sz w:val="18"/>
                <w:szCs w:val="18"/>
                <w:lang w:eastAsia="en-AU"/>
              </w:rPr>
              <w:t>.</w:t>
            </w:r>
            <w:r w:rsidRPr="004D34C7">
              <w:rPr>
                <w:rFonts w:eastAsia="Times New Roman" w:cstheme="minorHAnsi"/>
                <w:color w:val="000000"/>
                <w:sz w:val="18"/>
                <w:szCs w:val="18"/>
                <w:lang w:eastAsia="en-AU"/>
              </w:rPr>
              <w:t>771</w:t>
            </w:r>
          </w:p>
        </w:tc>
        <w:tc>
          <w:tcPr>
            <w:tcW w:w="1497" w:type="dxa"/>
            <w:tcBorders>
              <w:top w:val="single" w:sz="4" w:space="0" w:color="auto"/>
              <w:left w:val="nil"/>
              <w:bottom w:val="single" w:sz="4" w:space="0" w:color="auto"/>
              <w:right w:val="single" w:sz="4" w:space="0" w:color="auto"/>
            </w:tcBorders>
            <w:vAlign w:val="center"/>
          </w:tcPr>
          <w:p w14:paraId="1A3DFD9B" w14:textId="7398F1C3"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15.09</w:t>
            </w:r>
          </w:p>
        </w:tc>
      </w:tr>
      <w:tr w:rsidR="0013558D" w:rsidRPr="00654840" w14:paraId="1145C59F" w14:textId="77777777" w:rsidTr="19505304">
        <w:trPr>
          <w:trHeight w:val="408"/>
        </w:trPr>
        <w:tc>
          <w:tcPr>
            <w:tcW w:w="234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19DA35D" w14:textId="77777777" w:rsidR="0013558D" w:rsidRPr="00654840" w:rsidRDefault="0013558D" w:rsidP="0013558D">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72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7912710" w14:textId="712F8A1C" w:rsidR="0013558D" w:rsidRPr="00654840" w:rsidRDefault="0013558D" w:rsidP="0013558D">
            <w:pPr>
              <w:spacing w:before="20" w:after="20" w:line="240" w:lineRule="auto"/>
              <w:jc w:val="right"/>
              <w:rPr>
                <w:rFonts w:eastAsia="Times New Roman" w:cs="Calibri"/>
                <w:bCs/>
                <w:color w:val="000000"/>
                <w:sz w:val="18"/>
                <w:szCs w:val="18"/>
                <w:lang w:eastAsia="en-AU"/>
              </w:rPr>
            </w:pPr>
            <w:r w:rsidRPr="004D34C7">
              <w:rPr>
                <w:rFonts w:eastAsia="Times New Roman" w:cstheme="minorHAnsi"/>
                <w:color w:val="000000"/>
                <w:sz w:val="18"/>
                <w:szCs w:val="18"/>
                <w:lang w:eastAsia="en-AU"/>
              </w:rPr>
              <w:t>573</w:t>
            </w:r>
            <w:r w:rsidR="006160D1">
              <w:rPr>
                <w:rFonts w:eastAsia="Times New Roman" w:cstheme="minorHAnsi"/>
                <w:color w:val="000000"/>
                <w:sz w:val="18"/>
                <w:szCs w:val="18"/>
                <w:lang w:eastAsia="en-AU"/>
              </w:rPr>
              <w:t>.</w:t>
            </w:r>
            <w:r w:rsidRPr="004D34C7">
              <w:rPr>
                <w:rFonts w:eastAsia="Times New Roman" w:cstheme="minorHAnsi"/>
                <w:color w:val="000000"/>
                <w:sz w:val="18"/>
                <w:szCs w:val="18"/>
                <w:lang w:eastAsia="en-AU"/>
              </w:rPr>
              <w:t>082</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6946974" w14:textId="38819578"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57.36</w:t>
            </w:r>
          </w:p>
        </w:tc>
        <w:tc>
          <w:tcPr>
            <w:tcW w:w="172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69E5C69" w14:textId="6A915D7B"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38</w:t>
            </w:r>
            <w:r w:rsidR="00BF5FB2">
              <w:rPr>
                <w:rFonts w:eastAsia="Times New Roman" w:cstheme="minorHAnsi"/>
                <w:color w:val="000000"/>
                <w:sz w:val="18"/>
                <w:szCs w:val="18"/>
                <w:lang w:eastAsia="en-AU"/>
              </w:rPr>
              <w:t>.</w:t>
            </w:r>
            <w:r w:rsidRPr="004D34C7">
              <w:rPr>
                <w:rFonts w:eastAsia="Times New Roman" w:cstheme="minorHAnsi"/>
                <w:color w:val="000000"/>
                <w:sz w:val="18"/>
                <w:szCs w:val="18"/>
                <w:lang w:eastAsia="en-AU"/>
              </w:rPr>
              <w:t>19</w:t>
            </w:r>
            <w:r w:rsidR="003A21B4">
              <w:rPr>
                <w:rFonts w:eastAsia="Times New Roman" w:cstheme="minorHAnsi"/>
                <w:color w:val="000000"/>
                <w:sz w:val="18"/>
                <w:szCs w:val="18"/>
                <w:lang w:eastAsia="en-AU"/>
              </w:rPr>
              <w:t>7</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44BF6BF" w14:textId="38F09D10"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14.49</w:t>
            </w:r>
          </w:p>
        </w:tc>
      </w:tr>
      <w:tr w:rsidR="0013558D" w:rsidRPr="00654840" w14:paraId="15E03281" w14:textId="77777777" w:rsidTr="19505304">
        <w:trPr>
          <w:trHeight w:val="408"/>
        </w:trPr>
        <w:tc>
          <w:tcPr>
            <w:tcW w:w="2348" w:type="dxa"/>
            <w:tcBorders>
              <w:top w:val="single" w:sz="4" w:space="0" w:color="auto"/>
              <w:left w:val="single" w:sz="4" w:space="0" w:color="auto"/>
              <w:bottom w:val="single" w:sz="4" w:space="0" w:color="auto"/>
              <w:right w:val="single" w:sz="4" w:space="0" w:color="auto"/>
            </w:tcBorders>
            <w:vAlign w:val="center"/>
            <w:hideMark/>
          </w:tcPr>
          <w:p w14:paraId="3CBB1C22" w14:textId="77777777" w:rsidR="0013558D" w:rsidRPr="00654840" w:rsidRDefault="0013558D" w:rsidP="0013558D">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720" w:type="dxa"/>
            <w:tcBorders>
              <w:top w:val="single" w:sz="4" w:space="0" w:color="auto"/>
              <w:left w:val="nil"/>
              <w:bottom w:val="single" w:sz="4" w:space="0" w:color="auto"/>
              <w:right w:val="single" w:sz="4" w:space="0" w:color="auto"/>
            </w:tcBorders>
            <w:vAlign w:val="center"/>
          </w:tcPr>
          <w:p w14:paraId="7133271B" w14:textId="7CD91DC0" w:rsidR="0013558D" w:rsidRPr="00654840" w:rsidRDefault="0013558D" w:rsidP="0013558D">
            <w:pPr>
              <w:spacing w:before="20" w:after="20" w:line="240" w:lineRule="auto"/>
              <w:jc w:val="right"/>
              <w:rPr>
                <w:rFonts w:eastAsia="Times New Roman" w:cs="Calibri"/>
                <w:bCs/>
                <w:color w:val="000000"/>
                <w:sz w:val="18"/>
                <w:szCs w:val="18"/>
                <w:lang w:eastAsia="en-AU"/>
              </w:rPr>
            </w:pPr>
            <w:r w:rsidRPr="004D34C7">
              <w:rPr>
                <w:rFonts w:eastAsia="Times New Roman" w:cstheme="minorHAnsi"/>
                <w:color w:val="000000"/>
                <w:sz w:val="18"/>
                <w:szCs w:val="18"/>
                <w:lang w:eastAsia="en-AU"/>
              </w:rPr>
              <w:t>-5</w:t>
            </w:r>
            <w:r w:rsidR="009471BE">
              <w:rPr>
                <w:rFonts w:eastAsia="Times New Roman" w:cstheme="minorHAnsi"/>
                <w:color w:val="000000"/>
                <w:sz w:val="18"/>
                <w:szCs w:val="18"/>
                <w:lang w:eastAsia="en-AU"/>
              </w:rPr>
              <w:t>.</w:t>
            </w:r>
            <w:r w:rsidRPr="004D34C7">
              <w:rPr>
                <w:rFonts w:eastAsia="Times New Roman" w:cstheme="minorHAnsi"/>
                <w:color w:val="000000"/>
                <w:sz w:val="18"/>
                <w:szCs w:val="18"/>
                <w:lang w:eastAsia="en-AU"/>
              </w:rPr>
              <w:t>994</w:t>
            </w:r>
          </w:p>
        </w:tc>
        <w:tc>
          <w:tcPr>
            <w:tcW w:w="1502" w:type="dxa"/>
            <w:tcBorders>
              <w:top w:val="single" w:sz="4" w:space="0" w:color="auto"/>
              <w:left w:val="nil"/>
              <w:bottom w:val="single" w:sz="4" w:space="0" w:color="auto"/>
              <w:right w:val="single" w:sz="4" w:space="0" w:color="auto"/>
            </w:tcBorders>
            <w:vAlign w:val="center"/>
          </w:tcPr>
          <w:p w14:paraId="52702015" w14:textId="2D7C7040"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-0.6</w:t>
            </w:r>
          </w:p>
        </w:tc>
        <w:tc>
          <w:tcPr>
            <w:tcW w:w="1720" w:type="dxa"/>
            <w:tcBorders>
              <w:top w:val="single" w:sz="4" w:space="0" w:color="auto"/>
              <w:left w:val="nil"/>
              <w:bottom w:val="single" w:sz="4" w:space="0" w:color="auto"/>
              <w:right w:val="single" w:sz="4" w:space="0" w:color="auto"/>
            </w:tcBorders>
            <w:vAlign w:val="center"/>
          </w:tcPr>
          <w:p w14:paraId="328BA769" w14:textId="20C49515"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-1</w:t>
            </w:r>
            <w:r w:rsidR="00CE5FAD">
              <w:rPr>
                <w:rFonts w:eastAsia="Times New Roman" w:cstheme="minorHAnsi"/>
                <w:color w:val="000000"/>
                <w:sz w:val="18"/>
                <w:szCs w:val="18"/>
                <w:lang w:eastAsia="en-AU"/>
              </w:rPr>
              <w:t>.</w:t>
            </w:r>
            <w:r w:rsidRPr="004D34C7">
              <w:rPr>
                <w:rFonts w:eastAsia="Times New Roman" w:cstheme="minorHAnsi"/>
                <w:color w:val="000000"/>
                <w:sz w:val="18"/>
                <w:szCs w:val="18"/>
                <w:lang w:eastAsia="en-AU"/>
              </w:rPr>
              <w:t>581</w:t>
            </w:r>
          </w:p>
        </w:tc>
        <w:tc>
          <w:tcPr>
            <w:tcW w:w="1497" w:type="dxa"/>
            <w:tcBorders>
              <w:top w:val="single" w:sz="4" w:space="0" w:color="auto"/>
              <w:left w:val="nil"/>
              <w:bottom w:val="single" w:sz="4" w:space="0" w:color="auto"/>
              <w:right w:val="single" w:sz="4" w:space="0" w:color="auto"/>
            </w:tcBorders>
            <w:vAlign w:val="center"/>
          </w:tcPr>
          <w:p w14:paraId="32A2428F" w14:textId="67C9ACEC"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-0.6</w:t>
            </w:r>
          </w:p>
        </w:tc>
      </w:tr>
      <w:tr w:rsidR="0013558D" w:rsidRPr="00654840" w14:paraId="1596759E" w14:textId="77777777" w:rsidTr="19505304">
        <w:trPr>
          <w:trHeight w:val="408"/>
        </w:trPr>
        <w:tc>
          <w:tcPr>
            <w:tcW w:w="234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4FE4E70" w14:textId="77777777" w:rsidR="0013558D" w:rsidRPr="00654840" w:rsidRDefault="0013558D" w:rsidP="0013558D">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72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B13F4C8" w14:textId="53203B6F"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-5</w:t>
            </w:r>
            <w:r w:rsidR="009471BE">
              <w:rPr>
                <w:rFonts w:eastAsia="Times New Roman" w:cstheme="minorHAnsi"/>
                <w:color w:val="000000"/>
                <w:sz w:val="18"/>
                <w:szCs w:val="18"/>
                <w:lang w:eastAsia="en-AU"/>
              </w:rPr>
              <w:t>.</w:t>
            </w:r>
            <w:r w:rsidRPr="004D34C7">
              <w:rPr>
                <w:rFonts w:eastAsia="Times New Roman" w:cstheme="minorHAnsi"/>
                <w:color w:val="000000"/>
                <w:sz w:val="18"/>
                <w:szCs w:val="18"/>
                <w:lang w:eastAsia="en-AU"/>
              </w:rPr>
              <w:t>994</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7A26B2F" w14:textId="5D18B28D"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-0.6</w:t>
            </w:r>
          </w:p>
        </w:tc>
        <w:tc>
          <w:tcPr>
            <w:tcW w:w="172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CF6AB55" w14:textId="6BFFC58E"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-1</w:t>
            </w:r>
            <w:r w:rsidR="00CE5FAD">
              <w:rPr>
                <w:rFonts w:eastAsia="Times New Roman" w:cstheme="minorHAnsi"/>
                <w:color w:val="000000"/>
                <w:sz w:val="18"/>
                <w:szCs w:val="18"/>
                <w:lang w:eastAsia="en-AU"/>
              </w:rPr>
              <w:t>.</w:t>
            </w:r>
            <w:r w:rsidRPr="004D34C7">
              <w:rPr>
                <w:rFonts w:eastAsia="Times New Roman" w:cstheme="minorHAnsi"/>
                <w:color w:val="000000"/>
                <w:sz w:val="18"/>
                <w:szCs w:val="18"/>
                <w:lang w:eastAsia="en-AU"/>
              </w:rPr>
              <w:t>581</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E17E41A" w14:textId="2479DCD9" w:rsidR="0013558D" w:rsidRPr="00654840" w:rsidDel="002336A1"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-0.6</w:t>
            </w:r>
          </w:p>
        </w:tc>
      </w:tr>
      <w:tr w:rsidR="0013558D" w:rsidRPr="00654840" w14:paraId="6C067D5B" w14:textId="77777777" w:rsidTr="19505304">
        <w:trPr>
          <w:trHeight w:val="408"/>
        </w:trPr>
        <w:tc>
          <w:tcPr>
            <w:tcW w:w="2348" w:type="dxa"/>
            <w:tcBorders>
              <w:top w:val="single" w:sz="4" w:space="0" w:color="auto"/>
              <w:left w:val="single" w:sz="4" w:space="0" w:color="auto"/>
              <w:bottom w:val="single" w:sz="4" w:space="0" w:color="auto"/>
              <w:right w:val="single" w:sz="4" w:space="0" w:color="auto"/>
            </w:tcBorders>
            <w:vAlign w:val="center"/>
            <w:hideMark/>
          </w:tcPr>
          <w:p w14:paraId="482ADC67" w14:textId="77777777" w:rsidR="0013558D" w:rsidRPr="00654840" w:rsidRDefault="0013558D" w:rsidP="0013558D">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720" w:type="dxa"/>
            <w:tcBorders>
              <w:top w:val="single" w:sz="4" w:space="0" w:color="auto"/>
              <w:left w:val="nil"/>
              <w:bottom w:val="single" w:sz="4" w:space="0" w:color="auto"/>
              <w:right w:val="single" w:sz="4" w:space="0" w:color="auto"/>
            </w:tcBorders>
            <w:vAlign w:val="center"/>
          </w:tcPr>
          <w:p w14:paraId="2F56497D" w14:textId="24FED6A7" w:rsidR="0013558D" w:rsidRPr="00654840" w:rsidRDefault="0013558D" w:rsidP="0013558D">
            <w:pPr>
              <w:spacing w:before="20" w:after="20" w:line="240" w:lineRule="auto"/>
              <w:jc w:val="right"/>
              <w:rPr>
                <w:rFonts w:eastAsia="Times New Roman" w:cs="Calibri"/>
                <w:bCs/>
                <w:color w:val="000000"/>
                <w:sz w:val="18"/>
                <w:szCs w:val="18"/>
                <w:lang w:eastAsia="en-AU"/>
              </w:rPr>
            </w:pPr>
            <w:r w:rsidRPr="004D34C7">
              <w:rPr>
                <w:rFonts w:eastAsia="Times New Roman" w:cstheme="minorHAnsi"/>
                <w:color w:val="000000"/>
                <w:sz w:val="18"/>
                <w:szCs w:val="18"/>
                <w:lang w:eastAsia="en-AU"/>
              </w:rPr>
              <w:t>-10</w:t>
            </w:r>
            <w:r w:rsidR="009471BE">
              <w:rPr>
                <w:rFonts w:eastAsia="Times New Roman" w:cstheme="minorHAnsi"/>
                <w:color w:val="000000"/>
                <w:sz w:val="18"/>
                <w:szCs w:val="18"/>
                <w:lang w:eastAsia="en-AU"/>
              </w:rPr>
              <w:t>.</w:t>
            </w:r>
            <w:r w:rsidRPr="004D34C7">
              <w:rPr>
                <w:rFonts w:eastAsia="Times New Roman" w:cstheme="minorHAnsi"/>
                <w:color w:val="000000"/>
                <w:sz w:val="18"/>
                <w:szCs w:val="18"/>
                <w:lang w:eastAsia="en-AU"/>
              </w:rPr>
              <w:t>34</w:t>
            </w:r>
            <w:r w:rsidR="00331EB8">
              <w:rPr>
                <w:rFonts w:eastAsia="Times New Roman" w:cstheme="minorHAnsi"/>
                <w:color w:val="000000"/>
                <w:sz w:val="18"/>
                <w:szCs w:val="18"/>
                <w:lang w:eastAsia="en-AU"/>
              </w:rPr>
              <w:t>7</w:t>
            </w:r>
          </w:p>
        </w:tc>
        <w:tc>
          <w:tcPr>
            <w:tcW w:w="1502" w:type="dxa"/>
            <w:tcBorders>
              <w:top w:val="single" w:sz="4" w:space="0" w:color="auto"/>
              <w:left w:val="nil"/>
              <w:bottom w:val="single" w:sz="4" w:space="0" w:color="auto"/>
              <w:right w:val="single" w:sz="4" w:space="0" w:color="auto"/>
            </w:tcBorders>
            <w:vAlign w:val="center"/>
          </w:tcPr>
          <w:p w14:paraId="1C4E13BC" w14:textId="71C72729"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-1.04</w:t>
            </w:r>
          </w:p>
        </w:tc>
        <w:tc>
          <w:tcPr>
            <w:tcW w:w="1720" w:type="dxa"/>
            <w:tcBorders>
              <w:top w:val="single" w:sz="4" w:space="0" w:color="auto"/>
              <w:left w:val="nil"/>
              <w:bottom w:val="single" w:sz="4" w:space="0" w:color="auto"/>
              <w:right w:val="single" w:sz="4" w:space="0" w:color="auto"/>
            </w:tcBorders>
            <w:vAlign w:val="center"/>
          </w:tcPr>
          <w:p w14:paraId="7A57C62C" w14:textId="00363820" w:rsidR="0013558D" w:rsidRPr="00654840" w:rsidRDefault="003A62E6" w:rsidP="0013558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vAlign w:val="center"/>
          </w:tcPr>
          <w:p w14:paraId="145A6CA4" w14:textId="3B13CA37" w:rsidR="0013558D" w:rsidRPr="00654840" w:rsidRDefault="003A62E6" w:rsidP="0013558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13558D" w:rsidRPr="00654840" w14:paraId="5DD12BAB" w14:textId="77777777" w:rsidTr="19505304">
        <w:trPr>
          <w:trHeight w:val="408"/>
        </w:trPr>
        <w:tc>
          <w:tcPr>
            <w:tcW w:w="234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BD912FD" w14:textId="7E1F1A00" w:rsidR="0013558D" w:rsidRPr="00654840" w:rsidRDefault="0013558D" w:rsidP="0013558D">
            <w:pPr>
              <w:spacing w:before="20" w:after="20" w:line="240" w:lineRule="auto"/>
              <w:rPr>
                <w:rFonts w:eastAsia="Times New Roman" w:cs="Calibri"/>
                <w:b/>
                <w:sz w:val="18"/>
                <w:szCs w:val="18"/>
              </w:rPr>
            </w:pPr>
            <w:r>
              <w:rPr>
                <w:rFonts w:eastAsia="Times New Roman" w:cs="Calibri"/>
                <w:b/>
                <w:sz w:val="18"/>
                <w:szCs w:val="18"/>
              </w:rPr>
              <w:t>Total shortfall</w:t>
            </w:r>
          </w:p>
        </w:tc>
        <w:tc>
          <w:tcPr>
            <w:tcW w:w="172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1BA6714" w14:textId="6C208D7B" w:rsidR="0013558D"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-16</w:t>
            </w:r>
            <w:r w:rsidR="009471BE">
              <w:rPr>
                <w:rFonts w:eastAsia="Times New Roman" w:cstheme="minorHAnsi"/>
                <w:color w:val="000000"/>
                <w:sz w:val="18"/>
                <w:szCs w:val="18"/>
                <w:lang w:eastAsia="en-AU"/>
              </w:rPr>
              <w:t>.</w:t>
            </w:r>
            <w:r w:rsidRPr="004D34C7">
              <w:rPr>
                <w:rFonts w:eastAsia="Times New Roman" w:cstheme="minorHAnsi"/>
                <w:color w:val="000000"/>
                <w:sz w:val="18"/>
                <w:szCs w:val="18"/>
                <w:lang w:eastAsia="en-AU"/>
              </w:rPr>
              <w:t>341</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71124C8" w14:textId="454D8B7B" w:rsidR="0013558D" w:rsidRPr="00654840" w:rsidRDefault="0013558D" w:rsidP="0013558D">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-1.64</w:t>
            </w:r>
          </w:p>
        </w:tc>
        <w:tc>
          <w:tcPr>
            <w:tcW w:w="172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7BD078B" w14:textId="4AECC367" w:rsidR="0013558D" w:rsidRPr="00654840" w:rsidRDefault="003A62E6" w:rsidP="0013558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9D725C7" w14:textId="781123ED" w:rsidR="0013558D" w:rsidRPr="00654840" w:rsidRDefault="003A62E6" w:rsidP="0013558D">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945E3A" w:rsidRPr="00654840" w14:paraId="444FD79D" w14:textId="77777777" w:rsidTr="19505304">
        <w:trPr>
          <w:trHeight w:val="408"/>
        </w:trPr>
        <w:tc>
          <w:tcPr>
            <w:tcW w:w="2348" w:type="dxa"/>
            <w:tcBorders>
              <w:top w:val="single" w:sz="4" w:space="0" w:color="auto"/>
              <w:left w:val="single" w:sz="4" w:space="0" w:color="auto"/>
              <w:bottom w:val="single" w:sz="4" w:space="0" w:color="auto"/>
              <w:right w:val="single" w:sz="4" w:space="0" w:color="auto"/>
            </w:tcBorders>
            <w:vAlign w:val="center"/>
            <w:hideMark/>
          </w:tcPr>
          <w:p w14:paraId="50040B96" w14:textId="37E09A79" w:rsidR="00945E3A" w:rsidRPr="00654840" w:rsidRDefault="00C50C1E" w:rsidP="00945E3A">
            <w:pPr>
              <w:spacing w:before="20" w:after="20" w:line="240" w:lineRule="auto"/>
              <w:rPr>
                <w:rFonts w:eastAsia="Times New Roman" w:cs="Calibri"/>
                <w:b/>
                <w:sz w:val="18"/>
                <w:szCs w:val="18"/>
              </w:rPr>
            </w:pPr>
            <w:r>
              <w:rPr>
                <w:rFonts w:eastAsia="Times New Roman" w:cs="Calibri"/>
                <w:b/>
                <w:sz w:val="18"/>
                <w:szCs w:val="18"/>
              </w:rPr>
              <w:t>Cap</w:t>
            </w:r>
            <w:r w:rsidR="00945E3A" w:rsidRPr="00654840">
              <w:rPr>
                <w:rFonts w:eastAsia="Times New Roman" w:cs="Calibri"/>
                <w:b/>
                <w:sz w:val="18"/>
                <w:szCs w:val="18"/>
              </w:rPr>
              <w:t xml:space="preserve"> on inclusions</w:t>
            </w:r>
          </w:p>
        </w:tc>
        <w:tc>
          <w:tcPr>
            <w:tcW w:w="1720" w:type="dxa"/>
            <w:tcBorders>
              <w:top w:val="nil"/>
              <w:left w:val="nil"/>
              <w:bottom w:val="single" w:sz="4" w:space="0" w:color="auto"/>
              <w:right w:val="single" w:sz="4" w:space="0" w:color="auto"/>
            </w:tcBorders>
            <w:vAlign w:val="center"/>
          </w:tcPr>
          <w:p w14:paraId="463D5953" w14:textId="274BEAAD" w:rsidR="00945E3A" w:rsidRPr="00654840" w:rsidRDefault="379F75D1" w:rsidP="00945E3A">
            <w:pPr>
              <w:spacing w:before="20" w:after="20" w:line="240" w:lineRule="auto"/>
              <w:jc w:val="right"/>
              <w:rPr>
                <w:rFonts w:eastAsia="Times New Roman" w:cs="Calibri"/>
                <w:bCs/>
                <w:sz w:val="18"/>
                <w:szCs w:val="18"/>
                <w:lang w:eastAsia="en-AU"/>
              </w:rPr>
            </w:pPr>
            <w:r w:rsidRPr="19505304">
              <w:rPr>
                <w:rFonts w:eastAsia="Times New Roman"/>
                <w:color w:val="000000"/>
                <w:sz w:val="18"/>
                <w:szCs w:val="18"/>
                <w:lang w:eastAsia="en-AU"/>
              </w:rPr>
              <w:t>39</w:t>
            </w:r>
            <w:r w:rsidR="4DDD9F89" w:rsidRPr="19505304">
              <w:rPr>
                <w:rFonts w:eastAsia="Times New Roman"/>
                <w:color w:val="000000"/>
                <w:sz w:val="18"/>
                <w:szCs w:val="18"/>
                <w:lang w:eastAsia="en-AU"/>
              </w:rPr>
              <w:t>.</w:t>
            </w:r>
            <w:r w:rsidRPr="19505304">
              <w:rPr>
                <w:rFonts w:eastAsia="Times New Roman"/>
                <w:color w:val="000000"/>
                <w:sz w:val="18"/>
                <w:szCs w:val="18"/>
                <w:lang w:eastAsia="en-AU"/>
              </w:rPr>
              <w:t>96</w:t>
            </w:r>
            <w:r w:rsidR="00E62311" w:rsidRPr="19505304">
              <w:rPr>
                <w:rFonts w:eastAsia="Times New Roman"/>
                <w:color w:val="000000"/>
                <w:sz w:val="18"/>
                <w:szCs w:val="18"/>
                <w:lang w:eastAsia="en-AU"/>
              </w:rPr>
              <w:t>1</w:t>
            </w:r>
            <w:r w:rsidR="00945E3A" w:rsidRPr="19505304">
              <w:rPr>
                <w:rStyle w:val="FootnoteReference"/>
                <w:rFonts w:eastAsia="Times New Roman" w:cs="Calibri"/>
                <w:sz w:val="18"/>
                <w:szCs w:val="18"/>
                <w:lang w:eastAsia="en-AU"/>
              </w:rPr>
              <w:footnoteReference w:id="14"/>
            </w:r>
          </w:p>
        </w:tc>
        <w:tc>
          <w:tcPr>
            <w:tcW w:w="1502" w:type="dxa"/>
            <w:tcBorders>
              <w:top w:val="nil"/>
              <w:left w:val="nil"/>
              <w:bottom w:val="single" w:sz="4" w:space="0" w:color="auto"/>
              <w:right w:val="single" w:sz="4" w:space="0" w:color="auto"/>
            </w:tcBorders>
            <w:vAlign w:val="center"/>
          </w:tcPr>
          <w:p w14:paraId="3A98AB35" w14:textId="4FABAAF6" w:rsidR="00945E3A" w:rsidRPr="00654840" w:rsidRDefault="00945E3A" w:rsidP="00945E3A">
            <w:pPr>
              <w:spacing w:before="20" w:after="20" w:line="240" w:lineRule="auto"/>
              <w:jc w:val="right"/>
              <w:rPr>
                <w:rFonts w:eastAsia="Times New Roman" w:cs="Calibri"/>
                <w:bCs/>
                <w:sz w:val="18"/>
                <w:szCs w:val="18"/>
                <w:lang w:eastAsia="en-AU"/>
              </w:rPr>
            </w:pPr>
            <w:r w:rsidRPr="004D34C7">
              <w:rPr>
                <w:rFonts w:eastAsia="Times New Roman" w:cstheme="minorHAnsi"/>
                <w:color w:val="000000"/>
                <w:sz w:val="18"/>
                <w:szCs w:val="18"/>
                <w:lang w:eastAsia="en-AU"/>
              </w:rPr>
              <w:t>4</w:t>
            </w:r>
            <w:r w:rsidR="002A3B86">
              <w:rPr>
                <w:rFonts w:eastAsia="Times New Roman" w:cstheme="minorHAnsi"/>
                <w:color w:val="000000"/>
                <w:sz w:val="18"/>
                <w:szCs w:val="18"/>
                <w:lang w:eastAsia="en-AU"/>
              </w:rPr>
              <w:t>.0</w:t>
            </w:r>
          </w:p>
        </w:tc>
        <w:tc>
          <w:tcPr>
            <w:tcW w:w="1720" w:type="dxa"/>
            <w:tcBorders>
              <w:top w:val="nil"/>
              <w:left w:val="nil"/>
              <w:bottom w:val="single" w:sz="4" w:space="0" w:color="auto"/>
              <w:right w:val="single" w:sz="4" w:space="0" w:color="auto"/>
            </w:tcBorders>
            <w:vAlign w:val="center"/>
          </w:tcPr>
          <w:p w14:paraId="0DECD2DE" w14:textId="36CFDF6A" w:rsidR="00945E3A" w:rsidRPr="00654840" w:rsidRDefault="003A62E6" w:rsidP="00945E3A">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nil"/>
              <w:left w:val="nil"/>
              <w:bottom w:val="single" w:sz="4" w:space="0" w:color="auto"/>
              <w:right w:val="single" w:sz="4" w:space="0" w:color="auto"/>
            </w:tcBorders>
            <w:vAlign w:val="center"/>
          </w:tcPr>
          <w:p w14:paraId="5162547B" w14:textId="6CD3AA05" w:rsidR="00945E3A" w:rsidRPr="00654840" w:rsidRDefault="003A62E6" w:rsidP="00945E3A">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8B4CD4" w:rsidRPr="00654840" w14:paraId="5F67F831" w14:textId="77777777" w:rsidTr="19505304">
        <w:trPr>
          <w:trHeight w:val="408"/>
        </w:trPr>
        <w:tc>
          <w:tcPr>
            <w:tcW w:w="234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60F6F36" w14:textId="77777777" w:rsidR="008B4CD4" w:rsidRPr="00654840" w:rsidRDefault="008B4CD4" w:rsidP="008B4CD4">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72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92A47E7" w14:textId="5FBAA6B2" w:rsidR="008B4CD4" w:rsidRPr="00654840" w:rsidRDefault="003A62E6" w:rsidP="008B4CD4">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615483A" w14:textId="1699D58E" w:rsidR="008B4CD4" w:rsidRPr="00654840" w:rsidRDefault="003A62E6" w:rsidP="008B4CD4">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2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980B4B5" w14:textId="26A268BA" w:rsidR="008B4CD4" w:rsidRPr="00654840" w:rsidRDefault="003A62E6" w:rsidP="008B4CD4">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9A16337" w14:textId="39760CBF" w:rsidR="008B4CD4" w:rsidRPr="00654840" w:rsidRDefault="003A62E6" w:rsidP="008B4CD4">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bookmarkEnd w:id="511"/>
    </w:tbl>
    <w:p w14:paraId="41289A29" w14:textId="77777777" w:rsidR="00BB2B21" w:rsidRDefault="00BB2B21" w:rsidP="00BB2B21"/>
    <w:p w14:paraId="282934DF" w14:textId="3F986DA1" w:rsidR="008D6303" w:rsidRPr="000E7C7F" w:rsidRDefault="008D6303" w:rsidP="000E7C7F">
      <w:pPr>
        <w:pStyle w:val="Heading3"/>
      </w:pPr>
      <w:bookmarkStart w:id="512" w:name="_Toc210306650"/>
      <w:bookmarkStart w:id="513" w:name="_Toc210317476"/>
      <w:bookmarkStart w:id="514" w:name="_Toc210815630"/>
      <w:bookmarkStart w:id="515" w:name="_Hlk158892292"/>
      <w:r>
        <w:t>Queensland</w:t>
      </w:r>
      <w:bookmarkEnd w:id="512"/>
      <w:bookmarkEnd w:id="513"/>
      <w:bookmarkEnd w:id="514"/>
    </w:p>
    <w:tbl>
      <w:tblPr>
        <w:tblW w:w="0" w:type="auto"/>
        <w:tblLayout w:type="fixed"/>
        <w:tblLook w:val="04A0" w:firstRow="1" w:lastRow="0" w:firstColumn="1" w:lastColumn="0" w:noHBand="0" w:noVBand="1"/>
      </w:tblPr>
      <w:tblGrid>
        <w:gridCol w:w="2347"/>
        <w:gridCol w:w="1718"/>
        <w:gridCol w:w="1502"/>
        <w:gridCol w:w="1718"/>
        <w:gridCol w:w="1497"/>
      </w:tblGrid>
      <w:tr w:rsidR="008D6303" w:rsidRPr="00654840" w14:paraId="1A341029"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3135C" w14:textId="48D3A6D4" w:rsidR="008D6303" w:rsidRPr="00654840" w:rsidRDefault="008D6303" w:rsidP="003E5C94">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7F4A872F" w14:textId="464005F5"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r w:rsidR="00CE5FAD">
              <w:rPr>
                <w:rFonts w:eastAsia="Calibri" w:cs="Times New Roman"/>
                <w:b/>
                <w:bCs/>
                <w:sz w:val="18"/>
                <w:szCs w:val="18"/>
              </w:rPr>
              <w:t>M</w:t>
            </w:r>
            <w:r w:rsidRPr="00654840">
              <w:rPr>
                <w:rFonts w:eastAsia="Calibri" w:cs="Times New Roman"/>
                <w:b/>
                <w:bCs/>
                <w:sz w:val="18"/>
                <w:szCs w:val="18"/>
              </w:rPr>
              <w:t>)</w:t>
            </w:r>
          </w:p>
        </w:tc>
        <w:tc>
          <w:tcPr>
            <w:tcW w:w="1502" w:type="dxa"/>
            <w:tcBorders>
              <w:top w:val="single" w:sz="4" w:space="0" w:color="auto"/>
              <w:left w:val="nil"/>
              <w:bottom w:val="single" w:sz="4" w:space="0" w:color="auto"/>
              <w:right w:val="single" w:sz="4" w:space="0" w:color="auto"/>
            </w:tcBorders>
            <w:shd w:val="clear" w:color="auto" w:fill="FFFFFF" w:themeFill="background1"/>
            <w:vAlign w:val="center"/>
          </w:tcPr>
          <w:p w14:paraId="69312350" w14:textId="571301C0"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1D249D0A" w14:textId="65A9532B"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r w:rsidR="00CE5FAD">
              <w:rPr>
                <w:rFonts w:eastAsia="Calibri" w:cs="Times New Roman"/>
                <w:b/>
                <w:bCs/>
                <w:sz w:val="18"/>
                <w:szCs w:val="18"/>
              </w:rPr>
              <w:t>M</w:t>
            </w:r>
            <w:r w:rsidRPr="00654840">
              <w:rPr>
                <w:rFonts w:eastAsia="Calibri" w:cs="Times New Roman"/>
                <w:b/>
                <w:bCs/>
                <w:sz w:val="18"/>
                <w:szCs w:val="18"/>
              </w:rPr>
              <w:t>)</w:t>
            </w:r>
          </w:p>
        </w:tc>
        <w:tc>
          <w:tcPr>
            <w:tcW w:w="1497" w:type="dxa"/>
            <w:tcBorders>
              <w:top w:val="single" w:sz="4" w:space="0" w:color="auto"/>
              <w:left w:val="nil"/>
              <w:bottom w:val="single" w:sz="4" w:space="0" w:color="auto"/>
              <w:right w:val="single" w:sz="4" w:space="0" w:color="auto"/>
            </w:tcBorders>
            <w:shd w:val="clear" w:color="auto" w:fill="FFFFFF" w:themeFill="background1"/>
            <w:vAlign w:val="center"/>
          </w:tcPr>
          <w:p w14:paraId="20A94E78" w14:textId="3D218776"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B1280E" w:rsidRPr="00654840" w14:paraId="1FFA9DD7"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019DD17E" w14:textId="77777777" w:rsidR="00B1280E" w:rsidRPr="00654840" w:rsidRDefault="00B1280E" w:rsidP="00B1280E">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9864A49" w14:textId="35B31CF9"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12,041</w:t>
            </w:r>
            <w:r w:rsidR="00B64247">
              <w:rPr>
                <w:rFonts w:eastAsia="Times New Roman" w:cstheme="minorHAnsi"/>
                <w:color w:val="000000"/>
                <w:sz w:val="18"/>
                <w:szCs w:val="18"/>
                <w:lang w:eastAsia="en-AU"/>
              </w:rPr>
              <w:t>.</w:t>
            </w:r>
            <w:r w:rsidRPr="003B41DF">
              <w:rPr>
                <w:rFonts w:eastAsia="Times New Roman" w:cstheme="minorHAnsi"/>
                <w:color w:val="000000"/>
                <w:sz w:val="18"/>
                <w:szCs w:val="18"/>
                <w:lang w:eastAsia="en-AU"/>
              </w:rPr>
              <w:t>060</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FDCA817" w14:textId="45E71E05" w:rsidR="00B1280E" w:rsidRPr="00654840" w:rsidRDefault="00B1280E" w:rsidP="00B1280E">
            <w:pPr>
              <w:spacing w:before="20" w:after="20" w:line="240" w:lineRule="auto"/>
              <w:jc w:val="right"/>
              <w:rPr>
                <w:rFonts w:eastAsia="Times New Roman" w:cs="Calibri"/>
                <w:bCs/>
                <w:sz w:val="18"/>
                <w:szCs w:val="18"/>
                <w:lang w:eastAsia="en-AU"/>
              </w:rPr>
            </w:pP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F293E78" w14:textId="369881C4"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4,396</w:t>
            </w:r>
            <w:r w:rsidR="004D7DD4">
              <w:rPr>
                <w:rFonts w:eastAsia="Times New Roman" w:cstheme="minorHAnsi"/>
                <w:color w:val="000000"/>
                <w:sz w:val="18"/>
                <w:szCs w:val="18"/>
                <w:lang w:eastAsia="en-AU"/>
              </w:rPr>
              <w:t>.</w:t>
            </w:r>
            <w:r w:rsidRPr="003B41DF">
              <w:rPr>
                <w:rFonts w:eastAsia="Times New Roman" w:cstheme="minorHAnsi"/>
                <w:color w:val="000000"/>
                <w:sz w:val="18"/>
                <w:szCs w:val="18"/>
                <w:lang w:eastAsia="en-AU"/>
              </w:rPr>
              <w:t>87</w:t>
            </w:r>
            <w:r w:rsidR="003F7C2B">
              <w:rPr>
                <w:rFonts w:eastAsia="Times New Roman" w:cstheme="minorHAnsi"/>
                <w:color w:val="000000"/>
                <w:sz w:val="18"/>
                <w:szCs w:val="18"/>
                <w:lang w:eastAsia="en-AU"/>
              </w:rPr>
              <w:t>1</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C4E3957" w14:textId="4E776FEC" w:rsidR="00B1280E" w:rsidRPr="00654840" w:rsidRDefault="00B1280E" w:rsidP="00B1280E">
            <w:pPr>
              <w:spacing w:before="20" w:after="20" w:line="240" w:lineRule="auto"/>
              <w:jc w:val="right"/>
              <w:rPr>
                <w:rFonts w:eastAsia="Times New Roman" w:cs="Calibri"/>
                <w:bCs/>
                <w:sz w:val="18"/>
                <w:szCs w:val="18"/>
                <w:lang w:eastAsia="en-AU"/>
              </w:rPr>
            </w:pPr>
          </w:p>
        </w:tc>
      </w:tr>
      <w:tr w:rsidR="00B1280E" w:rsidRPr="00654840" w14:paraId="2AD7F57D"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6C8615C6" w14:textId="77777777" w:rsidR="00B1280E" w:rsidRPr="00654840" w:rsidRDefault="00B1280E" w:rsidP="00B1280E">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718" w:type="dxa"/>
            <w:tcBorders>
              <w:top w:val="single" w:sz="4" w:space="0" w:color="auto"/>
              <w:left w:val="nil"/>
              <w:bottom w:val="single" w:sz="4" w:space="0" w:color="auto"/>
              <w:right w:val="single" w:sz="4" w:space="0" w:color="auto"/>
            </w:tcBorders>
            <w:vAlign w:val="center"/>
          </w:tcPr>
          <w:p w14:paraId="01CB5099" w14:textId="71F2345F"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8,339</w:t>
            </w:r>
            <w:r w:rsidR="00B64247">
              <w:rPr>
                <w:rFonts w:eastAsia="Times New Roman" w:cstheme="minorHAnsi"/>
                <w:color w:val="000000"/>
                <w:sz w:val="18"/>
                <w:szCs w:val="18"/>
                <w:lang w:eastAsia="en-AU"/>
              </w:rPr>
              <w:t>.</w:t>
            </w:r>
            <w:r w:rsidRPr="003B41DF">
              <w:rPr>
                <w:rFonts w:eastAsia="Times New Roman" w:cstheme="minorHAnsi"/>
                <w:color w:val="000000"/>
                <w:sz w:val="18"/>
                <w:szCs w:val="18"/>
                <w:lang w:eastAsia="en-AU"/>
              </w:rPr>
              <w:t>638</w:t>
            </w:r>
          </w:p>
        </w:tc>
        <w:tc>
          <w:tcPr>
            <w:tcW w:w="1502" w:type="dxa"/>
            <w:tcBorders>
              <w:top w:val="single" w:sz="4" w:space="0" w:color="auto"/>
              <w:left w:val="nil"/>
              <w:bottom w:val="single" w:sz="4" w:space="0" w:color="auto"/>
              <w:right w:val="single" w:sz="4" w:space="0" w:color="auto"/>
            </w:tcBorders>
            <w:vAlign w:val="center"/>
          </w:tcPr>
          <w:p w14:paraId="6FDFA6CA" w14:textId="4503D2B9"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69.26</w:t>
            </w:r>
          </w:p>
        </w:tc>
        <w:tc>
          <w:tcPr>
            <w:tcW w:w="1718" w:type="dxa"/>
            <w:tcBorders>
              <w:top w:val="single" w:sz="4" w:space="0" w:color="auto"/>
              <w:left w:val="nil"/>
              <w:bottom w:val="single" w:sz="4" w:space="0" w:color="auto"/>
              <w:right w:val="single" w:sz="4" w:space="0" w:color="auto"/>
            </w:tcBorders>
            <w:vAlign w:val="center"/>
          </w:tcPr>
          <w:p w14:paraId="720E8FD7" w14:textId="120563EC"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904</w:t>
            </w:r>
            <w:r w:rsidR="00C1584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876</w:t>
            </w:r>
          </w:p>
        </w:tc>
        <w:tc>
          <w:tcPr>
            <w:tcW w:w="1497" w:type="dxa"/>
            <w:tcBorders>
              <w:top w:val="single" w:sz="4" w:space="0" w:color="auto"/>
              <w:left w:val="nil"/>
              <w:bottom w:val="single" w:sz="4" w:space="0" w:color="auto"/>
              <w:right w:val="single" w:sz="4" w:space="0" w:color="auto"/>
            </w:tcBorders>
            <w:vAlign w:val="center"/>
          </w:tcPr>
          <w:p w14:paraId="33B110A2" w14:textId="2ED8C4D6"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20.58</w:t>
            </w:r>
          </w:p>
        </w:tc>
      </w:tr>
      <w:tr w:rsidR="00B1280E" w:rsidRPr="00654840" w14:paraId="6AB94383"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39F17FB2" w14:textId="77777777" w:rsidR="00B1280E" w:rsidRPr="00654840" w:rsidRDefault="00B1280E" w:rsidP="00B1280E">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D562FA1" w14:textId="1ACD5804"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8,759</w:t>
            </w:r>
            <w:r w:rsidR="00B64247">
              <w:rPr>
                <w:rFonts w:eastAsia="Times New Roman" w:cstheme="minorHAnsi"/>
                <w:color w:val="000000"/>
                <w:sz w:val="18"/>
                <w:szCs w:val="18"/>
                <w:lang w:eastAsia="en-AU"/>
              </w:rPr>
              <w:t>.</w:t>
            </w:r>
            <w:r w:rsidRPr="003B41DF">
              <w:rPr>
                <w:rFonts w:eastAsia="Times New Roman" w:cstheme="minorHAnsi"/>
                <w:color w:val="000000"/>
                <w:sz w:val="18"/>
                <w:szCs w:val="18"/>
                <w:lang w:eastAsia="en-AU"/>
              </w:rPr>
              <w:t>39</w:t>
            </w:r>
            <w:r w:rsidR="003F7C2B">
              <w:rPr>
                <w:rFonts w:eastAsia="Times New Roman" w:cstheme="minorHAnsi"/>
                <w:color w:val="000000"/>
                <w:sz w:val="18"/>
                <w:szCs w:val="18"/>
                <w:lang w:eastAsia="en-AU"/>
              </w:rPr>
              <w:t>7</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E6E0F46" w14:textId="2D6B4048"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72.75</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F4CDDD3" w14:textId="38D209DA"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903</w:t>
            </w:r>
            <w:r w:rsidR="00C1584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56</w:t>
            </w:r>
            <w:r w:rsidR="003F7C2B">
              <w:rPr>
                <w:rFonts w:eastAsia="Times New Roman" w:cstheme="minorHAnsi"/>
                <w:color w:val="000000"/>
                <w:sz w:val="18"/>
                <w:szCs w:val="18"/>
                <w:lang w:eastAsia="en-AU"/>
              </w:rPr>
              <w:t>3</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2E6C8FD" w14:textId="0CDADA87"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20.55</w:t>
            </w:r>
          </w:p>
        </w:tc>
      </w:tr>
      <w:tr w:rsidR="00B1280E" w:rsidRPr="00654840" w14:paraId="37367001"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605FDBDF" w14:textId="77777777" w:rsidR="00B1280E" w:rsidRPr="00654840" w:rsidRDefault="00B1280E" w:rsidP="00B1280E">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718" w:type="dxa"/>
            <w:tcBorders>
              <w:top w:val="single" w:sz="4" w:space="0" w:color="auto"/>
              <w:left w:val="nil"/>
              <w:bottom w:val="single" w:sz="4" w:space="0" w:color="auto"/>
              <w:right w:val="single" w:sz="4" w:space="0" w:color="auto"/>
            </w:tcBorders>
            <w:vAlign w:val="center"/>
          </w:tcPr>
          <w:p w14:paraId="7E95C155" w14:textId="21FD4045"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-72</w:t>
            </w:r>
            <w:r w:rsidR="009352BC">
              <w:rPr>
                <w:rFonts w:eastAsia="Times New Roman" w:cstheme="minorHAnsi"/>
                <w:color w:val="000000"/>
                <w:sz w:val="18"/>
                <w:szCs w:val="18"/>
                <w:lang w:eastAsia="en-AU"/>
              </w:rPr>
              <w:t>.</w:t>
            </w:r>
            <w:r w:rsidRPr="003B41DF">
              <w:rPr>
                <w:rFonts w:eastAsia="Times New Roman" w:cstheme="minorHAnsi"/>
                <w:color w:val="000000"/>
                <w:sz w:val="18"/>
                <w:szCs w:val="18"/>
                <w:lang w:eastAsia="en-AU"/>
              </w:rPr>
              <w:t>246</w:t>
            </w:r>
          </w:p>
        </w:tc>
        <w:tc>
          <w:tcPr>
            <w:tcW w:w="1502" w:type="dxa"/>
            <w:tcBorders>
              <w:top w:val="single" w:sz="4" w:space="0" w:color="auto"/>
              <w:left w:val="nil"/>
              <w:bottom w:val="single" w:sz="4" w:space="0" w:color="auto"/>
              <w:right w:val="single" w:sz="4" w:space="0" w:color="auto"/>
            </w:tcBorders>
            <w:vAlign w:val="center"/>
          </w:tcPr>
          <w:p w14:paraId="5226C4BA" w14:textId="2A467F16"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-0.6</w:t>
            </w:r>
          </w:p>
        </w:tc>
        <w:tc>
          <w:tcPr>
            <w:tcW w:w="1718" w:type="dxa"/>
            <w:tcBorders>
              <w:top w:val="single" w:sz="4" w:space="0" w:color="auto"/>
              <w:left w:val="nil"/>
              <w:bottom w:val="single" w:sz="4" w:space="0" w:color="auto"/>
              <w:right w:val="single" w:sz="4" w:space="0" w:color="auto"/>
            </w:tcBorders>
            <w:vAlign w:val="center"/>
          </w:tcPr>
          <w:p w14:paraId="3455EE4F" w14:textId="48B9E9A6"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-26</w:t>
            </w:r>
            <w:r w:rsidR="00C1584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381</w:t>
            </w:r>
          </w:p>
        </w:tc>
        <w:tc>
          <w:tcPr>
            <w:tcW w:w="1497" w:type="dxa"/>
            <w:tcBorders>
              <w:top w:val="single" w:sz="4" w:space="0" w:color="auto"/>
              <w:left w:val="nil"/>
              <w:bottom w:val="single" w:sz="4" w:space="0" w:color="auto"/>
              <w:right w:val="single" w:sz="4" w:space="0" w:color="auto"/>
            </w:tcBorders>
            <w:vAlign w:val="center"/>
          </w:tcPr>
          <w:p w14:paraId="5FA42543" w14:textId="4F40F79E"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-0.6</w:t>
            </w:r>
          </w:p>
        </w:tc>
      </w:tr>
      <w:tr w:rsidR="00B1280E" w:rsidRPr="00654840" w14:paraId="520EDD36"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E73A916" w14:textId="77777777" w:rsidR="00B1280E" w:rsidRPr="00654840" w:rsidRDefault="00B1280E" w:rsidP="00B1280E">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9CE44D1" w14:textId="0A6841F1" w:rsidR="00B1280E" w:rsidRPr="00654840" w:rsidRDefault="003A62E6" w:rsidP="00B1280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932CF0F" w14:textId="5CB67059" w:rsidR="00B1280E" w:rsidRPr="00654840" w:rsidRDefault="003A62E6" w:rsidP="00B1280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D3E30B7" w14:textId="4149382B"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-1</w:t>
            </w:r>
            <w:r w:rsidR="00C1584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313</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5DFB425" w14:textId="650BEDFB" w:rsidR="00B1280E" w:rsidRPr="00654840" w:rsidRDefault="00B1280E" w:rsidP="00B1280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-0.03</w:t>
            </w:r>
          </w:p>
        </w:tc>
      </w:tr>
      <w:tr w:rsidR="00B1280E" w:rsidRPr="00654840" w14:paraId="4D7738F2"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1F493E6E" w14:textId="77777777" w:rsidR="00B1280E" w:rsidRPr="00654840" w:rsidRDefault="00B1280E" w:rsidP="00B1280E">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718" w:type="dxa"/>
            <w:tcBorders>
              <w:top w:val="single" w:sz="4" w:space="0" w:color="auto"/>
              <w:left w:val="nil"/>
              <w:bottom w:val="single" w:sz="4" w:space="0" w:color="auto"/>
              <w:right w:val="single" w:sz="4" w:space="0" w:color="auto"/>
            </w:tcBorders>
            <w:vAlign w:val="center"/>
          </w:tcPr>
          <w:p w14:paraId="08C6D95E" w14:textId="15B59007" w:rsidR="00B1280E" w:rsidRPr="00654840" w:rsidRDefault="003A62E6" w:rsidP="00B1280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vAlign w:val="center"/>
          </w:tcPr>
          <w:p w14:paraId="4F8DA15B" w14:textId="716307D9" w:rsidR="00B1280E" w:rsidRPr="00654840" w:rsidRDefault="003A62E6" w:rsidP="00B1280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vAlign w:val="center"/>
          </w:tcPr>
          <w:p w14:paraId="07740616" w14:textId="7F310F95" w:rsidR="00B1280E" w:rsidRPr="00654840" w:rsidRDefault="003A62E6" w:rsidP="00B1280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vAlign w:val="center"/>
          </w:tcPr>
          <w:p w14:paraId="091A3530" w14:textId="340BA2C8" w:rsidR="00B1280E" w:rsidRPr="00654840" w:rsidRDefault="003A62E6" w:rsidP="00B1280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B1280E" w:rsidRPr="00654840" w14:paraId="69BEA746"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9B92CF6" w14:textId="48727141" w:rsidR="00B1280E" w:rsidRPr="00654840" w:rsidRDefault="00B1280E" w:rsidP="00B1280E">
            <w:pPr>
              <w:spacing w:before="20" w:after="20" w:line="240" w:lineRule="auto"/>
              <w:rPr>
                <w:rFonts w:eastAsia="Times New Roman" w:cs="Calibri"/>
                <w:b/>
                <w:sz w:val="18"/>
                <w:szCs w:val="18"/>
              </w:rPr>
            </w:pPr>
            <w:r w:rsidRPr="00B20F94">
              <w:rPr>
                <w:rFonts w:eastAsia="Times New Roman" w:cs="Calibri"/>
                <w:b/>
                <w:sz w:val="18"/>
                <w:szCs w:val="18"/>
              </w:rPr>
              <w:t>Total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FFE886D" w14:textId="23B676EB" w:rsidR="00B1280E" w:rsidRDefault="003A62E6" w:rsidP="00B1280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2C473C6" w14:textId="64809E2C" w:rsidR="00B1280E" w:rsidRDefault="003A62E6" w:rsidP="00B1280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59A32EB" w14:textId="14680288" w:rsidR="00B1280E" w:rsidRPr="00654840" w:rsidRDefault="003A62E6" w:rsidP="00B1280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7A03FDC" w14:textId="303C9883" w:rsidR="00B1280E" w:rsidRPr="00654840" w:rsidRDefault="003A62E6" w:rsidP="00B1280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78199D" w:rsidRPr="00654840" w14:paraId="453D781C"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71D072D4" w14:textId="30FCA243" w:rsidR="00F70009" w:rsidRPr="00654840" w:rsidRDefault="00C50C1E" w:rsidP="00F70009">
            <w:pPr>
              <w:spacing w:before="20" w:after="20" w:line="240" w:lineRule="auto"/>
              <w:rPr>
                <w:rFonts w:eastAsia="Times New Roman" w:cs="Calibri"/>
                <w:b/>
                <w:sz w:val="18"/>
                <w:szCs w:val="18"/>
              </w:rPr>
            </w:pPr>
            <w:r>
              <w:rPr>
                <w:rFonts w:eastAsia="Times New Roman" w:cs="Calibri"/>
                <w:b/>
                <w:sz w:val="18"/>
                <w:szCs w:val="18"/>
              </w:rPr>
              <w:t>Cap</w:t>
            </w:r>
            <w:r w:rsidR="00F70009" w:rsidRPr="00654840">
              <w:rPr>
                <w:rFonts w:eastAsia="Times New Roman" w:cs="Calibri"/>
                <w:b/>
                <w:sz w:val="18"/>
                <w:szCs w:val="18"/>
              </w:rPr>
              <w:t xml:space="preserve"> on inclusions</w:t>
            </w:r>
          </w:p>
        </w:tc>
        <w:tc>
          <w:tcPr>
            <w:tcW w:w="1718" w:type="dxa"/>
            <w:tcBorders>
              <w:top w:val="nil"/>
              <w:left w:val="nil"/>
              <w:bottom w:val="single" w:sz="4" w:space="0" w:color="auto"/>
              <w:right w:val="single" w:sz="4" w:space="0" w:color="auto"/>
            </w:tcBorders>
            <w:vAlign w:val="center"/>
          </w:tcPr>
          <w:p w14:paraId="57BE9346" w14:textId="2F826446" w:rsidR="00F70009" w:rsidRPr="00654840" w:rsidRDefault="16DA3B1D" w:rsidP="00F70009">
            <w:pPr>
              <w:spacing w:before="20" w:after="20" w:line="240" w:lineRule="auto"/>
              <w:jc w:val="right"/>
              <w:rPr>
                <w:rFonts w:eastAsia="Times New Roman" w:cs="Calibri"/>
                <w:bCs/>
                <w:sz w:val="18"/>
                <w:szCs w:val="18"/>
                <w:lang w:eastAsia="en-AU"/>
              </w:rPr>
            </w:pPr>
            <w:r w:rsidRPr="19505304">
              <w:rPr>
                <w:rFonts w:eastAsia="Times New Roman"/>
                <w:color w:val="000000"/>
                <w:sz w:val="18"/>
                <w:szCs w:val="18"/>
                <w:lang w:eastAsia="en-AU"/>
              </w:rPr>
              <w:t>481</w:t>
            </w:r>
            <w:r w:rsidR="797482C5" w:rsidRPr="19505304">
              <w:rPr>
                <w:rFonts w:eastAsia="Times New Roman"/>
                <w:color w:val="000000"/>
                <w:sz w:val="18"/>
                <w:szCs w:val="18"/>
                <w:lang w:eastAsia="en-AU"/>
              </w:rPr>
              <w:t>.</w:t>
            </w:r>
            <w:r w:rsidRPr="19505304">
              <w:rPr>
                <w:rFonts w:eastAsia="Times New Roman"/>
                <w:color w:val="000000"/>
                <w:sz w:val="18"/>
                <w:szCs w:val="18"/>
                <w:lang w:eastAsia="en-AU"/>
              </w:rPr>
              <w:t>642</w:t>
            </w:r>
            <w:r w:rsidR="00F70009" w:rsidRPr="19505304">
              <w:rPr>
                <w:rStyle w:val="FootnoteReference"/>
                <w:rFonts w:eastAsia="Times New Roman" w:cs="Calibri"/>
                <w:sz w:val="18"/>
                <w:szCs w:val="18"/>
                <w:lang w:eastAsia="en-AU"/>
              </w:rPr>
              <w:footnoteReference w:id="15"/>
            </w:r>
          </w:p>
        </w:tc>
        <w:tc>
          <w:tcPr>
            <w:tcW w:w="1502" w:type="dxa"/>
            <w:tcBorders>
              <w:top w:val="nil"/>
              <w:left w:val="nil"/>
              <w:bottom w:val="single" w:sz="4" w:space="0" w:color="auto"/>
              <w:right w:val="single" w:sz="4" w:space="0" w:color="auto"/>
            </w:tcBorders>
            <w:vAlign w:val="center"/>
          </w:tcPr>
          <w:p w14:paraId="4524BD38" w14:textId="368C33C3" w:rsidR="00F70009" w:rsidRPr="00654840" w:rsidRDefault="00F70009" w:rsidP="00F70009">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4</w:t>
            </w:r>
            <w:r w:rsidR="002A3B86">
              <w:rPr>
                <w:rFonts w:eastAsia="Times New Roman" w:cstheme="minorHAnsi"/>
                <w:color w:val="000000"/>
                <w:sz w:val="18"/>
                <w:szCs w:val="18"/>
                <w:lang w:eastAsia="en-AU"/>
              </w:rPr>
              <w:t>.0</w:t>
            </w:r>
          </w:p>
        </w:tc>
        <w:tc>
          <w:tcPr>
            <w:tcW w:w="1718" w:type="dxa"/>
            <w:tcBorders>
              <w:top w:val="nil"/>
              <w:left w:val="nil"/>
              <w:bottom w:val="single" w:sz="4" w:space="0" w:color="auto"/>
              <w:right w:val="single" w:sz="4" w:space="0" w:color="auto"/>
            </w:tcBorders>
            <w:vAlign w:val="center"/>
          </w:tcPr>
          <w:p w14:paraId="2D7BF08D" w14:textId="7A442D8A" w:rsidR="00F70009" w:rsidRPr="00654840" w:rsidRDefault="003A62E6" w:rsidP="00F70009">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nil"/>
              <w:left w:val="nil"/>
              <w:bottom w:val="single" w:sz="4" w:space="0" w:color="auto"/>
              <w:right w:val="single" w:sz="4" w:space="0" w:color="auto"/>
            </w:tcBorders>
            <w:vAlign w:val="center"/>
          </w:tcPr>
          <w:p w14:paraId="06C81796" w14:textId="5F85ED7C" w:rsidR="00F70009" w:rsidRPr="00654840" w:rsidRDefault="003A62E6" w:rsidP="00F70009">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39265A" w:rsidRPr="00654840" w14:paraId="59A37D8B"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235A0DD" w14:textId="77777777" w:rsidR="0039265A" w:rsidRPr="00654840" w:rsidRDefault="0039265A" w:rsidP="0039265A">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9BA05CA" w14:textId="140CC622" w:rsidR="0039265A" w:rsidRPr="00654840" w:rsidRDefault="0039265A" w:rsidP="0039265A">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86</w:t>
            </w:r>
            <w:r w:rsidR="00B24BE4">
              <w:rPr>
                <w:rFonts w:eastAsia="Times New Roman" w:cstheme="minorHAnsi"/>
                <w:color w:val="000000"/>
                <w:sz w:val="18"/>
                <w:szCs w:val="18"/>
                <w:lang w:eastAsia="en-AU"/>
              </w:rPr>
              <w:t>.</w:t>
            </w:r>
            <w:r w:rsidRPr="003B41DF">
              <w:rPr>
                <w:rFonts w:eastAsia="Times New Roman" w:cstheme="minorHAnsi"/>
                <w:color w:val="000000"/>
                <w:sz w:val="18"/>
                <w:szCs w:val="18"/>
                <w:lang w:eastAsia="en-AU"/>
              </w:rPr>
              <w:t>23</w:t>
            </w:r>
            <w:r w:rsidR="003F7C2B">
              <w:rPr>
                <w:rFonts w:eastAsia="Times New Roman" w:cstheme="minorHAnsi"/>
                <w:color w:val="000000"/>
                <w:sz w:val="18"/>
                <w:szCs w:val="18"/>
                <w:lang w:eastAsia="en-AU"/>
              </w:rPr>
              <w:t>1</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07CD5EC" w14:textId="7923145E" w:rsidR="0039265A" w:rsidRPr="00654840" w:rsidRDefault="003A62E6" w:rsidP="0039265A">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02799C7" w14:textId="5C43B2EC" w:rsidR="0039265A" w:rsidRPr="00654840" w:rsidRDefault="003A62E6" w:rsidP="0039265A">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A430F01" w14:textId="6DBF0D0E" w:rsidR="0039265A" w:rsidRPr="00654840" w:rsidRDefault="003A62E6" w:rsidP="0039265A">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bookmarkEnd w:id="515"/>
    </w:tbl>
    <w:p w14:paraId="735CBA05" w14:textId="77777777" w:rsidR="00FF78BE" w:rsidRPr="00654840" w:rsidRDefault="00FF78BE" w:rsidP="00774635">
      <w:pPr>
        <w:rPr>
          <w:b/>
          <w:bCs/>
          <w:sz w:val="20"/>
          <w:szCs w:val="20"/>
        </w:rPr>
      </w:pPr>
    </w:p>
    <w:p w14:paraId="77B1C9AD" w14:textId="77777777" w:rsidR="00774635" w:rsidRPr="00654840" w:rsidRDefault="00774635" w:rsidP="00BB2B21">
      <w:pPr>
        <w:rPr>
          <w:b/>
          <w:bCs/>
          <w:sz w:val="20"/>
          <w:szCs w:val="20"/>
        </w:rPr>
      </w:pPr>
      <w:r w:rsidRPr="00654840">
        <w:rPr>
          <w:b/>
          <w:bCs/>
          <w:sz w:val="20"/>
          <w:szCs w:val="20"/>
        </w:rPr>
        <w:br w:type="page"/>
      </w:r>
    </w:p>
    <w:p w14:paraId="0B0F1C6E" w14:textId="16167C78" w:rsidR="008D6303" w:rsidRPr="000E7C7F" w:rsidRDefault="008D6303" w:rsidP="000E7C7F">
      <w:pPr>
        <w:pStyle w:val="Heading3"/>
      </w:pPr>
      <w:bookmarkStart w:id="516" w:name="_Toc210306651"/>
      <w:bookmarkStart w:id="517" w:name="_Toc210317477"/>
      <w:bookmarkStart w:id="518" w:name="_Toc210815631"/>
      <w:bookmarkStart w:id="519" w:name="_Hlk158892342"/>
      <w:r>
        <w:lastRenderedPageBreak/>
        <w:t>South Australia</w:t>
      </w:r>
      <w:bookmarkEnd w:id="516"/>
      <w:bookmarkEnd w:id="517"/>
      <w:bookmarkEnd w:id="518"/>
    </w:p>
    <w:tbl>
      <w:tblPr>
        <w:tblW w:w="0" w:type="auto"/>
        <w:tblLayout w:type="fixed"/>
        <w:tblLook w:val="04A0" w:firstRow="1" w:lastRow="0" w:firstColumn="1" w:lastColumn="0" w:noHBand="0" w:noVBand="1"/>
      </w:tblPr>
      <w:tblGrid>
        <w:gridCol w:w="2347"/>
        <w:gridCol w:w="1718"/>
        <w:gridCol w:w="1502"/>
        <w:gridCol w:w="1718"/>
        <w:gridCol w:w="1497"/>
      </w:tblGrid>
      <w:tr w:rsidR="008D6303" w:rsidRPr="00654840" w14:paraId="1CAE3706"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67423" w14:textId="77777777" w:rsidR="008D6303" w:rsidRPr="00654840" w:rsidRDefault="008D6303" w:rsidP="003E5C94">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73E247A4" w14:textId="0B647592"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r w:rsidR="00CE5FAD">
              <w:rPr>
                <w:rFonts w:eastAsia="Calibri" w:cs="Times New Roman"/>
                <w:b/>
                <w:bCs/>
                <w:sz w:val="18"/>
                <w:szCs w:val="18"/>
              </w:rPr>
              <w:t>M</w:t>
            </w:r>
            <w:r w:rsidRPr="00654840">
              <w:rPr>
                <w:rFonts w:eastAsia="Calibri" w:cs="Times New Roman"/>
                <w:b/>
                <w:bCs/>
                <w:sz w:val="18"/>
                <w:szCs w:val="18"/>
              </w:rPr>
              <w:t>)</w:t>
            </w:r>
          </w:p>
        </w:tc>
        <w:tc>
          <w:tcPr>
            <w:tcW w:w="1502" w:type="dxa"/>
            <w:tcBorders>
              <w:top w:val="single" w:sz="4" w:space="0" w:color="auto"/>
              <w:left w:val="nil"/>
              <w:bottom w:val="single" w:sz="4" w:space="0" w:color="auto"/>
              <w:right w:val="single" w:sz="4" w:space="0" w:color="auto"/>
            </w:tcBorders>
            <w:shd w:val="clear" w:color="auto" w:fill="FFFFFF" w:themeFill="background1"/>
            <w:vAlign w:val="center"/>
          </w:tcPr>
          <w:p w14:paraId="4AE3521E" w14:textId="77777777"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0DD22656" w14:textId="4ABE8945"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r w:rsidR="00CE5FAD">
              <w:rPr>
                <w:rFonts w:eastAsia="Calibri" w:cs="Times New Roman"/>
                <w:b/>
                <w:bCs/>
                <w:sz w:val="18"/>
                <w:szCs w:val="18"/>
              </w:rPr>
              <w:t>M</w:t>
            </w:r>
            <w:r w:rsidRPr="00654840">
              <w:rPr>
                <w:rFonts w:eastAsia="Calibri" w:cs="Times New Roman"/>
                <w:b/>
                <w:bCs/>
                <w:sz w:val="18"/>
                <w:szCs w:val="18"/>
              </w:rPr>
              <w:t>)</w:t>
            </w:r>
          </w:p>
        </w:tc>
        <w:tc>
          <w:tcPr>
            <w:tcW w:w="1497" w:type="dxa"/>
            <w:tcBorders>
              <w:top w:val="single" w:sz="4" w:space="0" w:color="auto"/>
              <w:left w:val="nil"/>
              <w:bottom w:val="single" w:sz="4" w:space="0" w:color="auto"/>
              <w:right w:val="single" w:sz="4" w:space="0" w:color="auto"/>
            </w:tcBorders>
            <w:shd w:val="clear" w:color="auto" w:fill="FFFFFF" w:themeFill="background1"/>
            <w:vAlign w:val="center"/>
          </w:tcPr>
          <w:p w14:paraId="52157820" w14:textId="77777777"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E7424B" w:rsidRPr="00654840" w14:paraId="35B79636"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D6D2E0B" w14:textId="77777777" w:rsidR="00E7424B" w:rsidRPr="00654840" w:rsidRDefault="00E7424B" w:rsidP="00E7424B">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08C5F45" w14:textId="7C50DC4B" w:rsidR="00E7424B" w:rsidRPr="00654840"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3,659</w:t>
            </w:r>
            <w:r w:rsidR="008818B5">
              <w:rPr>
                <w:rFonts w:eastAsia="Times New Roman" w:cstheme="minorHAnsi"/>
                <w:color w:val="000000"/>
                <w:sz w:val="18"/>
                <w:szCs w:val="18"/>
                <w:lang w:eastAsia="en-AU"/>
              </w:rPr>
              <w:t>.</w:t>
            </w:r>
            <w:r w:rsidR="0024229A">
              <w:rPr>
                <w:rFonts w:eastAsia="Times New Roman" w:cstheme="minorHAnsi"/>
                <w:color w:val="000000"/>
                <w:sz w:val="18"/>
                <w:szCs w:val="18"/>
                <w:lang w:eastAsia="en-AU"/>
              </w:rPr>
              <w:t>900</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42FBCE7" w14:textId="372B52D2" w:rsidR="00E7424B" w:rsidRPr="00654840" w:rsidRDefault="00E7424B" w:rsidP="00E7424B">
            <w:pPr>
              <w:spacing w:before="20" w:after="20" w:line="240" w:lineRule="auto"/>
              <w:jc w:val="right"/>
              <w:rPr>
                <w:rFonts w:eastAsia="Times New Roman" w:cs="Calibri"/>
                <w:bCs/>
                <w:sz w:val="18"/>
                <w:szCs w:val="18"/>
                <w:lang w:eastAsia="en-AU"/>
              </w:rPr>
            </w:pP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66E8D6F" w14:textId="7F10C4DE" w:rsidR="00E7424B" w:rsidRPr="00654840"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1,569</w:t>
            </w:r>
            <w:r w:rsidR="008818B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50</w:t>
            </w:r>
            <w:r w:rsidR="0024229A">
              <w:rPr>
                <w:rFonts w:eastAsia="Times New Roman" w:cstheme="minorHAnsi"/>
                <w:color w:val="000000"/>
                <w:sz w:val="18"/>
                <w:szCs w:val="18"/>
                <w:lang w:eastAsia="en-AU"/>
              </w:rPr>
              <w:t>8</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A34B8E9" w14:textId="14152499" w:rsidR="00E7424B" w:rsidRPr="00654840" w:rsidRDefault="00E7424B" w:rsidP="00E7424B">
            <w:pPr>
              <w:spacing w:before="20" w:after="20" w:line="240" w:lineRule="auto"/>
              <w:jc w:val="right"/>
              <w:rPr>
                <w:rFonts w:eastAsia="Times New Roman" w:cs="Calibri"/>
                <w:bCs/>
                <w:sz w:val="18"/>
                <w:szCs w:val="18"/>
                <w:lang w:eastAsia="en-AU"/>
              </w:rPr>
            </w:pPr>
          </w:p>
        </w:tc>
      </w:tr>
      <w:tr w:rsidR="00E7424B" w:rsidRPr="00654840" w14:paraId="5251DD86"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5F0A6112" w14:textId="77777777" w:rsidR="00E7424B" w:rsidRPr="00654840" w:rsidRDefault="00E7424B" w:rsidP="00E7424B">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718" w:type="dxa"/>
            <w:tcBorders>
              <w:top w:val="single" w:sz="4" w:space="0" w:color="auto"/>
              <w:left w:val="nil"/>
              <w:bottom w:val="single" w:sz="4" w:space="0" w:color="auto"/>
              <w:right w:val="single" w:sz="4" w:space="0" w:color="auto"/>
            </w:tcBorders>
            <w:vAlign w:val="center"/>
          </w:tcPr>
          <w:p w14:paraId="2C3AC602" w14:textId="3845C84A" w:rsidR="00E7424B" w:rsidRPr="00654840"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2,744</w:t>
            </w:r>
            <w:r w:rsidR="008818B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92</w:t>
            </w:r>
            <w:r w:rsidR="0024229A">
              <w:rPr>
                <w:rFonts w:eastAsia="Times New Roman" w:cstheme="minorHAnsi"/>
                <w:color w:val="000000"/>
                <w:sz w:val="18"/>
                <w:szCs w:val="18"/>
                <w:lang w:eastAsia="en-AU"/>
              </w:rPr>
              <w:t>5</w:t>
            </w:r>
          </w:p>
        </w:tc>
        <w:tc>
          <w:tcPr>
            <w:tcW w:w="1502" w:type="dxa"/>
            <w:tcBorders>
              <w:top w:val="single" w:sz="4" w:space="0" w:color="auto"/>
              <w:left w:val="nil"/>
              <w:bottom w:val="single" w:sz="4" w:space="0" w:color="auto"/>
              <w:right w:val="single" w:sz="4" w:space="0" w:color="auto"/>
            </w:tcBorders>
            <w:vAlign w:val="center"/>
          </w:tcPr>
          <w:p w14:paraId="65CB05BA" w14:textId="32E4D335" w:rsidR="00E7424B" w:rsidRPr="00654840"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75</w:t>
            </w:r>
          </w:p>
        </w:tc>
        <w:tc>
          <w:tcPr>
            <w:tcW w:w="1718" w:type="dxa"/>
            <w:tcBorders>
              <w:top w:val="single" w:sz="4" w:space="0" w:color="auto"/>
              <w:left w:val="nil"/>
              <w:bottom w:val="single" w:sz="4" w:space="0" w:color="auto"/>
              <w:right w:val="single" w:sz="4" w:space="0" w:color="auto"/>
            </w:tcBorders>
            <w:vAlign w:val="center"/>
          </w:tcPr>
          <w:p w14:paraId="38A7A9F4" w14:textId="683B0D6D" w:rsidR="00E7424B" w:rsidRPr="00654840" w:rsidRDefault="00E7424B" w:rsidP="00E7424B">
            <w:pPr>
              <w:spacing w:before="20" w:after="20" w:line="240" w:lineRule="auto"/>
              <w:jc w:val="right"/>
              <w:rPr>
                <w:rFonts w:eastAsia="Times New Roman" w:cs="Calibri"/>
                <w:bCs/>
                <w:color w:val="000000"/>
                <w:sz w:val="18"/>
                <w:szCs w:val="18"/>
                <w:lang w:eastAsia="en-AU"/>
              </w:rPr>
            </w:pPr>
            <w:r w:rsidRPr="003B41DF">
              <w:rPr>
                <w:rFonts w:eastAsia="Times New Roman" w:cstheme="minorHAnsi"/>
                <w:color w:val="000000"/>
                <w:sz w:val="18"/>
                <w:szCs w:val="18"/>
                <w:lang w:eastAsia="en-AU"/>
              </w:rPr>
              <w:t>309</w:t>
            </w:r>
            <w:r w:rsidR="008818B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50</w:t>
            </w:r>
            <w:r w:rsidR="0024229A">
              <w:rPr>
                <w:rFonts w:eastAsia="Times New Roman" w:cstheme="minorHAnsi"/>
                <w:color w:val="000000"/>
                <w:sz w:val="18"/>
                <w:szCs w:val="18"/>
                <w:lang w:eastAsia="en-AU"/>
              </w:rPr>
              <w:t>7</w:t>
            </w:r>
          </w:p>
        </w:tc>
        <w:tc>
          <w:tcPr>
            <w:tcW w:w="1497" w:type="dxa"/>
            <w:tcBorders>
              <w:top w:val="single" w:sz="4" w:space="0" w:color="auto"/>
              <w:left w:val="nil"/>
              <w:bottom w:val="single" w:sz="4" w:space="0" w:color="auto"/>
              <w:right w:val="single" w:sz="4" w:space="0" w:color="auto"/>
            </w:tcBorders>
            <w:vAlign w:val="center"/>
          </w:tcPr>
          <w:p w14:paraId="132FD960" w14:textId="5A591294" w:rsidR="00E7424B" w:rsidRPr="00654840"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19.72</w:t>
            </w:r>
          </w:p>
        </w:tc>
      </w:tr>
      <w:tr w:rsidR="00E7424B" w:rsidRPr="00654840" w14:paraId="0BC629D0"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9AC4FA6" w14:textId="77777777" w:rsidR="00E7424B" w:rsidRPr="00654840" w:rsidRDefault="00E7424B" w:rsidP="00E7424B">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2785158" w14:textId="6D8DAC80" w:rsidR="00E7424B" w:rsidRPr="00654840" w:rsidRDefault="00E7424B" w:rsidP="00E7424B">
            <w:pPr>
              <w:spacing w:before="20" w:after="20" w:line="240" w:lineRule="auto"/>
              <w:jc w:val="right"/>
              <w:rPr>
                <w:rFonts w:eastAsia="Times New Roman" w:cs="Calibri"/>
                <w:bCs/>
                <w:color w:val="000000"/>
                <w:sz w:val="18"/>
                <w:szCs w:val="18"/>
                <w:lang w:eastAsia="en-AU"/>
              </w:rPr>
            </w:pPr>
            <w:r w:rsidRPr="003B41DF">
              <w:rPr>
                <w:rFonts w:eastAsia="Times New Roman" w:cstheme="minorHAnsi"/>
                <w:color w:val="000000"/>
                <w:sz w:val="18"/>
                <w:szCs w:val="18"/>
                <w:lang w:eastAsia="en-AU"/>
              </w:rPr>
              <w:t>2,731</w:t>
            </w:r>
            <w:r w:rsidR="008818B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71</w:t>
            </w:r>
            <w:r w:rsidR="0024229A">
              <w:rPr>
                <w:rFonts w:eastAsia="Times New Roman" w:cstheme="minorHAnsi"/>
                <w:color w:val="000000"/>
                <w:sz w:val="18"/>
                <w:szCs w:val="18"/>
                <w:lang w:eastAsia="en-AU"/>
              </w:rPr>
              <w:t>3</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CD58617" w14:textId="4CE998E8" w:rsidR="00E7424B" w:rsidRPr="00654840"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74.64</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6861A7D" w14:textId="2BF03835" w:rsidR="00E7424B" w:rsidRPr="00654840" w:rsidRDefault="00E7424B" w:rsidP="00E7424B">
            <w:pPr>
              <w:spacing w:before="20" w:after="20" w:line="240" w:lineRule="auto"/>
              <w:jc w:val="right"/>
              <w:rPr>
                <w:rFonts w:eastAsia="Times New Roman" w:cs="Calibri"/>
                <w:bCs/>
                <w:color w:val="000000"/>
                <w:sz w:val="18"/>
                <w:szCs w:val="18"/>
                <w:lang w:eastAsia="en-AU"/>
              </w:rPr>
            </w:pPr>
            <w:r w:rsidRPr="003B41DF">
              <w:rPr>
                <w:rFonts w:eastAsia="Times New Roman" w:cstheme="minorHAnsi"/>
                <w:color w:val="000000"/>
                <w:sz w:val="18"/>
                <w:szCs w:val="18"/>
                <w:lang w:eastAsia="en-AU"/>
              </w:rPr>
              <w:t>362</w:t>
            </w:r>
            <w:r w:rsidR="008818B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496</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1B30A3E" w14:textId="4F71DDEA" w:rsidR="00E7424B" w:rsidRPr="00654840"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23.1</w:t>
            </w:r>
          </w:p>
        </w:tc>
      </w:tr>
      <w:tr w:rsidR="00E7424B" w:rsidRPr="00654840" w14:paraId="0E54A44F"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4C3EC29D" w14:textId="77777777" w:rsidR="00E7424B" w:rsidRPr="00654840" w:rsidRDefault="00E7424B" w:rsidP="00E7424B">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718" w:type="dxa"/>
            <w:tcBorders>
              <w:top w:val="single" w:sz="4" w:space="0" w:color="auto"/>
              <w:left w:val="nil"/>
              <w:bottom w:val="single" w:sz="4" w:space="0" w:color="auto"/>
              <w:right w:val="single" w:sz="4" w:space="0" w:color="auto"/>
            </w:tcBorders>
            <w:vAlign w:val="center"/>
          </w:tcPr>
          <w:p w14:paraId="1EBCE7C4" w14:textId="25BD4389" w:rsidR="00E7424B" w:rsidRPr="00654840" w:rsidRDefault="00E7424B" w:rsidP="00E7424B">
            <w:pPr>
              <w:spacing w:before="20" w:after="20" w:line="240" w:lineRule="auto"/>
              <w:jc w:val="right"/>
              <w:rPr>
                <w:rFonts w:eastAsia="Times New Roman" w:cs="Calibri"/>
                <w:bCs/>
                <w:color w:val="000000"/>
                <w:sz w:val="18"/>
                <w:szCs w:val="18"/>
                <w:lang w:eastAsia="en-AU"/>
              </w:rPr>
            </w:pPr>
            <w:r w:rsidRPr="003B41DF">
              <w:rPr>
                <w:rFonts w:eastAsia="Times New Roman" w:cstheme="minorHAnsi"/>
                <w:color w:val="000000"/>
                <w:sz w:val="18"/>
                <w:szCs w:val="18"/>
                <w:lang w:eastAsia="en-AU"/>
              </w:rPr>
              <w:t>-21</w:t>
            </w:r>
            <w:r w:rsidR="008818B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959</w:t>
            </w:r>
          </w:p>
        </w:tc>
        <w:tc>
          <w:tcPr>
            <w:tcW w:w="1502" w:type="dxa"/>
            <w:tcBorders>
              <w:top w:val="single" w:sz="4" w:space="0" w:color="auto"/>
              <w:left w:val="nil"/>
              <w:bottom w:val="single" w:sz="4" w:space="0" w:color="auto"/>
              <w:right w:val="single" w:sz="4" w:space="0" w:color="auto"/>
            </w:tcBorders>
            <w:vAlign w:val="center"/>
          </w:tcPr>
          <w:p w14:paraId="5013FECD" w14:textId="6B1D664C" w:rsidR="00E7424B" w:rsidRPr="00654840"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-0.6</w:t>
            </w:r>
          </w:p>
        </w:tc>
        <w:tc>
          <w:tcPr>
            <w:tcW w:w="1718" w:type="dxa"/>
            <w:tcBorders>
              <w:top w:val="single" w:sz="4" w:space="0" w:color="auto"/>
              <w:left w:val="nil"/>
              <w:bottom w:val="single" w:sz="4" w:space="0" w:color="auto"/>
              <w:right w:val="single" w:sz="4" w:space="0" w:color="auto"/>
            </w:tcBorders>
            <w:vAlign w:val="center"/>
          </w:tcPr>
          <w:p w14:paraId="2A22EBF2" w14:textId="61EA56B0" w:rsidR="00E7424B" w:rsidRPr="00654840" w:rsidRDefault="003A62E6" w:rsidP="00E7424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vAlign w:val="center"/>
          </w:tcPr>
          <w:p w14:paraId="18C264DB" w14:textId="760C791F" w:rsidR="00E7424B" w:rsidRPr="00654840" w:rsidRDefault="003A62E6" w:rsidP="00E7424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E7424B" w:rsidRPr="00654840" w14:paraId="7D5F0109"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030363A" w14:textId="77777777" w:rsidR="00E7424B" w:rsidRPr="00654840" w:rsidRDefault="00E7424B" w:rsidP="00E7424B">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49D2C82" w14:textId="3FFAF58A" w:rsidR="00E7424B" w:rsidRPr="00654840"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13</w:t>
            </w:r>
            <w:r w:rsidR="008818B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212</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CC13E1D" w14:textId="3B78F527" w:rsidR="00E7424B" w:rsidRPr="00654840"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-0.36</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C788B91" w14:textId="2A61AE23" w:rsidR="00E7424B" w:rsidRPr="00654840" w:rsidRDefault="003A62E6" w:rsidP="00E7424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78F19E2" w14:textId="76EB1EB4" w:rsidR="00E7424B" w:rsidRPr="00654840" w:rsidDel="002336A1" w:rsidRDefault="003A62E6" w:rsidP="00E7424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E7424B" w:rsidRPr="00654840" w14:paraId="52A71456"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40B7A92C" w14:textId="77777777" w:rsidR="00E7424B" w:rsidRPr="00654840" w:rsidRDefault="00E7424B" w:rsidP="00E7424B">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718" w:type="dxa"/>
            <w:tcBorders>
              <w:top w:val="single" w:sz="4" w:space="0" w:color="auto"/>
              <w:left w:val="nil"/>
              <w:bottom w:val="single" w:sz="4" w:space="0" w:color="auto"/>
              <w:right w:val="single" w:sz="4" w:space="0" w:color="auto"/>
            </w:tcBorders>
            <w:vAlign w:val="center"/>
          </w:tcPr>
          <w:p w14:paraId="60E1C1B1" w14:textId="00624DCF" w:rsidR="00E7424B" w:rsidRPr="00654840" w:rsidRDefault="003A62E6" w:rsidP="00E7424B">
            <w:pPr>
              <w:spacing w:before="20" w:after="20" w:line="240" w:lineRule="auto"/>
              <w:jc w:val="right"/>
              <w:rPr>
                <w:rFonts w:eastAsia="Times New Roman" w:cs="Calibri"/>
                <w:bCs/>
                <w:color w:val="000000"/>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vAlign w:val="center"/>
          </w:tcPr>
          <w:p w14:paraId="4FD092CB" w14:textId="564FB08D" w:rsidR="00E7424B" w:rsidRPr="00654840" w:rsidRDefault="003A62E6" w:rsidP="00E7424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vAlign w:val="center"/>
          </w:tcPr>
          <w:p w14:paraId="0F9C5A61" w14:textId="4A34ED76" w:rsidR="00E7424B" w:rsidRPr="00654840" w:rsidRDefault="003A62E6" w:rsidP="00E7424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vAlign w:val="center"/>
          </w:tcPr>
          <w:p w14:paraId="7C43EC8A" w14:textId="70DC39AB" w:rsidR="00E7424B" w:rsidRPr="00654840" w:rsidRDefault="003A62E6" w:rsidP="00E7424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E7424B" w:rsidRPr="00654840" w14:paraId="5BFFE166"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9C29008" w14:textId="4310991D" w:rsidR="00E7424B" w:rsidRPr="00654840" w:rsidRDefault="00E7424B" w:rsidP="00E7424B">
            <w:pPr>
              <w:spacing w:before="20" w:after="20" w:line="240" w:lineRule="auto"/>
              <w:rPr>
                <w:rFonts w:eastAsia="Times New Roman" w:cs="Calibri"/>
                <w:b/>
                <w:sz w:val="18"/>
                <w:szCs w:val="18"/>
              </w:rPr>
            </w:pPr>
            <w:r>
              <w:rPr>
                <w:rFonts w:eastAsia="Times New Roman" w:cs="Calibri"/>
                <w:b/>
                <w:sz w:val="18"/>
                <w:szCs w:val="18"/>
              </w:rPr>
              <w:t>Total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81C30D7" w14:textId="3D9212EC" w:rsidR="00E7424B"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13</w:t>
            </w:r>
            <w:r w:rsidR="008818B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212</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C8A68D8" w14:textId="26D1101C" w:rsidR="00E7424B" w:rsidRPr="00654840" w:rsidRDefault="00E7424B" w:rsidP="00E7424B">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-0.36</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4E4FDE9" w14:textId="3D63C47C" w:rsidR="00E7424B" w:rsidRPr="00654840" w:rsidRDefault="003A62E6" w:rsidP="00E7424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FEDAC82" w14:textId="3775995F" w:rsidR="00E7424B" w:rsidRPr="00654840" w:rsidRDefault="003A62E6" w:rsidP="00E7424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D86CFE" w:rsidRPr="00654840" w14:paraId="0DAA6251"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6EC41B27" w14:textId="27ECCCD0" w:rsidR="00D86CFE" w:rsidRPr="00654840" w:rsidRDefault="00C50C1E" w:rsidP="00D86CFE">
            <w:pPr>
              <w:spacing w:before="20" w:after="20" w:line="240" w:lineRule="auto"/>
              <w:rPr>
                <w:rFonts w:eastAsia="Times New Roman" w:cs="Calibri"/>
                <w:b/>
                <w:sz w:val="18"/>
                <w:szCs w:val="18"/>
              </w:rPr>
            </w:pPr>
            <w:r>
              <w:rPr>
                <w:rFonts w:eastAsia="Times New Roman" w:cs="Calibri"/>
                <w:b/>
                <w:sz w:val="18"/>
                <w:szCs w:val="18"/>
              </w:rPr>
              <w:t>Cap</w:t>
            </w:r>
            <w:r w:rsidR="00D86CFE" w:rsidRPr="00654840">
              <w:rPr>
                <w:rFonts w:eastAsia="Times New Roman" w:cs="Calibri"/>
                <w:b/>
                <w:sz w:val="18"/>
                <w:szCs w:val="18"/>
              </w:rPr>
              <w:t xml:space="preserve"> on inclusions</w:t>
            </w:r>
          </w:p>
        </w:tc>
        <w:tc>
          <w:tcPr>
            <w:tcW w:w="1718" w:type="dxa"/>
            <w:tcBorders>
              <w:top w:val="nil"/>
              <w:left w:val="nil"/>
              <w:bottom w:val="single" w:sz="4" w:space="0" w:color="auto"/>
              <w:right w:val="single" w:sz="4" w:space="0" w:color="auto"/>
            </w:tcBorders>
            <w:vAlign w:val="center"/>
          </w:tcPr>
          <w:p w14:paraId="7452A74B" w14:textId="62911BE4" w:rsidR="00D86CFE" w:rsidRPr="00654840" w:rsidRDefault="7C73FF87" w:rsidP="00D86CFE">
            <w:pPr>
              <w:spacing w:before="20" w:after="20" w:line="240" w:lineRule="auto"/>
              <w:jc w:val="right"/>
              <w:rPr>
                <w:rFonts w:eastAsia="Times New Roman" w:cs="Calibri"/>
                <w:bCs/>
                <w:sz w:val="18"/>
                <w:szCs w:val="18"/>
                <w:lang w:eastAsia="en-AU"/>
              </w:rPr>
            </w:pPr>
            <w:r w:rsidRPr="19505304">
              <w:rPr>
                <w:rFonts w:eastAsia="Times New Roman"/>
                <w:color w:val="000000"/>
                <w:sz w:val="18"/>
                <w:szCs w:val="18"/>
                <w:lang w:eastAsia="en-AU"/>
              </w:rPr>
              <w:t>146</w:t>
            </w:r>
            <w:r w:rsidR="6A318691" w:rsidRPr="19505304">
              <w:rPr>
                <w:rFonts w:eastAsia="Times New Roman"/>
                <w:color w:val="000000"/>
                <w:sz w:val="18"/>
                <w:szCs w:val="18"/>
                <w:lang w:eastAsia="en-AU"/>
              </w:rPr>
              <w:t>.</w:t>
            </w:r>
            <w:r w:rsidRPr="19505304">
              <w:rPr>
                <w:rFonts w:eastAsia="Times New Roman"/>
                <w:color w:val="000000"/>
                <w:sz w:val="18"/>
                <w:szCs w:val="18"/>
                <w:lang w:eastAsia="en-AU"/>
              </w:rPr>
              <w:t>396</w:t>
            </w:r>
            <w:r w:rsidR="00D86CFE" w:rsidRPr="19505304">
              <w:rPr>
                <w:rStyle w:val="FootnoteReference"/>
                <w:rFonts w:eastAsia="Times New Roman" w:cs="Calibri"/>
                <w:sz w:val="18"/>
                <w:szCs w:val="18"/>
                <w:lang w:eastAsia="en-AU"/>
              </w:rPr>
              <w:footnoteReference w:id="16"/>
            </w:r>
          </w:p>
        </w:tc>
        <w:tc>
          <w:tcPr>
            <w:tcW w:w="1502" w:type="dxa"/>
            <w:tcBorders>
              <w:top w:val="nil"/>
              <w:left w:val="nil"/>
              <w:bottom w:val="single" w:sz="4" w:space="0" w:color="auto"/>
              <w:right w:val="single" w:sz="4" w:space="0" w:color="auto"/>
            </w:tcBorders>
            <w:vAlign w:val="center"/>
          </w:tcPr>
          <w:p w14:paraId="21E8D977" w14:textId="6854DF03" w:rsidR="00D86CFE" w:rsidRPr="00654840" w:rsidRDefault="00D86CFE" w:rsidP="00D86CFE">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4</w:t>
            </w:r>
            <w:r w:rsidR="002A3B86">
              <w:rPr>
                <w:rFonts w:eastAsia="Times New Roman" w:cstheme="minorHAnsi"/>
                <w:color w:val="000000"/>
                <w:sz w:val="18"/>
                <w:szCs w:val="18"/>
                <w:lang w:eastAsia="en-AU"/>
              </w:rPr>
              <w:t>.0</w:t>
            </w:r>
          </w:p>
        </w:tc>
        <w:tc>
          <w:tcPr>
            <w:tcW w:w="1718" w:type="dxa"/>
            <w:tcBorders>
              <w:top w:val="nil"/>
              <w:left w:val="nil"/>
              <w:bottom w:val="single" w:sz="4" w:space="0" w:color="auto"/>
              <w:right w:val="single" w:sz="4" w:space="0" w:color="auto"/>
            </w:tcBorders>
            <w:vAlign w:val="center"/>
          </w:tcPr>
          <w:p w14:paraId="7CEB6F63" w14:textId="7BE17FFD" w:rsidR="00D86CFE" w:rsidRPr="00654840" w:rsidRDefault="003A62E6" w:rsidP="00D86CF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nil"/>
              <w:left w:val="nil"/>
              <w:bottom w:val="single" w:sz="4" w:space="0" w:color="auto"/>
              <w:right w:val="single" w:sz="4" w:space="0" w:color="auto"/>
            </w:tcBorders>
            <w:vAlign w:val="center"/>
          </w:tcPr>
          <w:p w14:paraId="6F1D1BE7" w14:textId="2282A437" w:rsidR="00D86CFE" w:rsidRPr="00654840" w:rsidRDefault="003A62E6" w:rsidP="00D86CFE">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CA4C59" w:rsidRPr="00654840" w14:paraId="6BC6F8BF"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C8A7F49" w14:textId="77777777" w:rsidR="00CA4C59" w:rsidRPr="00654840" w:rsidRDefault="00CA4C59" w:rsidP="00CA4C59">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84206C2" w14:textId="209EAE10" w:rsidR="00CA4C59" w:rsidRPr="00654840" w:rsidRDefault="00CA4C59" w:rsidP="00CA4C59">
            <w:pPr>
              <w:spacing w:before="20" w:after="20" w:line="240" w:lineRule="auto"/>
              <w:jc w:val="right"/>
              <w:rPr>
                <w:rFonts w:eastAsia="Times New Roman" w:cs="Calibri"/>
                <w:bCs/>
                <w:sz w:val="18"/>
                <w:szCs w:val="18"/>
                <w:lang w:eastAsia="en-AU"/>
              </w:rPr>
            </w:pPr>
            <w:r w:rsidRPr="003B41DF">
              <w:rPr>
                <w:rFonts w:eastAsia="Times New Roman" w:cstheme="minorHAnsi"/>
                <w:color w:val="000000"/>
                <w:sz w:val="18"/>
                <w:szCs w:val="18"/>
                <w:lang w:eastAsia="en-AU"/>
              </w:rPr>
              <w:t>24</w:t>
            </w:r>
            <w:r w:rsidR="008818B5">
              <w:rPr>
                <w:rFonts w:eastAsia="Times New Roman" w:cstheme="minorHAnsi"/>
                <w:color w:val="000000"/>
                <w:sz w:val="18"/>
                <w:szCs w:val="18"/>
                <w:lang w:eastAsia="en-AU"/>
              </w:rPr>
              <w:t>.</w:t>
            </w:r>
            <w:r w:rsidRPr="003B41DF">
              <w:rPr>
                <w:rFonts w:eastAsia="Times New Roman" w:cstheme="minorHAnsi"/>
                <w:color w:val="000000"/>
                <w:sz w:val="18"/>
                <w:szCs w:val="18"/>
                <w:lang w:eastAsia="en-AU"/>
              </w:rPr>
              <w:t>392</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80A2841" w14:textId="79B4F22C" w:rsidR="00CA4C59" w:rsidRPr="00654840" w:rsidRDefault="003A62E6" w:rsidP="00CA4C59">
            <w:pPr>
              <w:spacing w:before="20" w:after="20" w:line="240" w:lineRule="auto"/>
              <w:jc w:val="right"/>
              <w:rPr>
                <w:rFonts w:eastAsia="Times New Roman" w:cs="Calibri"/>
                <w:bCs/>
                <w:sz w:val="18"/>
                <w:szCs w:val="18"/>
                <w:lang w:eastAsia="en-AU"/>
              </w:rPr>
            </w:pPr>
            <w:r w:rsidDel="00892709">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8B70F0B" w14:textId="07FCC73D" w:rsidR="00CA4C59" w:rsidRPr="00654840" w:rsidRDefault="003A62E6" w:rsidP="00CA4C59">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1C8F323" w14:textId="1CB34234" w:rsidR="00CA4C59" w:rsidRPr="00654840" w:rsidRDefault="003A62E6" w:rsidP="00CA4C59">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bookmarkEnd w:id="519"/>
    </w:tbl>
    <w:p w14:paraId="7E55A9DF" w14:textId="77777777" w:rsidR="00BB2B21" w:rsidRDefault="00BB2B21" w:rsidP="00BB2B21"/>
    <w:p w14:paraId="212517B6" w14:textId="456762E6" w:rsidR="008D6303" w:rsidRPr="000E7C7F" w:rsidRDefault="008D6303" w:rsidP="000E7C7F">
      <w:pPr>
        <w:pStyle w:val="Heading3"/>
      </w:pPr>
      <w:bookmarkStart w:id="520" w:name="_Toc210306652"/>
      <w:bookmarkStart w:id="521" w:name="_Toc210317478"/>
      <w:bookmarkStart w:id="522" w:name="_Toc210815632"/>
      <w:bookmarkStart w:id="523" w:name="_Hlk158892389"/>
      <w:r>
        <w:t>Tasmania</w:t>
      </w:r>
      <w:bookmarkEnd w:id="520"/>
      <w:bookmarkEnd w:id="521"/>
      <w:bookmarkEnd w:id="522"/>
    </w:p>
    <w:tbl>
      <w:tblPr>
        <w:tblW w:w="0" w:type="auto"/>
        <w:tblLayout w:type="fixed"/>
        <w:tblLook w:val="04A0" w:firstRow="1" w:lastRow="0" w:firstColumn="1" w:lastColumn="0" w:noHBand="0" w:noVBand="1"/>
      </w:tblPr>
      <w:tblGrid>
        <w:gridCol w:w="2347"/>
        <w:gridCol w:w="1718"/>
        <w:gridCol w:w="1502"/>
        <w:gridCol w:w="1718"/>
        <w:gridCol w:w="1497"/>
      </w:tblGrid>
      <w:tr w:rsidR="008D6303" w:rsidRPr="00654840" w14:paraId="4BABDE71"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9E9AC" w14:textId="77777777" w:rsidR="008D6303" w:rsidRPr="00654840" w:rsidRDefault="008D6303" w:rsidP="003E5C94">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70963656" w14:textId="08C5616A"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r w:rsidR="00DA0D77">
              <w:rPr>
                <w:rFonts w:eastAsia="Calibri" w:cs="Times New Roman"/>
                <w:b/>
                <w:bCs/>
                <w:sz w:val="18"/>
                <w:szCs w:val="18"/>
              </w:rPr>
              <w:t>M</w:t>
            </w:r>
            <w:r w:rsidRPr="00654840">
              <w:rPr>
                <w:rFonts w:eastAsia="Calibri" w:cs="Times New Roman"/>
                <w:b/>
                <w:bCs/>
                <w:sz w:val="18"/>
                <w:szCs w:val="18"/>
              </w:rPr>
              <w:t>)</w:t>
            </w:r>
          </w:p>
        </w:tc>
        <w:tc>
          <w:tcPr>
            <w:tcW w:w="1502" w:type="dxa"/>
            <w:tcBorders>
              <w:top w:val="single" w:sz="4" w:space="0" w:color="auto"/>
              <w:left w:val="nil"/>
              <w:bottom w:val="single" w:sz="4" w:space="0" w:color="auto"/>
              <w:right w:val="single" w:sz="4" w:space="0" w:color="auto"/>
            </w:tcBorders>
            <w:shd w:val="clear" w:color="auto" w:fill="FFFFFF" w:themeFill="background1"/>
            <w:vAlign w:val="center"/>
          </w:tcPr>
          <w:p w14:paraId="4DAF6CB0" w14:textId="77777777"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5DE9880F" w14:textId="4EF67F7C"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r w:rsidR="00DA0D77">
              <w:rPr>
                <w:rFonts w:eastAsia="Calibri" w:cs="Times New Roman"/>
                <w:b/>
                <w:bCs/>
                <w:sz w:val="18"/>
                <w:szCs w:val="18"/>
              </w:rPr>
              <w:t>M</w:t>
            </w:r>
            <w:r w:rsidRPr="00654840">
              <w:rPr>
                <w:rFonts w:eastAsia="Calibri" w:cs="Times New Roman"/>
                <w:b/>
                <w:bCs/>
                <w:sz w:val="18"/>
                <w:szCs w:val="18"/>
              </w:rPr>
              <w:t>)</w:t>
            </w:r>
          </w:p>
        </w:tc>
        <w:tc>
          <w:tcPr>
            <w:tcW w:w="1497" w:type="dxa"/>
            <w:tcBorders>
              <w:top w:val="single" w:sz="4" w:space="0" w:color="auto"/>
              <w:left w:val="nil"/>
              <w:bottom w:val="single" w:sz="4" w:space="0" w:color="auto"/>
              <w:right w:val="single" w:sz="4" w:space="0" w:color="auto"/>
            </w:tcBorders>
            <w:shd w:val="clear" w:color="auto" w:fill="FFFFFF" w:themeFill="background1"/>
            <w:vAlign w:val="center"/>
          </w:tcPr>
          <w:p w14:paraId="63158568" w14:textId="77777777"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2C34FB" w:rsidRPr="00654840" w14:paraId="694CDC73"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CF3428C" w14:textId="77777777" w:rsidR="002C34FB" w:rsidRPr="00654840" w:rsidRDefault="002C34FB" w:rsidP="002C34FB">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E645DC7" w14:textId="42C3D6A4"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1,200</w:t>
            </w:r>
            <w:r w:rsidR="00A7569A">
              <w:rPr>
                <w:rFonts w:eastAsia="Times New Roman" w:cstheme="minorHAnsi"/>
                <w:color w:val="000000"/>
                <w:sz w:val="18"/>
                <w:szCs w:val="18"/>
                <w:lang w:eastAsia="en-AU"/>
              </w:rPr>
              <w:t>.</w:t>
            </w:r>
            <w:r w:rsidRPr="0068158E">
              <w:rPr>
                <w:rFonts w:eastAsia="Times New Roman" w:cstheme="minorHAnsi"/>
                <w:color w:val="000000"/>
                <w:sz w:val="18"/>
                <w:szCs w:val="18"/>
                <w:lang w:eastAsia="en-AU"/>
              </w:rPr>
              <w:t>4</w:t>
            </w:r>
            <w:r w:rsidR="008A17B9">
              <w:rPr>
                <w:rFonts w:eastAsia="Times New Roman" w:cstheme="minorHAnsi"/>
                <w:color w:val="000000"/>
                <w:sz w:val="18"/>
                <w:szCs w:val="18"/>
                <w:lang w:eastAsia="en-AU"/>
              </w:rPr>
              <w:t>50</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B6E5450" w14:textId="63FA26A0" w:rsidR="002C34FB" w:rsidRPr="00654840" w:rsidRDefault="002C34FB" w:rsidP="002C34FB">
            <w:pPr>
              <w:spacing w:before="20" w:after="20" w:line="240" w:lineRule="auto"/>
              <w:jc w:val="right"/>
              <w:rPr>
                <w:rFonts w:eastAsia="Times New Roman" w:cs="Calibri"/>
                <w:bCs/>
                <w:sz w:val="18"/>
                <w:szCs w:val="18"/>
                <w:lang w:eastAsia="en-AU"/>
              </w:rPr>
            </w:pP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2A563AB" w14:textId="301A96C1"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466</w:t>
            </w:r>
            <w:r w:rsidR="007D67AD">
              <w:rPr>
                <w:rFonts w:eastAsia="Times New Roman" w:cstheme="minorHAnsi"/>
                <w:color w:val="000000"/>
                <w:sz w:val="18"/>
                <w:szCs w:val="18"/>
                <w:lang w:eastAsia="en-AU"/>
              </w:rPr>
              <w:t>.</w:t>
            </w:r>
            <w:r w:rsidR="008A17B9">
              <w:rPr>
                <w:rFonts w:eastAsia="Times New Roman" w:cstheme="minorHAnsi"/>
                <w:color w:val="000000"/>
                <w:sz w:val="18"/>
                <w:szCs w:val="18"/>
                <w:lang w:eastAsia="en-AU"/>
              </w:rPr>
              <w:t>200</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DED7276" w14:textId="0EA8A291" w:rsidR="002C34FB" w:rsidRPr="00654840" w:rsidRDefault="002C34FB" w:rsidP="002C34FB">
            <w:pPr>
              <w:spacing w:before="20" w:after="20" w:line="240" w:lineRule="auto"/>
              <w:jc w:val="right"/>
              <w:rPr>
                <w:rFonts w:eastAsia="Times New Roman" w:cs="Calibri"/>
                <w:bCs/>
                <w:sz w:val="18"/>
                <w:szCs w:val="18"/>
                <w:lang w:eastAsia="en-AU"/>
              </w:rPr>
            </w:pPr>
          </w:p>
        </w:tc>
      </w:tr>
      <w:tr w:rsidR="002C34FB" w:rsidRPr="00654840" w14:paraId="60985FEF"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44B221D6" w14:textId="77777777" w:rsidR="002C34FB" w:rsidRPr="00654840" w:rsidRDefault="002C34FB" w:rsidP="002C34FB">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718" w:type="dxa"/>
            <w:tcBorders>
              <w:top w:val="single" w:sz="4" w:space="0" w:color="auto"/>
              <w:left w:val="nil"/>
              <w:bottom w:val="single" w:sz="4" w:space="0" w:color="auto"/>
              <w:right w:val="single" w:sz="4" w:space="0" w:color="auto"/>
            </w:tcBorders>
            <w:vAlign w:val="center"/>
          </w:tcPr>
          <w:p w14:paraId="0437AA44" w14:textId="7BB57F42"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889</w:t>
            </w:r>
            <w:r w:rsidR="00A7569A">
              <w:rPr>
                <w:rFonts w:eastAsia="Times New Roman" w:cstheme="minorHAnsi"/>
                <w:color w:val="000000"/>
                <w:sz w:val="18"/>
                <w:szCs w:val="18"/>
                <w:lang w:eastAsia="en-AU"/>
              </w:rPr>
              <w:t>.</w:t>
            </w:r>
            <w:r w:rsidRPr="0068158E">
              <w:rPr>
                <w:rFonts w:eastAsia="Times New Roman" w:cstheme="minorHAnsi"/>
                <w:color w:val="000000"/>
                <w:sz w:val="18"/>
                <w:szCs w:val="18"/>
                <w:lang w:eastAsia="en-AU"/>
              </w:rPr>
              <w:t>293</w:t>
            </w:r>
          </w:p>
        </w:tc>
        <w:tc>
          <w:tcPr>
            <w:tcW w:w="1502" w:type="dxa"/>
            <w:tcBorders>
              <w:top w:val="single" w:sz="4" w:space="0" w:color="auto"/>
              <w:left w:val="nil"/>
              <w:bottom w:val="single" w:sz="4" w:space="0" w:color="auto"/>
              <w:right w:val="single" w:sz="4" w:space="0" w:color="auto"/>
            </w:tcBorders>
            <w:vAlign w:val="center"/>
          </w:tcPr>
          <w:p w14:paraId="668B9C5C" w14:textId="35B1CD78"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74.08</w:t>
            </w:r>
          </w:p>
        </w:tc>
        <w:tc>
          <w:tcPr>
            <w:tcW w:w="1718" w:type="dxa"/>
            <w:tcBorders>
              <w:top w:val="single" w:sz="4" w:space="0" w:color="auto"/>
              <w:left w:val="nil"/>
              <w:bottom w:val="single" w:sz="4" w:space="0" w:color="auto"/>
              <w:right w:val="single" w:sz="4" w:space="0" w:color="auto"/>
            </w:tcBorders>
            <w:vAlign w:val="center"/>
          </w:tcPr>
          <w:p w14:paraId="14FA7554" w14:textId="3918C61D"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93</w:t>
            </w:r>
            <w:r w:rsidR="00DA0D77">
              <w:rPr>
                <w:rFonts w:eastAsia="Times New Roman" w:cstheme="minorHAnsi"/>
                <w:color w:val="000000"/>
                <w:sz w:val="18"/>
                <w:szCs w:val="18"/>
                <w:lang w:eastAsia="en-AU"/>
              </w:rPr>
              <w:t>.</w:t>
            </w:r>
            <w:r w:rsidRPr="0068158E">
              <w:rPr>
                <w:rFonts w:eastAsia="Times New Roman" w:cstheme="minorHAnsi"/>
                <w:color w:val="000000"/>
                <w:sz w:val="18"/>
                <w:szCs w:val="18"/>
                <w:lang w:eastAsia="en-AU"/>
              </w:rPr>
              <w:t>2</w:t>
            </w:r>
            <w:r w:rsidR="008A17B9">
              <w:rPr>
                <w:rFonts w:eastAsia="Times New Roman" w:cstheme="minorHAnsi"/>
                <w:color w:val="000000"/>
                <w:sz w:val="18"/>
                <w:szCs w:val="18"/>
                <w:lang w:eastAsia="en-AU"/>
              </w:rPr>
              <w:t>40</w:t>
            </w:r>
          </w:p>
        </w:tc>
        <w:tc>
          <w:tcPr>
            <w:tcW w:w="1497" w:type="dxa"/>
            <w:tcBorders>
              <w:top w:val="single" w:sz="4" w:space="0" w:color="auto"/>
              <w:left w:val="nil"/>
              <w:bottom w:val="single" w:sz="4" w:space="0" w:color="auto"/>
              <w:right w:val="single" w:sz="4" w:space="0" w:color="auto"/>
            </w:tcBorders>
            <w:vAlign w:val="center"/>
          </w:tcPr>
          <w:p w14:paraId="6773CD50" w14:textId="6A3D9A58"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20</w:t>
            </w:r>
          </w:p>
        </w:tc>
      </w:tr>
      <w:tr w:rsidR="002C34FB" w:rsidRPr="00654840" w14:paraId="5C351D13"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0A546EA" w14:textId="77777777" w:rsidR="002C34FB" w:rsidRPr="00654840" w:rsidRDefault="002C34FB" w:rsidP="002C34FB">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286FAA4" w14:textId="56A151F6"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917</w:t>
            </w:r>
            <w:r w:rsidR="003C6832">
              <w:rPr>
                <w:rFonts w:eastAsia="Times New Roman" w:cstheme="minorHAnsi"/>
                <w:color w:val="000000"/>
                <w:sz w:val="18"/>
                <w:szCs w:val="18"/>
                <w:lang w:eastAsia="en-AU"/>
              </w:rPr>
              <w:t>.</w:t>
            </w:r>
            <w:r w:rsidRPr="0068158E">
              <w:rPr>
                <w:rFonts w:eastAsia="Times New Roman" w:cstheme="minorHAnsi"/>
                <w:color w:val="000000"/>
                <w:sz w:val="18"/>
                <w:szCs w:val="18"/>
                <w:lang w:eastAsia="en-AU"/>
              </w:rPr>
              <w:t>71</w:t>
            </w:r>
            <w:r w:rsidR="008A17B9">
              <w:rPr>
                <w:rFonts w:eastAsia="Times New Roman" w:cstheme="minorHAnsi"/>
                <w:color w:val="000000"/>
                <w:sz w:val="18"/>
                <w:szCs w:val="18"/>
                <w:lang w:eastAsia="en-AU"/>
              </w:rPr>
              <w:t>4</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F4A324D" w14:textId="21B86FC5"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76.45</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C78B42C" w14:textId="68D82187"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93</w:t>
            </w:r>
            <w:r w:rsidR="00DA0D77">
              <w:rPr>
                <w:rFonts w:eastAsia="Times New Roman" w:cstheme="minorHAnsi"/>
                <w:color w:val="000000"/>
                <w:sz w:val="18"/>
                <w:szCs w:val="18"/>
                <w:lang w:eastAsia="en-AU"/>
              </w:rPr>
              <w:t>.</w:t>
            </w:r>
            <w:r w:rsidRPr="0068158E">
              <w:rPr>
                <w:rFonts w:eastAsia="Times New Roman" w:cstheme="minorHAnsi"/>
                <w:color w:val="000000"/>
                <w:sz w:val="18"/>
                <w:szCs w:val="18"/>
                <w:lang w:eastAsia="en-AU"/>
              </w:rPr>
              <w:t>455</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DA4F419" w14:textId="346EFEB8"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20.05</w:t>
            </w:r>
          </w:p>
        </w:tc>
      </w:tr>
      <w:tr w:rsidR="002C34FB" w:rsidRPr="00654840" w14:paraId="033447C5"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7CA9525E" w14:textId="77777777" w:rsidR="002C34FB" w:rsidRPr="00654840" w:rsidRDefault="002C34FB" w:rsidP="002C34FB">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718" w:type="dxa"/>
            <w:tcBorders>
              <w:top w:val="single" w:sz="4" w:space="0" w:color="auto"/>
              <w:left w:val="nil"/>
              <w:bottom w:val="single" w:sz="4" w:space="0" w:color="auto"/>
              <w:right w:val="single" w:sz="4" w:space="0" w:color="auto"/>
            </w:tcBorders>
            <w:vAlign w:val="center"/>
          </w:tcPr>
          <w:p w14:paraId="4FAEB9A6" w14:textId="64CEA802"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-7</w:t>
            </w:r>
            <w:r w:rsidR="007D67AD">
              <w:rPr>
                <w:rFonts w:eastAsia="Times New Roman" w:cstheme="minorHAnsi"/>
                <w:color w:val="000000"/>
                <w:sz w:val="18"/>
                <w:szCs w:val="18"/>
                <w:lang w:eastAsia="en-AU"/>
              </w:rPr>
              <w:t>.</w:t>
            </w:r>
            <w:r w:rsidRPr="0068158E">
              <w:rPr>
                <w:rFonts w:eastAsia="Times New Roman" w:cstheme="minorHAnsi"/>
                <w:color w:val="000000"/>
                <w:sz w:val="18"/>
                <w:szCs w:val="18"/>
                <w:lang w:eastAsia="en-AU"/>
              </w:rPr>
              <w:t>20</w:t>
            </w:r>
            <w:r w:rsidR="008A17B9">
              <w:rPr>
                <w:rFonts w:eastAsia="Times New Roman" w:cstheme="minorHAnsi"/>
                <w:color w:val="000000"/>
                <w:sz w:val="18"/>
                <w:szCs w:val="18"/>
                <w:lang w:eastAsia="en-AU"/>
              </w:rPr>
              <w:t>3</w:t>
            </w:r>
          </w:p>
        </w:tc>
        <w:tc>
          <w:tcPr>
            <w:tcW w:w="1502" w:type="dxa"/>
            <w:tcBorders>
              <w:top w:val="single" w:sz="4" w:space="0" w:color="auto"/>
              <w:left w:val="nil"/>
              <w:bottom w:val="single" w:sz="4" w:space="0" w:color="auto"/>
              <w:right w:val="single" w:sz="4" w:space="0" w:color="auto"/>
            </w:tcBorders>
            <w:vAlign w:val="center"/>
          </w:tcPr>
          <w:p w14:paraId="7D14EC71" w14:textId="152850AB"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-0.6</w:t>
            </w:r>
          </w:p>
        </w:tc>
        <w:tc>
          <w:tcPr>
            <w:tcW w:w="1718" w:type="dxa"/>
            <w:tcBorders>
              <w:top w:val="single" w:sz="4" w:space="0" w:color="auto"/>
              <w:left w:val="nil"/>
              <w:bottom w:val="single" w:sz="4" w:space="0" w:color="auto"/>
              <w:right w:val="single" w:sz="4" w:space="0" w:color="auto"/>
            </w:tcBorders>
            <w:vAlign w:val="center"/>
          </w:tcPr>
          <w:p w14:paraId="26BFB4C5" w14:textId="73C2F7BD"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-2</w:t>
            </w:r>
            <w:r w:rsidR="00DA0D77">
              <w:rPr>
                <w:rFonts w:eastAsia="Times New Roman" w:cstheme="minorHAnsi"/>
                <w:color w:val="000000"/>
                <w:sz w:val="18"/>
                <w:szCs w:val="18"/>
                <w:lang w:eastAsia="en-AU"/>
              </w:rPr>
              <w:t>.</w:t>
            </w:r>
            <w:r w:rsidRPr="0068158E">
              <w:rPr>
                <w:rFonts w:eastAsia="Times New Roman" w:cstheme="minorHAnsi"/>
                <w:color w:val="000000"/>
                <w:sz w:val="18"/>
                <w:szCs w:val="18"/>
                <w:lang w:eastAsia="en-AU"/>
              </w:rPr>
              <w:t>797</w:t>
            </w:r>
          </w:p>
        </w:tc>
        <w:tc>
          <w:tcPr>
            <w:tcW w:w="1497" w:type="dxa"/>
            <w:tcBorders>
              <w:top w:val="single" w:sz="4" w:space="0" w:color="auto"/>
              <w:left w:val="nil"/>
              <w:bottom w:val="single" w:sz="4" w:space="0" w:color="auto"/>
              <w:right w:val="single" w:sz="4" w:space="0" w:color="auto"/>
            </w:tcBorders>
            <w:vAlign w:val="center"/>
          </w:tcPr>
          <w:p w14:paraId="2386BE03" w14:textId="36BA0608" w:rsidR="002C34FB" w:rsidRPr="00654840" w:rsidRDefault="002C34FB" w:rsidP="002C34FB">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-0.6</w:t>
            </w:r>
          </w:p>
        </w:tc>
      </w:tr>
      <w:tr w:rsidR="002C34FB" w:rsidRPr="00654840" w14:paraId="02810C43"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7B1F968" w14:textId="77777777" w:rsidR="002C34FB" w:rsidRPr="00654840" w:rsidRDefault="002C34FB" w:rsidP="002C34FB">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4A2E6FE" w14:textId="19863E58" w:rsidR="002C34FB" w:rsidRPr="00654840"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88454AC" w14:textId="4E127CDA" w:rsidR="002C34FB" w:rsidRPr="00654840"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7B11F62" w14:textId="364C8A97" w:rsidR="002C34FB" w:rsidRPr="00654840"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10D9E5D" w14:textId="43C9234C" w:rsidR="002C34FB" w:rsidRPr="00654840"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2C34FB" w:rsidRPr="00654840" w14:paraId="20432498"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2BC01BD7" w14:textId="77777777" w:rsidR="002C34FB" w:rsidRPr="00654840" w:rsidRDefault="002C34FB" w:rsidP="002C34FB">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718" w:type="dxa"/>
            <w:tcBorders>
              <w:top w:val="single" w:sz="4" w:space="0" w:color="auto"/>
              <w:left w:val="nil"/>
              <w:bottom w:val="single" w:sz="4" w:space="0" w:color="auto"/>
              <w:right w:val="single" w:sz="4" w:space="0" w:color="auto"/>
            </w:tcBorders>
            <w:vAlign w:val="center"/>
          </w:tcPr>
          <w:p w14:paraId="35EECACB" w14:textId="316DA311" w:rsidR="002C34FB" w:rsidRPr="00654840"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vAlign w:val="center"/>
          </w:tcPr>
          <w:p w14:paraId="24E6AEA1" w14:textId="56157F58" w:rsidR="002C34FB" w:rsidRPr="00654840"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vAlign w:val="center"/>
          </w:tcPr>
          <w:p w14:paraId="40C62B02" w14:textId="11C32757" w:rsidR="002C34FB" w:rsidRPr="00654840"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vAlign w:val="center"/>
          </w:tcPr>
          <w:p w14:paraId="0D6CC15F" w14:textId="6D508F39" w:rsidR="002C34FB" w:rsidRPr="00654840"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2C34FB" w:rsidRPr="00654840" w14:paraId="753CC915"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FD0F11E" w14:textId="2DF8F09B" w:rsidR="002C34FB" w:rsidRPr="00654840" w:rsidRDefault="002C34FB" w:rsidP="002C34FB">
            <w:pPr>
              <w:spacing w:before="20" w:after="20" w:line="240" w:lineRule="auto"/>
              <w:rPr>
                <w:rFonts w:eastAsia="Times New Roman" w:cs="Calibri"/>
                <w:b/>
                <w:sz w:val="18"/>
                <w:szCs w:val="18"/>
              </w:rPr>
            </w:pPr>
            <w:r w:rsidRPr="00B20F94">
              <w:rPr>
                <w:rFonts w:eastAsia="Times New Roman" w:cs="Calibri"/>
                <w:b/>
                <w:sz w:val="18"/>
                <w:szCs w:val="18"/>
              </w:rPr>
              <w:t>Total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DBEF121" w14:textId="1EE59859" w:rsidR="002C34FB" w:rsidRPr="00654840"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13541AD" w14:textId="7F4AB326" w:rsidR="002C34FB"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32556A6" w14:textId="5AFA8017" w:rsidR="002C34FB" w:rsidRPr="00654840"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A79FF1D" w14:textId="3EE8B8A0" w:rsidR="002C34FB" w:rsidRPr="00654840" w:rsidRDefault="003A62E6" w:rsidP="002C34FB">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B97077" w:rsidRPr="00654840" w14:paraId="54FA3BF9"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vAlign w:val="center"/>
            <w:hideMark/>
          </w:tcPr>
          <w:p w14:paraId="4ADF8ED8" w14:textId="19A714C2" w:rsidR="00B97077" w:rsidRPr="00654840" w:rsidRDefault="00C50C1E" w:rsidP="00B97077">
            <w:pPr>
              <w:spacing w:before="20" w:after="20" w:line="240" w:lineRule="auto"/>
              <w:rPr>
                <w:rFonts w:eastAsia="Times New Roman" w:cs="Calibri"/>
                <w:b/>
                <w:sz w:val="18"/>
                <w:szCs w:val="18"/>
              </w:rPr>
            </w:pPr>
            <w:r>
              <w:rPr>
                <w:rFonts w:eastAsia="Times New Roman" w:cs="Calibri"/>
                <w:b/>
                <w:sz w:val="18"/>
                <w:szCs w:val="18"/>
              </w:rPr>
              <w:t>Cap</w:t>
            </w:r>
            <w:r w:rsidR="00B97077" w:rsidRPr="00654840">
              <w:rPr>
                <w:rFonts w:eastAsia="Times New Roman" w:cs="Calibri"/>
                <w:b/>
                <w:sz w:val="18"/>
                <w:szCs w:val="18"/>
              </w:rPr>
              <w:t xml:space="preserve"> on inclusions*</w:t>
            </w:r>
          </w:p>
        </w:tc>
        <w:tc>
          <w:tcPr>
            <w:tcW w:w="1718" w:type="dxa"/>
            <w:tcBorders>
              <w:top w:val="single" w:sz="4" w:space="0" w:color="auto"/>
              <w:left w:val="nil"/>
              <w:bottom w:val="single" w:sz="4" w:space="0" w:color="auto"/>
              <w:right w:val="single" w:sz="4" w:space="0" w:color="auto"/>
            </w:tcBorders>
            <w:vAlign w:val="center"/>
          </w:tcPr>
          <w:p w14:paraId="092F9772" w14:textId="196E8635" w:rsidR="00B97077" w:rsidRPr="00654840" w:rsidRDefault="55960304" w:rsidP="00B97077">
            <w:pPr>
              <w:spacing w:before="20" w:after="20" w:line="240" w:lineRule="auto"/>
              <w:jc w:val="right"/>
              <w:rPr>
                <w:rFonts w:eastAsia="Times New Roman" w:cs="Calibri"/>
                <w:bCs/>
                <w:sz w:val="18"/>
                <w:szCs w:val="18"/>
                <w:lang w:eastAsia="en-AU"/>
              </w:rPr>
            </w:pPr>
            <w:r w:rsidRPr="19505304">
              <w:rPr>
                <w:rFonts w:eastAsia="Times New Roman"/>
                <w:color w:val="000000"/>
                <w:sz w:val="18"/>
                <w:szCs w:val="18"/>
                <w:lang w:eastAsia="en-AU"/>
              </w:rPr>
              <w:t>48</w:t>
            </w:r>
            <w:r w:rsidR="6A329EA5" w:rsidRPr="19505304">
              <w:rPr>
                <w:rFonts w:eastAsia="Times New Roman"/>
                <w:color w:val="000000"/>
                <w:sz w:val="18"/>
                <w:szCs w:val="18"/>
                <w:lang w:eastAsia="en-AU"/>
              </w:rPr>
              <w:t>.</w:t>
            </w:r>
            <w:r w:rsidRPr="19505304">
              <w:rPr>
                <w:rFonts w:eastAsia="Times New Roman"/>
                <w:color w:val="000000"/>
                <w:sz w:val="18"/>
                <w:szCs w:val="18"/>
                <w:lang w:eastAsia="en-AU"/>
              </w:rPr>
              <w:t>01</w:t>
            </w:r>
            <w:r w:rsidR="0371345C" w:rsidRPr="19505304">
              <w:rPr>
                <w:rFonts w:eastAsia="Times New Roman"/>
                <w:color w:val="000000"/>
                <w:sz w:val="18"/>
                <w:szCs w:val="18"/>
                <w:lang w:eastAsia="en-AU"/>
              </w:rPr>
              <w:t>8</w:t>
            </w:r>
            <w:r w:rsidR="00B97077" w:rsidRPr="19505304">
              <w:rPr>
                <w:rStyle w:val="FootnoteReference"/>
                <w:rFonts w:eastAsia="Times New Roman" w:cs="Calibri"/>
                <w:sz w:val="18"/>
                <w:szCs w:val="18"/>
                <w:lang w:eastAsia="en-AU"/>
              </w:rPr>
              <w:footnoteReference w:id="17"/>
            </w:r>
          </w:p>
        </w:tc>
        <w:tc>
          <w:tcPr>
            <w:tcW w:w="1502" w:type="dxa"/>
            <w:tcBorders>
              <w:top w:val="single" w:sz="4" w:space="0" w:color="auto"/>
              <w:left w:val="nil"/>
              <w:bottom w:val="single" w:sz="4" w:space="0" w:color="auto"/>
              <w:right w:val="single" w:sz="4" w:space="0" w:color="auto"/>
            </w:tcBorders>
            <w:vAlign w:val="center"/>
          </w:tcPr>
          <w:p w14:paraId="01D1B1E8" w14:textId="7C2B4B5E" w:rsidR="00B97077" w:rsidRPr="00654840" w:rsidRDefault="00B97077" w:rsidP="00B97077">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4</w:t>
            </w:r>
            <w:r w:rsidR="002A3B86">
              <w:rPr>
                <w:rFonts w:eastAsia="Times New Roman" w:cstheme="minorHAnsi"/>
                <w:color w:val="000000"/>
                <w:sz w:val="18"/>
                <w:szCs w:val="18"/>
                <w:lang w:eastAsia="en-AU"/>
              </w:rPr>
              <w:t>.0</w:t>
            </w:r>
          </w:p>
        </w:tc>
        <w:tc>
          <w:tcPr>
            <w:tcW w:w="1718" w:type="dxa"/>
            <w:tcBorders>
              <w:top w:val="single" w:sz="4" w:space="0" w:color="auto"/>
              <w:left w:val="nil"/>
              <w:bottom w:val="single" w:sz="4" w:space="0" w:color="auto"/>
              <w:right w:val="single" w:sz="4" w:space="0" w:color="auto"/>
            </w:tcBorders>
            <w:vAlign w:val="center"/>
          </w:tcPr>
          <w:p w14:paraId="64A2BB50" w14:textId="67845C61" w:rsidR="00B97077" w:rsidRPr="00654840" w:rsidRDefault="003A62E6" w:rsidP="00B97077">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vAlign w:val="center"/>
          </w:tcPr>
          <w:p w14:paraId="51F8E872" w14:textId="480941B5" w:rsidR="00B97077" w:rsidRPr="00654840" w:rsidRDefault="003A62E6" w:rsidP="00B97077">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tr w:rsidR="00DB7CC9" w:rsidRPr="00654840" w14:paraId="09D4D1B6"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EDBA224" w14:textId="77777777" w:rsidR="00DB7CC9" w:rsidRPr="00654840" w:rsidRDefault="00DB7CC9" w:rsidP="00DB7CC9">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E4DF15C" w14:textId="0F844147" w:rsidR="00DB7CC9" w:rsidRPr="00654840" w:rsidRDefault="00DB7CC9" w:rsidP="00DB7CC9">
            <w:pPr>
              <w:spacing w:before="20" w:after="20" w:line="240" w:lineRule="auto"/>
              <w:jc w:val="right"/>
              <w:rPr>
                <w:rFonts w:eastAsia="Times New Roman" w:cs="Calibri"/>
                <w:bCs/>
                <w:sz w:val="18"/>
                <w:szCs w:val="18"/>
                <w:lang w:eastAsia="en-AU"/>
              </w:rPr>
            </w:pPr>
            <w:r w:rsidRPr="0068158E">
              <w:rPr>
                <w:rFonts w:eastAsia="Times New Roman" w:cstheme="minorHAnsi"/>
                <w:color w:val="000000"/>
                <w:sz w:val="18"/>
                <w:szCs w:val="18"/>
                <w:lang w:eastAsia="en-AU"/>
              </w:rPr>
              <w:t>9</w:t>
            </w:r>
            <w:r w:rsidR="00DA0D77">
              <w:rPr>
                <w:rFonts w:eastAsia="Times New Roman" w:cstheme="minorHAnsi"/>
                <w:color w:val="000000"/>
                <w:sz w:val="18"/>
                <w:szCs w:val="18"/>
                <w:lang w:eastAsia="en-AU"/>
              </w:rPr>
              <w:t>.</w:t>
            </w:r>
            <w:r w:rsidRPr="0068158E">
              <w:rPr>
                <w:rFonts w:eastAsia="Times New Roman" w:cstheme="minorHAnsi"/>
                <w:color w:val="000000"/>
                <w:sz w:val="18"/>
                <w:szCs w:val="18"/>
                <w:lang w:eastAsia="en-AU"/>
              </w:rPr>
              <w:t>18</w:t>
            </w:r>
            <w:r w:rsidR="008A17B9">
              <w:rPr>
                <w:rFonts w:eastAsia="Times New Roman" w:cstheme="minorHAnsi"/>
                <w:color w:val="000000"/>
                <w:sz w:val="18"/>
                <w:szCs w:val="18"/>
                <w:lang w:eastAsia="en-AU"/>
              </w:rPr>
              <w:t>9</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F3162D7" w14:textId="62EB4C6E" w:rsidR="00DB7CC9" w:rsidRPr="00654840" w:rsidRDefault="003A62E6" w:rsidP="00DB7CC9">
            <w:pPr>
              <w:spacing w:before="20" w:after="20" w:line="240" w:lineRule="auto"/>
              <w:jc w:val="right"/>
              <w:rPr>
                <w:rFonts w:eastAsia="Times New Roman" w:cs="Calibri"/>
                <w:bCs/>
                <w:sz w:val="18"/>
                <w:szCs w:val="18"/>
                <w:lang w:eastAsia="en-AU"/>
              </w:rPr>
            </w:pPr>
            <w:r w:rsidDel="00892709">
              <w:rPr>
                <w:rFonts w:eastAsia="Times New Roman" w:cstheme="minorHAnsi"/>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4A994DD" w14:textId="2D35C2C2" w:rsidR="00DB7CC9" w:rsidRPr="00654840" w:rsidRDefault="003A62E6" w:rsidP="00DB7CC9">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8C0DC6C" w14:textId="64348DD8" w:rsidR="00DB7CC9" w:rsidRPr="00654840" w:rsidRDefault="003A62E6" w:rsidP="00DB7CC9">
            <w:pPr>
              <w:spacing w:before="20" w:after="20" w:line="240" w:lineRule="auto"/>
              <w:jc w:val="right"/>
              <w:rPr>
                <w:rFonts w:eastAsia="Times New Roman" w:cs="Calibri"/>
                <w:bCs/>
                <w:sz w:val="18"/>
                <w:szCs w:val="18"/>
                <w:lang w:eastAsia="en-AU"/>
              </w:rPr>
            </w:pPr>
            <w:r>
              <w:rPr>
                <w:rFonts w:eastAsia="Times New Roman" w:cstheme="minorHAnsi"/>
                <w:color w:val="000000"/>
                <w:sz w:val="18"/>
                <w:szCs w:val="18"/>
                <w:lang w:eastAsia="en-AU"/>
              </w:rPr>
              <w:t>N/a</w:t>
            </w:r>
          </w:p>
        </w:tc>
      </w:tr>
      <w:bookmarkEnd w:id="523"/>
    </w:tbl>
    <w:p w14:paraId="1EF39B05" w14:textId="77777777" w:rsidR="005B6D72" w:rsidRDefault="005B6D72">
      <w:pPr>
        <w:spacing w:before="0" w:after="160"/>
        <w:rPr>
          <w:b/>
          <w:bCs/>
          <w:sz w:val="20"/>
          <w:szCs w:val="20"/>
        </w:rPr>
      </w:pPr>
    </w:p>
    <w:p w14:paraId="2A040895" w14:textId="24099707" w:rsidR="00774635" w:rsidRPr="00654840" w:rsidRDefault="00774635">
      <w:pPr>
        <w:spacing w:before="0" w:after="160"/>
        <w:rPr>
          <w:b/>
          <w:bCs/>
          <w:sz w:val="20"/>
          <w:szCs w:val="20"/>
        </w:rPr>
      </w:pPr>
      <w:r w:rsidRPr="00654840">
        <w:rPr>
          <w:b/>
          <w:bCs/>
          <w:sz w:val="20"/>
          <w:szCs w:val="20"/>
        </w:rPr>
        <w:br w:type="page"/>
      </w:r>
    </w:p>
    <w:p w14:paraId="033B292C" w14:textId="59B258C3" w:rsidR="00E9517A" w:rsidRPr="000E7C7F" w:rsidRDefault="008D6303" w:rsidP="000E7C7F">
      <w:pPr>
        <w:pStyle w:val="Heading3"/>
      </w:pPr>
      <w:bookmarkStart w:id="524" w:name="_Toc210306653"/>
      <w:bookmarkStart w:id="525" w:name="_Toc210317479"/>
      <w:bookmarkStart w:id="526" w:name="_Toc210815633"/>
      <w:bookmarkStart w:id="527" w:name="_Hlk158892433"/>
      <w:r>
        <w:lastRenderedPageBreak/>
        <w:t>Victoria</w:t>
      </w:r>
      <w:bookmarkEnd w:id="524"/>
      <w:bookmarkEnd w:id="525"/>
      <w:bookmarkEnd w:id="526"/>
    </w:p>
    <w:tbl>
      <w:tblPr>
        <w:tblW w:w="8782" w:type="dxa"/>
        <w:tblLayout w:type="fixed"/>
        <w:tblLook w:val="04A0" w:firstRow="1" w:lastRow="0" w:firstColumn="1" w:lastColumn="0" w:noHBand="0" w:noVBand="1"/>
      </w:tblPr>
      <w:tblGrid>
        <w:gridCol w:w="2347"/>
        <w:gridCol w:w="1718"/>
        <w:gridCol w:w="1502"/>
        <w:gridCol w:w="1718"/>
        <w:gridCol w:w="1497"/>
      </w:tblGrid>
      <w:tr w:rsidR="008D6303" w:rsidRPr="00654840" w14:paraId="3CF7C53F"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171F7" w14:textId="77777777" w:rsidR="008D6303" w:rsidRPr="00654840" w:rsidRDefault="008D6303" w:rsidP="003E5C94">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4FFDCD32" w14:textId="3609B4F1"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r w:rsidR="00DA0D77">
              <w:rPr>
                <w:rFonts w:eastAsia="Calibri" w:cs="Times New Roman"/>
                <w:b/>
                <w:bCs/>
                <w:sz w:val="18"/>
                <w:szCs w:val="18"/>
              </w:rPr>
              <w:t>M</w:t>
            </w:r>
            <w:r w:rsidRPr="00654840">
              <w:rPr>
                <w:rFonts w:eastAsia="Calibri" w:cs="Times New Roman"/>
                <w:b/>
                <w:bCs/>
                <w:sz w:val="18"/>
                <w:szCs w:val="18"/>
              </w:rPr>
              <w:t>)</w:t>
            </w:r>
          </w:p>
        </w:tc>
        <w:tc>
          <w:tcPr>
            <w:tcW w:w="1502" w:type="dxa"/>
            <w:tcBorders>
              <w:top w:val="single" w:sz="4" w:space="0" w:color="auto"/>
              <w:left w:val="nil"/>
              <w:bottom w:val="single" w:sz="4" w:space="0" w:color="auto"/>
              <w:right w:val="single" w:sz="4" w:space="0" w:color="auto"/>
            </w:tcBorders>
            <w:shd w:val="clear" w:color="auto" w:fill="FFFFFF" w:themeFill="background1"/>
            <w:vAlign w:val="center"/>
          </w:tcPr>
          <w:p w14:paraId="56B5E768" w14:textId="77777777"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1B7B5E5F" w14:textId="0F0D4183"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r w:rsidR="00DA0D77">
              <w:rPr>
                <w:rFonts w:eastAsia="Calibri" w:cs="Times New Roman"/>
                <w:b/>
                <w:bCs/>
                <w:sz w:val="18"/>
                <w:szCs w:val="18"/>
              </w:rPr>
              <w:t>M</w:t>
            </w:r>
            <w:r w:rsidRPr="00654840">
              <w:rPr>
                <w:rFonts w:eastAsia="Calibri" w:cs="Times New Roman"/>
                <w:b/>
                <w:bCs/>
                <w:sz w:val="18"/>
                <w:szCs w:val="18"/>
              </w:rPr>
              <w:t>)</w:t>
            </w:r>
          </w:p>
        </w:tc>
        <w:tc>
          <w:tcPr>
            <w:tcW w:w="1497" w:type="dxa"/>
            <w:tcBorders>
              <w:top w:val="single" w:sz="4" w:space="0" w:color="auto"/>
              <w:left w:val="nil"/>
              <w:bottom w:val="single" w:sz="4" w:space="0" w:color="auto"/>
              <w:right w:val="single" w:sz="4" w:space="0" w:color="auto"/>
            </w:tcBorders>
            <w:shd w:val="clear" w:color="auto" w:fill="FFFFFF" w:themeFill="background1"/>
            <w:vAlign w:val="center"/>
          </w:tcPr>
          <w:p w14:paraId="66E010F7" w14:textId="77777777"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4F6B5E" w:rsidRPr="00654840" w14:paraId="0A592D18"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A559D76" w14:textId="77777777" w:rsidR="004F6B5E" w:rsidRPr="00654840" w:rsidRDefault="004F6B5E" w:rsidP="004F6B5E">
            <w:pPr>
              <w:pStyle w:val="Table-Left"/>
              <w:rPr>
                <w:rStyle w:val="Strong"/>
                <w:sz w:val="18"/>
                <w:szCs w:val="18"/>
              </w:rPr>
            </w:pPr>
            <w:r w:rsidRPr="00654840">
              <w:rPr>
                <w:rStyle w:val="Strong"/>
                <w:sz w:val="18"/>
                <w:szCs w:val="18"/>
              </w:rPr>
              <w:t>Total SRS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186899D" w14:textId="3C1343F2" w:rsidR="004F6B5E" w:rsidRPr="00654840" w:rsidRDefault="004F6B5E" w:rsidP="004F6B5E">
            <w:pPr>
              <w:pStyle w:val="Table"/>
              <w:rPr>
                <w:sz w:val="18"/>
                <w:szCs w:val="18"/>
                <w:lang w:eastAsia="en-AU"/>
              </w:rPr>
            </w:pPr>
            <w:r w:rsidRPr="003B41DF">
              <w:rPr>
                <w:rFonts w:eastAsia="Times New Roman"/>
                <w:color w:val="000000"/>
                <w:sz w:val="18"/>
                <w:szCs w:val="18"/>
                <w:lang w:eastAsia="en-AU"/>
              </w:rPr>
              <w:t>13,105</w:t>
            </w:r>
            <w:r w:rsidR="00AE4920">
              <w:rPr>
                <w:rFonts w:eastAsia="Times New Roman"/>
                <w:color w:val="000000"/>
                <w:sz w:val="18"/>
                <w:szCs w:val="18"/>
                <w:lang w:eastAsia="en-AU"/>
              </w:rPr>
              <w:t>.</w:t>
            </w:r>
            <w:r w:rsidRPr="003B41DF">
              <w:rPr>
                <w:rFonts w:eastAsia="Times New Roman"/>
                <w:color w:val="000000"/>
                <w:sz w:val="18"/>
                <w:szCs w:val="18"/>
                <w:lang w:eastAsia="en-AU"/>
              </w:rPr>
              <w:t>111</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15A2C65" w14:textId="08E5D1E7" w:rsidR="004F6B5E" w:rsidRPr="00654840" w:rsidRDefault="004F6B5E" w:rsidP="004F6B5E">
            <w:pPr>
              <w:pStyle w:val="Table"/>
              <w:rPr>
                <w:sz w:val="18"/>
                <w:szCs w:val="18"/>
                <w:lang w:eastAsia="en-AU"/>
              </w:rPr>
            </w:pP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B65E8CB" w14:textId="251436BD" w:rsidR="004F6B5E" w:rsidRPr="00654840" w:rsidRDefault="004F6B5E" w:rsidP="004F6B5E">
            <w:pPr>
              <w:pStyle w:val="Table"/>
              <w:rPr>
                <w:sz w:val="18"/>
                <w:szCs w:val="18"/>
                <w:lang w:eastAsia="en-AU"/>
              </w:rPr>
            </w:pPr>
            <w:r w:rsidRPr="003B41DF">
              <w:rPr>
                <w:rFonts w:eastAsia="Times New Roman"/>
                <w:color w:val="000000"/>
                <w:sz w:val="18"/>
                <w:szCs w:val="18"/>
                <w:lang w:eastAsia="en-AU"/>
              </w:rPr>
              <w:t>5,261</w:t>
            </w:r>
            <w:r w:rsidR="00CA1674">
              <w:rPr>
                <w:rFonts w:eastAsia="Times New Roman"/>
                <w:color w:val="000000"/>
                <w:sz w:val="18"/>
                <w:szCs w:val="18"/>
                <w:lang w:eastAsia="en-AU"/>
              </w:rPr>
              <w:t>.</w:t>
            </w:r>
            <w:r w:rsidRPr="003B41DF">
              <w:rPr>
                <w:rFonts w:eastAsia="Times New Roman"/>
                <w:color w:val="000000"/>
                <w:sz w:val="18"/>
                <w:szCs w:val="18"/>
                <w:lang w:eastAsia="en-AU"/>
              </w:rPr>
              <w:t>798</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FA0A63D" w14:textId="73B23806" w:rsidR="004F6B5E" w:rsidRPr="00654840" w:rsidRDefault="004F6B5E" w:rsidP="004F6B5E">
            <w:pPr>
              <w:pStyle w:val="Table"/>
              <w:rPr>
                <w:sz w:val="18"/>
                <w:szCs w:val="18"/>
                <w:lang w:eastAsia="en-AU"/>
              </w:rPr>
            </w:pPr>
          </w:p>
        </w:tc>
      </w:tr>
      <w:tr w:rsidR="004F6B5E" w:rsidRPr="00654840" w14:paraId="064C1E79"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vAlign w:val="center"/>
            <w:hideMark/>
          </w:tcPr>
          <w:p w14:paraId="1A23AEB7" w14:textId="77777777" w:rsidR="004F6B5E" w:rsidRPr="00654840" w:rsidRDefault="004F6B5E" w:rsidP="004F6B5E">
            <w:pPr>
              <w:pStyle w:val="Table-Left"/>
              <w:rPr>
                <w:rStyle w:val="Strong"/>
                <w:sz w:val="18"/>
                <w:szCs w:val="18"/>
              </w:rPr>
            </w:pPr>
            <w:r w:rsidRPr="00654840">
              <w:rPr>
                <w:rStyle w:val="Strong"/>
                <w:sz w:val="18"/>
                <w:szCs w:val="18"/>
              </w:rPr>
              <w:t xml:space="preserve">Required contribution </w:t>
            </w:r>
          </w:p>
        </w:tc>
        <w:tc>
          <w:tcPr>
            <w:tcW w:w="1718" w:type="dxa"/>
            <w:tcBorders>
              <w:top w:val="single" w:sz="4" w:space="0" w:color="auto"/>
              <w:left w:val="nil"/>
              <w:bottom w:val="single" w:sz="4" w:space="0" w:color="auto"/>
              <w:right w:val="single" w:sz="4" w:space="0" w:color="auto"/>
            </w:tcBorders>
            <w:vAlign w:val="center"/>
          </w:tcPr>
          <w:p w14:paraId="65F25069" w14:textId="64D88A85" w:rsidR="004F6B5E" w:rsidRPr="00654840" w:rsidRDefault="004F6B5E" w:rsidP="004F6B5E">
            <w:pPr>
              <w:pStyle w:val="Table"/>
              <w:rPr>
                <w:sz w:val="18"/>
                <w:szCs w:val="18"/>
                <w:lang w:eastAsia="en-AU"/>
              </w:rPr>
            </w:pPr>
            <w:r w:rsidRPr="003B41DF">
              <w:rPr>
                <w:rFonts w:eastAsia="Times New Roman"/>
                <w:color w:val="000000"/>
                <w:sz w:val="18"/>
                <w:szCs w:val="18"/>
                <w:lang w:eastAsia="en-AU"/>
              </w:rPr>
              <w:t>9,229</w:t>
            </w:r>
            <w:r w:rsidR="00AE4920">
              <w:rPr>
                <w:rFonts w:eastAsia="Times New Roman"/>
                <w:color w:val="000000"/>
                <w:sz w:val="18"/>
                <w:szCs w:val="18"/>
                <w:lang w:eastAsia="en-AU"/>
              </w:rPr>
              <w:t>.</w:t>
            </w:r>
            <w:r w:rsidRPr="003B41DF">
              <w:rPr>
                <w:rFonts w:eastAsia="Times New Roman"/>
                <w:color w:val="000000"/>
                <w:sz w:val="18"/>
                <w:szCs w:val="18"/>
                <w:lang w:eastAsia="en-AU"/>
              </w:rPr>
              <w:t>9</w:t>
            </w:r>
            <w:r w:rsidR="002264BB">
              <w:rPr>
                <w:rFonts w:eastAsia="Times New Roman"/>
                <w:color w:val="000000"/>
                <w:sz w:val="18"/>
                <w:szCs w:val="18"/>
                <w:lang w:eastAsia="en-AU"/>
              </w:rPr>
              <w:t>30</w:t>
            </w:r>
          </w:p>
        </w:tc>
        <w:tc>
          <w:tcPr>
            <w:tcW w:w="1502" w:type="dxa"/>
            <w:tcBorders>
              <w:top w:val="single" w:sz="4" w:space="0" w:color="auto"/>
              <w:left w:val="nil"/>
              <w:bottom w:val="single" w:sz="4" w:space="0" w:color="auto"/>
              <w:right w:val="single" w:sz="4" w:space="0" w:color="auto"/>
            </w:tcBorders>
            <w:vAlign w:val="center"/>
          </w:tcPr>
          <w:p w14:paraId="1C03B340" w14:textId="0DEDC3BA" w:rsidR="004F6B5E" w:rsidRPr="00654840" w:rsidRDefault="004F6B5E" w:rsidP="004F6B5E">
            <w:pPr>
              <w:pStyle w:val="Table"/>
              <w:rPr>
                <w:sz w:val="18"/>
                <w:szCs w:val="18"/>
                <w:lang w:eastAsia="en-AU"/>
              </w:rPr>
            </w:pPr>
            <w:r w:rsidRPr="003B41DF">
              <w:rPr>
                <w:rFonts w:eastAsia="Times New Roman"/>
                <w:color w:val="000000"/>
                <w:sz w:val="18"/>
                <w:szCs w:val="18"/>
                <w:lang w:eastAsia="en-AU"/>
              </w:rPr>
              <w:t>70.43</w:t>
            </w:r>
          </w:p>
        </w:tc>
        <w:tc>
          <w:tcPr>
            <w:tcW w:w="1718" w:type="dxa"/>
            <w:tcBorders>
              <w:top w:val="single" w:sz="4" w:space="0" w:color="auto"/>
              <w:left w:val="nil"/>
              <w:bottom w:val="single" w:sz="4" w:space="0" w:color="auto"/>
              <w:right w:val="single" w:sz="4" w:space="0" w:color="auto"/>
            </w:tcBorders>
            <w:vAlign w:val="center"/>
          </w:tcPr>
          <w:p w14:paraId="55004F54" w14:textId="587770D6" w:rsidR="004F6B5E" w:rsidRPr="00654840" w:rsidRDefault="004F6B5E" w:rsidP="004F6B5E">
            <w:pPr>
              <w:pStyle w:val="Table"/>
              <w:rPr>
                <w:sz w:val="18"/>
                <w:szCs w:val="18"/>
                <w:lang w:eastAsia="en-AU"/>
              </w:rPr>
            </w:pPr>
            <w:r w:rsidRPr="003B41DF">
              <w:rPr>
                <w:rFonts w:eastAsia="Times New Roman"/>
                <w:color w:val="000000"/>
                <w:sz w:val="18"/>
                <w:szCs w:val="18"/>
                <w:lang w:eastAsia="en-AU"/>
              </w:rPr>
              <w:t>1,052</w:t>
            </w:r>
            <w:r w:rsidR="001626CC">
              <w:rPr>
                <w:rFonts w:eastAsia="Times New Roman"/>
                <w:color w:val="000000"/>
                <w:sz w:val="18"/>
                <w:szCs w:val="18"/>
                <w:lang w:eastAsia="en-AU"/>
              </w:rPr>
              <w:t>.</w:t>
            </w:r>
            <w:r w:rsidR="002264BB">
              <w:rPr>
                <w:rFonts w:eastAsia="Times New Roman"/>
                <w:color w:val="000000"/>
                <w:sz w:val="18"/>
                <w:szCs w:val="18"/>
                <w:lang w:eastAsia="en-AU"/>
              </w:rPr>
              <w:t>360</w:t>
            </w:r>
          </w:p>
        </w:tc>
        <w:tc>
          <w:tcPr>
            <w:tcW w:w="1497" w:type="dxa"/>
            <w:tcBorders>
              <w:top w:val="single" w:sz="4" w:space="0" w:color="auto"/>
              <w:left w:val="nil"/>
              <w:bottom w:val="single" w:sz="4" w:space="0" w:color="auto"/>
              <w:right w:val="single" w:sz="4" w:space="0" w:color="auto"/>
            </w:tcBorders>
            <w:vAlign w:val="center"/>
          </w:tcPr>
          <w:p w14:paraId="07F02262" w14:textId="76682754" w:rsidR="004F6B5E" w:rsidRPr="00654840" w:rsidRDefault="004F6B5E" w:rsidP="004F6B5E">
            <w:pPr>
              <w:pStyle w:val="Table"/>
              <w:rPr>
                <w:sz w:val="18"/>
                <w:szCs w:val="18"/>
                <w:lang w:eastAsia="en-AU"/>
              </w:rPr>
            </w:pPr>
            <w:r w:rsidRPr="003B41DF">
              <w:rPr>
                <w:rFonts w:eastAsia="Times New Roman"/>
                <w:color w:val="000000"/>
                <w:sz w:val="18"/>
                <w:szCs w:val="18"/>
                <w:lang w:eastAsia="en-AU"/>
              </w:rPr>
              <w:t>20</w:t>
            </w:r>
          </w:p>
        </w:tc>
      </w:tr>
      <w:tr w:rsidR="004F6B5E" w:rsidRPr="00654840" w14:paraId="7B48400D"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vAlign w:val="center"/>
            <w:hideMark/>
          </w:tcPr>
          <w:p w14:paraId="3139AA20" w14:textId="77777777" w:rsidR="004F6B5E" w:rsidRPr="00654840" w:rsidRDefault="004F6B5E" w:rsidP="004F6B5E">
            <w:pPr>
              <w:pStyle w:val="Table-Left"/>
              <w:rPr>
                <w:rStyle w:val="Strong"/>
                <w:sz w:val="18"/>
                <w:szCs w:val="18"/>
              </w:rPr>
            </w:pPr>
            <w:r w:rsidRPr="00654840">
              <w:rPr>
                <w:rStyle w:val="Strong"/>
                <w:sz w:val="18"/>
                <w:szCs w:val="18"/>
              </w:rPr>
              <w:t xml:space="preserve">Reported contribution </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C4060E0" w14:textId="5A5FE2B2" w:rsidR="004F6B5E" w:rsidRPr="00654840" w:rsidRDefault="004F6B5E" w:rsidP="004F6B5E">
            <w:pPr>
              <w:pStyle w:val="Table"/>
              <w:rPr>
                <w:sz w:val="18"/>
                <w:szCs w:val="18"/>
                <w:lang w:eastAsia="en-AU"/>
              </w:rPr>
            </w:pPr>
            <w:r w:rsidRPr="003B41DF">
              <w:rPr>
                <w:rFonts w:eastAsia="Times New Roman"/>
                <w:color w:val="000000"/>
                <w:sz w:val="18"/>
                <w:szCs w:val="18"/>
                <w:lang w:eastAsia="en-AU"/>
              </w:rPr>
              <w:t>9,011</w:t>
            </w:r>
            <w:r w:rsidR="00AE4920">
              <w:rPr>
                <w:rFonts w:eastAsia="Times New Roman"/>
                <w:color w:val="000000"/>
                <w:sz w:val="18"/>
                <w:szCs w:val="18"/>
                <w:lang w:eastAsia="en-AU"/>
              </w:rPr>
              <w:t>.</w:t>
            </w:r>
            <w:r w:rsidRPr="003B41DF">
              <w:rPr>
                <w:rFonts w:eastAsia="Times New Roman"/>
                <w:color w:val="000000"/>
                <w:sz w:val="18"/>
                <w:szCs w:val="18"/>
                <w:lang w:eastAsia="en-AU"/>
              </w:rPr>
              <w:t>28</w:t>
            </w:r>
            <w:r w:rsidR="002264BB">
              <w:rPr>
                <w:rFonts w:eastAsia="Times New Roman"/>
                <w:color w:val="000000"/>
                <w:sz w:val="18"/>
                <w:szCs w:val="18"/>
                <w:lang w:eastAsia="en-AU"/>
              </w:rPr>
              <w:t>5</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CD11D49" w14:textId="32416482" w:rsidR="004F6B5E" w:rsidRPr="00654840" w:rsidRDefault="004F6B5E" w:rsidP="004F6B5E">
            <w:pPr>
              <w:pStyle w:val="Table"/>
              <w:rPr>
                <w:sz w:val="18"/>
                <w:szCs w:val="18"/>
                <w:lang w:eastAsia="en-AU"/>
              </w:rPr>
            </w:pPr>
            <w:r w:rsidRPr="003B41DF">
              <w:rPr>
                <w:rFonts w:eastAsia="Times New Roman"/>
                <w:color w:val="000000"/>
                <w:sz w:val="18"/>
                <w:szCs w:val="18"/>
                <w:lang w:eastAsia="en-AU"/>
              </w:rPr>
              <w:t>68.76</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D5D3DEE" w14:textId="333D49A4" w:rsidR="004F6B5E" w:rsidRPr="0092310F" w:rsidRDefault="004F6B5E" w:rsidP="004F6B5E">
            <w:pPr>
              <w:pStyle w:val="Table"/>
              <w:rPr>
                <w:sz w:val="18"/>
                <w:szCs w:val="18"/>
                <w:lang w:eastAsia="en-AU"/>
              </w:rPr>
            </w:pPr>
            <w:r w:rsidRPr="003B41DF">
              <w:rPr>
                <w:rFonts w:eastAsia="Times New Roman"/>
                <w:color w:val="000000"/>
                <w:sz w:val="18"/>
                <w:szCs w:val="18"/>
                <w:lang w:eastAsia="en-AU"/>
              </w:rPr>
              <w:t>1,023</w:t>
            </w:r>
            <w:r w:rsidR="001626CC">
              <w:rPr>
                <w:rFonts w:eastAsia="Times New Roman"/>
                <w:color w:val="000000"/>
                <w:sz w:val="18"/>
                <w:szCs w:val="18"/>
                <w:lang w:eastAsia="en-AU"/>
              </w:rPr>
              <w:t>.</w:t>
            </w:r>
            <w:r w:rsidRPr="003B41DF">
              <w:rPr>
                <w:rFonts w:eastAsia="Times New Roman"/>
                <w:color w:val="000000"/>
                <w:sz w:val="18"/>
                <w:szCs w:val="18"/>
                <w:lang w:eastAsia="en-AU"/>
              </w:rPr>
              <w:t>18</w:t>
            </w:r>
            <w:r w:rsidR="002264BB">
              <w:rPr>
                <w:rFonts w:eastAsia="Times New Roman"/>
                <w:color w:val="000000"/>
                <w:sz w:val="18"/>
                <w:szCs w:val="18"/>
                <w:lang w:eastAsia="en-AU"/>
              </w:rPr>
              <w:t>3</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D1DA715" w14:textId="1B979757" w:rsidR="004F6B5E" w:rsidRPr="00654840" w:rsidRDefault="004F6B5E" w:rsidP="004F6B5E">
            <w:pPr>
              <w:pStyle w:val="Table"/>
              <w:rPr>
                <w:sz w:val="18"/>
                <w:szCs w:val="18"/>
                <w:lang w:eastAsia="en-AU"/>
              </w:rPr>
            </w:pPr>
            <w:r w:rsidRPr="003B41DF">
              <w:rPr>
                <w:rFonts w:eastAsia="Times New Roman"/>
                <w:color w:val="000000"/>
                <w:sz w:val="18"/>
                <w:szCs w:val="18"/>
                <w:lang w:eastAsia="en-AU"/>
              </w:rPr>
              <w:t>19.45</w:t>
            </w:r>
          </w:p>
        </w:tc>
      </w:tr>
      <w:tr w:rsidR="004F6B5E" w:rsidRPr="00654840" w14:paraId="2C9F7CD4"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vAlign w:val="center"/>
            <w:hideMark/>
          </w:tcPr>
          <w:p w14:paraId="1DCE37F3" w14:textId="77777777" w:rsidR="004F6B5E" w:rsidRPr="00654840" w:rsidRDefault="004F6B5E" w:rsidP="004F6B5E">
            <w:pPr>
              <w:pStyle w:val="Table-Left"/>
              <w:rPr>
                <w:rStyle w:val="Strong"/>
                <w:sz w:val="18"/>
                <w:szCs w:val="18"/>
              </w:rPr>
            </w:pPr>
            <w:r w:rsidRPr="00654840">
              <w:rPr>
                <w:rStyle w:val="Strong"/>
                <w:sz w:val="18"/>
                <w:szCs w:val="18"/>
              </w:rPr>
              <w:t>Allowed immaterial shortfall</w:t>
            </w:r>
          </w:p>
        </w:tc>
        <w:tc>
          <w:tcPr>
            <w:tcW w:w="1718" w:type="dxa"/>
            <w:tcBorders>
              <w:top w:val="single" w:sz="4" w:space="0" w:color="auto"/>
              <w:left w:val="nil"/>
              <w:bottom w:val="single" w:sz="4" w:space="0" w:color="auto"/>
              <w:right w:val="single" w:sz="4" w:space="0" w:color="auto"/>
            </w:tcBorders>
            <w:vAlign w:val="center"/>
          </w:tcPr>
          <w:p w14:paraId="0B451742" w14:textId="6CFF0E28" w:rsidR="004F6B5E" w:rsidRPr="00654840" w:rsidRDefault="004F6B5E" w:rsidP="004F6B5E">
            <w:pPr>
              <w:pStyle w:val="Table"/>
              <w:rPr>
                <w:sz w:val="18"/>
                <w:szCs w:val="18"/>
                <w:lang w:eastAsia="en-AU"/>
              </w:rPr>
            </w:pPr>
            <w:r w:rsidRPr="003B41DF">
              <w:rPr>
                <w:rFonts w:eastAsia="Times New Roman"/>
                <w:color w:val="000000"/>
                <w:sz w:val="18"/>
                <w:szCs w:val="18"/>
                <w:lang w:eastAsia="en-AU"/>
              </w:rPr>
              <w:t>-78</w:t>
            </w:r>
            <w:r w:rsidR="00AE4920">
              <w:rPr>
                <w:rFonts w:eastAsia="Times New Roman"/>
                <w:color w:val="000000"/>
                <w:sz w:val="18"/>
                <w:szCs w:val="18"/>
                <w:lang w:eastAsia="en-AU"/>
              </w:rPr>
              <w:t>.</w:t>
            </w:r>
            <w:r w:rsidRPr="003B41DF">
              <w:rPr>
                <w:rFonts w:eastAsia="Times New Roman"/>
                <w:color w:val="000000"/>
                <w:sz w:val="18"/>
                <w:szCs w:val="18"/>
                <w:lang w:eastAsia="en-AU"/>
              </w:rPr>
              <w:t>63</w:t>
            </w:r>
            <w:r w:rsidR="002264BB">
              <w:rPr>
                <w:rFonts w:eastAsia="Times New Roman"/>
                <w:color w:val="000000"/>
                <w:sz w:val="18"/>
                <w:szCs w:val="18"/>
                <w:lang w:eastAsia="en-AU"/>
              </w:rPr>
              <w:t>1</w:t>
            </w:r>
          </w:p>
        </w:tc>
        <w:tc>
          <w:tcPr>
            <w:tcW w:w="1502" w:type="dxa"/>
            <w:tcBorders>
              <w:top w:val="single" w:sz="4" w:space="0" w:color="auto"/>
              <w:left w:val="nil"/>
              <w:bottom w:val="single" w:sz="4" w:space="0" w:color="auto"/>
              <w:right w:val="single" w:sz="4" w:space="0" w:color="auto"/>
            </w:tcBorders>
            <w:vAlign w:val="center"/>
          </w:tcPr>
          <w:p w14:paraId="7499F85E" w14:textId="056DB2FB" w:rsidR="004F6B5E" w:rsidRPr="00654840" w:rsidRDefault="004F6B5E" w:rsidP="004F6B5E">
            <w:pPr>
              <w:pStyle w:val="Table"/>
              <w:rPr>
                <w:sz w:val="18"/>
                <w:szCs w:val="18"/>
                <w:lang w:eastAsia="en-AU"/>
              </w:rPr>
            </w:pPr>
            <w:r w:rsidRPr="003B41DF">
              <w:rPr>
                <w:rFonts w:eastAsia="Times New Roman"/>
                <w:color w:val="000000"/>
                <w:sz w:val="18"/>
                <w:szCs w:val="18"/>
                <w:lang w:eastAsia="en-AU"/>
              </w:rPr>
              <w:t>-0.6</w:t>
            </w:r>
          </w:p>
        </w:tc>
        <w:tc>
          <w:tcPr>
            <w:tcW w:w="1718" w:type="dxa"/>
            <w:tcBorders>
              <w:top w:val="single" w:sz="4" w:space="0" w:color="auto"/>
              <w:left w:val="nil"/>
              <w:bottom w:val="single" w:sz="4" w:space="0" w:color="auto"/>
              <w:right w:val="single" w:sz="4" w:space="0" w:color="auto"/>
            </w:tcBorders>
            <w:vAlign w:val="center"/>
          </w:tcPr>
          <w:p w14:paraId="51DA3398" w14:textId="13A96116" w:rsidR="004F6B5E" w:rsidRPr="00654840" w:rsidRDefault="004F6B5E" w:rsidP="004F6B5E">
            <w:pPr>
              <w:pStyle w:val="Table"/>
              <w:rPr>
                <w:sz w:val="18"/>
                <w:szCs w:val="18"/>
                <w:lang w:eastAsia="en-AU"/>
              </w:rPr>
            </w:pPr>
            <w:r w:rsidRPr="003B41DF">
              <w:rPr>
                <w:rFonts w:eastAsia="Times New Roman"/>
                <w:color w:val="000000"/>
                <w:sz w:val="18"/>
                <w:szCs w:val="18"/>
                <w:lang w:eastAsia="en-AU"/>
              </w:rPr>
              <w:t>-31</w:t>
            </w:r>
            <w:r w:rsidR="001626CC">
              <w:rPr>
                <w:rFonts w:eastAsia="Times New Roman"/>
                <w:color w:val="000000"/>
                <w:sz w:val="18"/>
                <w:szCs w:val="18"/>
                <w:lang w:eastAsia="en-AU"/>
              </w:rPr>
              <w:t>.</w:t>
            </w:r>
            <w:r w:rsidRPr="003B41DF">
              <w:rPr>
                <w:rFonts w:eastAsia="Times New Roman"/>
                <w:color w:val="000000"/>
                <w:sz w:val="18"/>
                <w:szCs w:val="18"/>
                <w:lang w:eastAsia="en-AU"/>
              </w:rPr>
              <w:t>57</w:t>
            </w:r>
            <w:r w:rsidR="002264BB">
              <w:rPr>
                <w:rFonts w:eastAsia="Times New Roman"/>
                <w:color w:val="000000"/>
                <w:sz w:val="18"/>
                <w:szCs w:val="18"/>
                <w:lang w:eastAsia="en-AU"/>
              </w:rPr>
              <w:t>1</w:t>
            </w:r>
          </w:p>
        </w:tc>
        <w:tc>
          <w:tcPr>
            <w:tcW w:w="1497" w:type="dxa"/>
            <w:tcBorders>
              <w:top w:val="single" w:sz="4" w:space="0" w:color="auto"/>
              <w:left w:val="nil"/>
              <w:bottom w:val="single" w:sz="4" w:space="0" w:color="auto"/>
              <w:right w:val="single" w:sz="4" w:space="0" w:color="auto"/>
            </w:tcBorders>
            <w:vAlign w:val="center"/>
          </w:tcPr>
          <w:p w14:paraId="3AFA3B64" w14:textId="0481386C" w:rsidR="004F6B5E" w:rsidRPr="00654840" w:rsidRDefault="004F6B5E" w:rsidP="004F6B5E">
            <w:pPr>
              <w:pStyle w:val="Table"/>
              <w:rPr>
                <w:sz w:val="18"/>
                <w:szCs w:val="18"/>
                <w:lang w:eastAsia="en-AU"/>
              </w:rPr>
            </w:pPr>
            <w:r w:rsidRPr="003B41DF">
              <w:rPr>
                <w:rFonts w:eastAsia="Times New Roman"/>
                <w:color w:val="000000"/>
                <w:sz w:val="18"/>
                <w:szCs w:val="18"/>
                <w:lang w:eastAsia="en-AU"/>
              </w:rPr>
              <w:t>-0.6</w:t>
            </w:r>
          </w:p>
        </w:tc>
      </w:tr>
      <w:tr w:rsidR="004F6B5E" w:rsidRPr="00654840" w14:paraId="1DC04981"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D84A96D" w14:textId="77777777" w:rsidR="004F6B5E" w:rsidRPr="00654840" w:rsidRDefault="004F6B5E" w:rsidP="004F6B5E">
            <w:pPr>
              <w:pStyle w:val="Table-Left"/>
              <w:rPr>
                <w:rStyle w:val="Strong"/>
                <w:sz w:val="18"/>
                <w:szCs w:val="18"/>
              </w:rPr>
            </w:pPr>
            <w:r w:rsidRPr="00654840">
              <w:rPr>
                <w:rStyle w:val="Strong"/>
                <w:sz w:val="18"/>
                <w:szCs w:val="18"/>
              </w:rPr>
              <w:t>Utilised immaterial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564C7B0" w14:textId="3BBE47D4" w:rsidR="004F6B5E" w:rsidRPr="00B3370F" w:rsidRDefault="004F6B5E" w:rsidP="004F6B5E">
            <w:pPr>
              <w:pStyle w:val="Table"/>
              <w:rPr>
                <w:sz w:val="18"/>
                <w:szCs w:val="18"/>
                <w:lang w:eastAsia="en-AU"/>
              </w:rPr>
            </w:pPr>
            <w:r w:rsidRPr="003B41DF">
              <w:rPr>
                <w:rFonts w:eastAsia="Times New Roman"/>
                <w:color w:val="000000"/>
                <w:sz w:val="18"/>
                <w:szCs w:val="18"/>
                <w:lang w:eastAsia="en-AU"/>
              </w:rPr>
              <w:t>-78</w:t>
            </w:r>
            <w:r w:rsidR="00AE4920">
              <w:rPr>
                <w:rFonts w:eastAsia="Times New Roman"/>
                <w:color w:val="000000"/>
                <w:sz w:val="18"/>
                <w:szCs w:val="18"/>
                <w:lang w:eastAsia="en-AU"/>
              </w:rPr>
              <w:t>.</w:t>
            </w:r>
            <w:r w:rsidRPr="003B41DF">
              <w:rPr>
                <w:rFonts w:eastAsia="Times New Roman"/>
                <w:color w:val="000000"/>
                <w:sz w:val="18"/>
                <w:szCs w:val="18"/>
                <w:lang w:eastAsia="en-AU"/>
              </w:rPr>
              <w:t>63</w:t>
            </w:r>
            <w:r w:rsidR="002264BB">
              <w:rPr>
                <w:rFonts w:eastAsia="Times New Roman"/>
                <w:color w:val="000000"/>
                <w:sz w:val="18"/>
                <w:szCs w:val="18"/>
                <w:lang w:eastAsia="en-AU"/>
              </w:rPr>
              <w:t>1</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64D85F9" w14:textId="734A68F4" w:rsidR="004F6B5E" w:rsidRPr="00654840" w:rsidRDefault="004F6B5E" w:rsidP="004F6B5E">
            <w:pPr>
              <w:pStyle w:val="Table"/>
              <w:rPr>
                <w:sz w:val="18"/>
                <w:szCs w:val="18"/>
                <w:lang w:eastAsia="en-AU"/>
              </w:rPr>
            </w:pPr>
            <w:r w:rsidRPr="003B41DF">
              <w:rPr>
                <w:rFonts w:eastAsia="Times New Roman"/>
                <w:color w:val="000000"/>
                <w:sz w:val="18"/>
                <w:szCs w:val="18"/>
                <w:lang w:eastAsia="en-AU"/>
              </w:rPr>
              <w:t>-0.6</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71995E5" w14:textId="0619AC2F" w:rsidR="004F6B5E" w:rsidRPr="00654840" w:rsidRDefault="004F6B5E" w:rsidP="004F6B5E">
            <w:pPr>
              <w:pStyle w:val="Table"/>
              <w:rPr>
                <w:sz w:val="18"/>
                <w:szCs w:val="18"/>
                <w:lang w:eastAsia="en-AU"/>
              </w:rPr>
            </w:pPr>
            <w:r w:rsidRPr="003B41DF">
              <w:rPr>
                <w:rFonts w:eastAsia="Times New Roman"/>
                <w:color w:val="000000"/>
                <w:sz w:val="18"/>
                <w:szCs w:val="18"/>
                <w:lang w:eastAsia="en-AU"/>
              </w:rPr>
              <w:t>-2</w:t>
            </w:r>
            <w:r>
              <w:rPr>
                <w:rFonts w:eastAsia="Times New Roman"/>
                <w:color w:val="000000"/>
                <w:sz w:val="18"/>
                <w:szCs w:val="18"/>
                <w:lang w:eastAsia="en-AU"/>
              </w:rPr>
              <w:t>9</w:t>
            </w:r>
            <w:r w:rsidR="001626CC">
              <w:rPr>
                <w:rFonts w:eastAsia="Times New Roman"/>
                <w:color w:val="000000"/>
                <w:sz w:val="18"/>
                <w:szCs w:val="18"/>
                <w:lang w:eastAsia="en-AU"/>
              </w:rPr>
              <w:t>.</w:t>
            </w:r>
            <w:r>
              <w:rPr>
                <w:rFonts w:eastAsia="Times New Roman"/>
                <w:color w:val="000000"/>
                <w:sz w:val="18"/>
                <w:szCs w:val="18"/>
                <w:lang w:eastAsia="en-AU"/>
              </w:rPr>
              <w:t>17</w:t>
            </w:r>
            <w:r w:rsidR="002264BB">
              <w:rPr>
                <w:rFonts w:eastAsia="Times New Roman"/>
                <w:color w:val="000000"/>
                <w:sz w:val="18"/>
                <w:szCs w:val="18"/>
                <w:lang w:eastAsia="en-AU"/>
              </w:rPr>
              <w:t>7</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B98565F" w14:textId="630FF03B" w:rsidR="004F6B5E" w:rsidRPr="00654840" w:rsidRDefault="004F6B5E" w:rsidP="004F6B5E">
            <w:pPr>
              <w:pStyle w:val="Table"/>
              <w:rPr>
                <w:sz w:val="18"/>
                <w:szCs w:val="18"/>
                <w:lang w:eastAsia="en-AU"/>
              </w:rPr>
            </w:pPr>
            <w:r w:rsidRPr="003B41DF">
              <w:rPr>
                <w:rFonts w:eastAsia="Times New Roman"/>
                <w:color w:val="000000"/>
                <w:sz w:val="18"/>
                <w:szCs w:val="18"/>
                <w:lang w:eastAsia="en-AU"/>
              </w:rPr>
              <w:t>-0.55</w:t>
            </w:r>
          </w:p>
        </w:tc>
      </w:tr>
      <w:tr w:rsidR="004F6B5E" w:rsidRPr="00654840" w14:paraId="2C64D3F0"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vAlign w:val="center"/>
            <w:hideMark/>
          </w:tcPr>
          <w:p w14:paraId="74D08A57" w14:textId="77777777" w:rsidR="004F6B5E" w:rsidRPr="00654840" w:rsidRDefault="004F6B5E" w:rsidP="004F6B5E">
            <w:pPr>
              <w:pStyle w:val="Table-Left"/>
              <w:rPr>
                <w:rStyle w:val="Strong"/>
                <w:sz w:val="18"/>
                <w:szCs w:val="18"/>
              </w:rPr>
            </w:pPr>
            <w:r w:rsidRPr="00654840">
              <w:rPr>
                <w:rStyle w:val="Strong"/>
                <w:sz w:val="18"/>
                <w:szCs w:val="18"/>
              </w:rPr>
              <w:t xml:space="preserve">Material shortfall </w:t>
            </w:r>
          </w:p>
        </w:tc>
        <w:tc>
          <w:tcPr>
            <w:tcW w:w="1718" w:type="dxa"/>
            <w:tcBorders>
              <w:top w:val="single" w:sz="4" w:space="0" w:color="auto"/>
              <w:left w:val="nil"/>
              <w:bottom w:val="single" w:sz="4" w:space="0" w:color="auto"/>
              <w:right w:val="single" w:sz="4" w:space="0" w:color="auto"/>
            </w:tcBorders>
            <w:vAlign w:val="center"/>
          </w:tcPr>
          <w:p w14:paraId="7F581972" w14:textId="51D14286" w:rsidR="004F6B5E" w:rsidRPr="00654840" w:rsidRDefault="004F6B5E" w:rsidP="004F6B5E">
            <w:pPr>
              <w:pStyle w:val="Table"/>
              <w:rPr>
                <w:sz w:val="18"/>
                <w:szCs w:val="18"/>
                <w:lang w:eastAsia="en-AU"/>
              </w:rPr>
            </w:pPr>
            <w:r w:rsidRPr="00C668BE">
              <w:rPr>
                <w:color w:val="000000"/>
                <w:sz w:val="18"/>
                <w:szCs w:val="18"/>
              </w:rPr>
              <w:t>-140</w:t>
            </w:r>
            <w:r w:rsidR="00AE4920">
              <w:rPr>
                <w:color w:val="000000"/>
                <w:sz w:val="18"/>
                <w:szCs w:val="18"/>
              </w:rPr>
              <w:t>.</w:t>
            </w:r>
            <w:r w:rsidR="00361C68" w:rsidRPr="00C668BE">
              <w:rPr>
                <w:color w:val="000000"/>
                <w:sz w:val="18"/>
                <w:szCs w:val="18"/>
              </w:rPr>
              <w:t>0</w:t>
            </w:r>
            <w:r w:rsidR="00361C68">
              <w:rPr>
                <w:color w:val="000000"/>
                <w:sz w:val="18"/>
                <w:szCs w:val="18"/>
              </w:rPr>
              <w:t>14</w:t>
            </w:r>
          </w:p>
        </w:tc>
        <w:tc>
          <w:tcPr>
            <w:tcW w:w="1502" w:type="dxa"/>
            <w:tcBorders>
              <w:top w:val="single" w:sz="4" w:space="0" w:color="auto"/>
              <w:left w:val="nil"/>
              <w:bottom w:val="single" w:sz="4" w:space="0" w:color="auto"/>
              <w:right w:val="single" w:sz="4" w:space="0" w:color="auto"/>
            </w:tcBorders>
            <w:vAlign w:val="center"/>
          </w:tcPr>
          <w:p w14:paraId="71D535B4" w14:textId="4AB7B523" w:rsidR="004F6B5E" w:rsidRPr="00015772" w:rsidRDefault="004F6B5E" w:rsidP="004F6B5E">
            <w:pPr>
              <w:pStyle w:val="Table"/>
              <w:rPr>
                <w:sz w:val="18"/>
                <w:szCs w:val="18"/>
                <w:lang w:eastAsia="en-AU"/>
              </w:rPr>
            </w:pPr>
            <w:r w:rsidRPr="003B41DF">
              <w:rPr>
                <w:rFonts w:eastAsia="Times New Roman"/>
                <w:color w:val="000000"/>
                <w:sz w:val="18"/>
                <w:szCs w:val="18"/>
                <w:lang w:eastAsia="en-AU"/>
              </w:rPr>
              <w:t>-1.07</w:t>
            </w:r>
          </w:p>
        </w:tc>
        <w:tc>
          <w:tcPr>
            <w:tcW w:w="1718" w:type="dxa"/>
            <w:tcBorders>
              <w:top w:val="single" w:sz="4" w:space="0" w:color="auto"/>
              <w:left w:val="nil"/>
              <w:bottom w:val="single" w:sz="4" w:space="0" w:color="auto"/>
              <w:right w:val="single" w:sz="4" w:space="0" w:color="auto"/>
            </w:tcBorders>
            <w:vAlign w:val="center"/>
          </w:tcPr>
          <w:p w14:paraId="1B7A2E02" w14:textId="04ACE672" w:rsidR="004F6B5E" w:rsidRPr="00654840" w:rsidRDefault="003A62E6" w:rsidP="004F6B5E">
            <w:pPr>
              <w:pStyle w:val="Table"/>
              <w:rPr>
                <w:sz w:val="18"/>
                <w:szCs w:val="18"/>
                <w:lang w:eastAsia="en-AU"/>
              </w:rPr>
            </w:pPr>
            <w:r>
              <w:rPr>
                <w:rFonts w:eastAsia="Times New Roman"/>
                <w:color w:val="000000"/>
                <w:sz w:val="18"/>
                <w:szCs w:val="18"/>
                <w:lang w:eastAsia="en-AU"/>
              </w:rPr>
              <w:t>N/a</w:t>
            </w:r>
          </w:p>
        </w:tc>
        <w:tc>
          <w:tcPr>
            <w:tcW w:w="1497" w:type="dxa"/>
            <w:tcBorders>
              <w:top w:val="single" w:sz="4" w:space="0" w:color="auto"/>
              <w:left w:val="nil"/>
              <w:bottom w:val="single" w:sz="4" w:space="0" w:color="auto"/>
              <w:right w:val="single" w:sz="4" w:space="0" w:color="auto"/>
            </w:tcBorders>
            <w:vAlign w:val="center"/>
          </w:tcPr>
          <w:p w14:paraId="3943C0B1" w14:textId="78115803" w:rsidR="004F6B5E" w:rsidRPr="00654840" w:rsidRDefault="003A62E6" w:rsidP="004F6B5E">
            <w:pPr>
              <w:pStyle w:val="Table"/>
              <w:rPr>
                <w:sz w:val="18"/>
                <w:szCs w:val="18"/>
                <w:lang w:eastAsia="en-AU"/>
              </w:rPr>
            </w:pPr>
            <w:r>
              <w:rPr>
                <w:rFonts w:eastAsia="Times New Roman"/>
                <w:color w:val="000000"/>
                <w:sz w:val="18"/>
                <w:szCs w:val="18"/>
                <w:lang w:eastAsia="en-AU"/>
              </w:rPr>
              <w:t>N/a</w:t>
            </w:r>
          </w:p>
        </w:tc>
      </w:tr>
      <w:tr w:rsidR="004F6B5E" w:rsidRPr="00654840" w14:paraId="735D5F92"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7F3F3D2" w14:textId="4C4E22F0" w:rsidR="004F6B5E" w:rsidRPr="00654840" w:rsidRDefault="004F6B5E" w:rsidP="004F6B5E">
            <w:pPr>
              <w:pStyle w:val="Table-Left"/>
              <w:rPr>
                <w:rStyle w:val="Strong"/>
                <w:sz w:val="18"/>
                <w:szCs w:val="18"/>
              </w:rPr>
            </w:pPr>
            <w:r>
              <w:rPr>
                <w:rStyle w:val="Strong"/>
                <w:sz w:val="18"/>
                <w:szCs w:val="18"/>
              </w:rPr>
              <w:t>Total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4DD8293" w14:textId="118CFB6F" w:rsidR="004F6B5E" w:rsidRDefault="004F6B5E" w:rsidP="004F6B5E">
            <w:pPr>
              <w:pStyle w:val="Table"/>
              <w:rPr>
                <w:rFonts w:eastAsia="Times New Roman"/>
                <w:sz w:val="18"/>
                <w:szCs w:val="18"/>
                <w:lang w:eastAsia="en-AU"/>
              </w:rPr>
            </w:pPr>
            <w:r w:rsidRPr="003B41DF">
              <w:rPr>
                <w:rFonts w:eastAsia="Times New Roman"/>
                <w:color w:val="000000"/>
                <w:sz w:val="18"/>
                <w:szCs w:val="18"/>
                <w:lang w:eastAsia="en-AU"/>
              </w:rPr>
              <w:t>-218</w:t>
            </w:r>
            <w:r w:rsidR="00AE4920">
              <w:rPr>
                <w:rFonts w:eastAsia="Times New Roman"/>
                <w:color w:val="000000"/>
                <w:sz w:val="18"/>
                <w:szCs w:val="18"/>
                <w:lang w:eastAsia="en-AU"/>
              </w:rPr>
              <w:t>.</w:t>
            </w:r>
            <w:r w:rsidR="00C513F1" w:rsidRPr="003B41DF">
              <w:rPr>
                <w:rFonts w:eastAsia="Times New Roman"/>
                <w:color w:val="000000"/>
                <w:sz w:val="18"/>
                <w:szCs w:val="18"/>
                <w:lang w:eastAsia="en-AU"/>
              </w:rPr>
              <w:t>64</w:t>
            </w:r>
            <w:r w:rsidR="00C513F1">
              <w:rPr>
                <w:rFonts w:eastAsia="Times New Roman"/>
                <w:color w:val="000000"/>
                <w:sz w:val="18"/>
                <w:szCs w:val="18"/>
                <w:lang w:eastAsia="en-AU"/>
              </w:rPr>
              <w:t>5</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0E71F97" w14:textId="26D44E54" w:rsidR="004F6B5E" w:rsidRPr="00654840" w:rsidRDefault="004F6B5E" w:rsidP="004F6B5E">
            <w:pPr>
              <w:pStyle w:val="Table"/>
              <w:rPr>
                <w:sz w:val="18"/>
                <w:szCs w:val="18"/>
                <w:lang w:eastAsia="en-AU"/>
              </w:rPr>
            </w:pPr>
            <w:r w:rsidRPr="003B41DF">
              <w:rPr>
                <w:rFonts w:eastAsia="Times New Roman"/>
                <w:color w:val="000000"/>
                <w:sz w:val="18"/>
                <w:szCs w:val="18"/>
                <w:lang w:eastAsia="en-AU"/>
              </w:rPr>
              <w:t>-1.67</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DB3A3B2" w14:textId="68968A45" w:rsidR="004F6B5E" w:rsidRPr="00654840" w:rsidRDefault="004F6B5E" w:rsidP="004F6B5E">
            <w:pPr>
              <w:pStyle w:val="Table"/>
              <w:rPr>
                <w:sz w:val="18"/>
                <w:szCs w:val="18"/>
                <w:lang w:eastAsia="en-AU"/>
              </w:rPr>
            </w:pPr>
            <w:r w:rsidRPr="003B41DF">
              <w:rPr>
                <w:rFonts w:eastAsia="Times New Roman"/>
                <w:color w:val="000000"/>
                <w:sz w:val="18"/>
                <w:szCs w:val="18"/>
                <w:lang w:eastAsia="en-AU"/>
              </w:rPr>
              <w:t>-2</w:t>
            </w:r>
            <w:r>
              <w:rPr>
                <w:rFonts w:eastAsia="Times New Roman"/>
                <w:color w:val="000000"/>
                <w:sz w:val="18"/>
                <w:szCs w:val="18"/>
                <w:lang w:eastAsia="en-AU"/>
              </w:rPr>
              <w:t>9</w:t>
            </w:r>
            <w:r w:rsidR="001626CC">
              <w:rPr>
                <w:rFonts w:eastAsia="Times New Roman"/>
                <w:color w:val="000000"/>
                <w:sz w:val="18"/>
                <w:szCs w:val="18"/>
                <w:lang w:eastAsia="en-AU"/>
              </w:rPr>
              <w:t>.</w:t>
            </w:r>
            <w:r>
              <w:rPr>
                <w:rFonts w:eastAsia="Times New Roman"/>
                <w:color w:val="000000"/>
                <w:sz w:val="18"/>
                <w:szCs w:val="18"/>
                <w:lang w:eastAsia="en-AU"/>
              </w:rPr>
              <w:t>176</w:t>
            </w:r>
            <w:r w:rsidRPr="003B41DF">
              <w:rPr>
                <w:rFonts w:eastAsia="Times New Roman"/>
                <w:color w:val="000000"/>
                <w:sz w:val="18"/>
                <w:szCs w:val="18"/>
                <w:lang w:eastAsia="en-AU"/>
              </w:rPr>
              <w:t>,</w:t>
            </w:r>
            <w:r>
              <w:rPr>
                <w:rFonts w:eastAsia="Times New Roman"/>
                <w:color w:val="000000"/>
                <w:sz w:val="18"/>
                <w:szCs w:val="18"/>
                <w:lang w:eastAsia="en-AU"/>
              </w:rPr>
              <w:t>852</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F9BB436" w14:textId="20A50344" w:rsidR="004F6B5E" w:rsidRPr="00654840" w:rsidRDefault="004F6B5E" w:rsidP="004F6B5E">
            <w:pPr>
              <w:pStyle w:val="Table"/>
              <w:rPr>
                <w:sz w:val="18"/>
                <w:szCs w:val="18"/>
                <w:lang w:eastAsia="en-AU"/>
              </w:rPr>
            </w:pPr>
            <w:r w:rsidRPr="003B41DF">
              <w:rPr>
                <w:rFonts w:eastAsia="Times New Roman"/>
                <w:color w:val="000000"/>
                <w:sz w:val="18"/>
                <w:szCs w:val="18"/>
                <w:lang w:eastAsia="en-AU"/>
              </w:rPr>
              <w:t>-0.55</w:t>
            </w:r>
          </w:p>
        </w:tc>
      </w:tr>
      <w:tr w:rsidR="000B6D92" w:rsidRPr="00654840" w14:paraId="1F96CE1B"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vAlign w:val="center"/>
            <w:hideMark/>
          </w:tcPr>
          <w:p w14:paraId="3323793A" w14:textId="72436312" w:rsidR="000B6D92" w:rsidRPr="00654840" w:rsidRDefault="00C50C1E" w:rsidP="000B6D92">
            <w:pPr>
              <w:pStyle w:val="Table-Left"/>
              <w:rPr>
                <w:rStyle w:val="Strong"/>
                <w:sz w:val="18"/>
                <w:szCs w:val="18"/>
              </w:rPr>
            </w:pPr>
            <w:r>
              <w:rPr>
                <w:rStyle w:val="Strong"/>
                <w:sz w:val="18"/>
                <w:szCs w:val="18"/>
              </w:rPr>
              <w:t>Cap</w:t>
            </w:r>
            <w:r w:rsidR="000B6D92" w:rsidRPr="00654840">
              <w:rPr>
                <w:rStyle w:val="Strong"/>
                <w:sz w:val="18"/>
                <w:szCs w:val="18"/>
              </w:rPr>
              <w:t xml:space="preserve"> on inclusions</w:t>
            </w:r>
          </w:p>
        </w:tc>
        <w:tc>
          <w:tcPr>
            <w:tcW w:w="1718" w:type="dxa"/>
            <w:tcBorders>
              <w:top w:val="nil"/>
              <w:left w:val="nil"/>
              <w:bottom w:val="single" w:sz="4" w:space="0" w:color="auto"/>
              <w:right w:val="single" w:sz="4" w:space="0" w:color="auto"/>
            </w:tcBorders>
            <w:vAlign w:val="center"/>
          </w:tcPr>
          <w:p w14:paraId="72EE7425" w14:textId="13D662FC" w:rsidR="000B6D92" w:rsidRPr="00654840" w:rsidRDefault="412D2D3C" w:rsidP="000B6D92">
            <w:pPr>
              <w:pStyle w:val="Table"/>
              <w:rPr>
                <w:rFonts w:eastAsia="Times New Roman"/>
                <w:sz w:val="18"/>
                <w:szCs w:val="18"/>
                <w:lang w:eastAsia="en-AU"/>
              </w:rPr>
            </w:pPr>
            <w:r w:rsidRPr="003B41DF">
              <w:rPr>
                <w:rFonts w:eastAsia="Times New Roman"/>
                <w:color w:val="000000"/>
                <w:sz w:val="18"/>
                <w:szCs w:val="18"/>
                <w:lang w:eastAsia="en-AU"/>
              </w:rPr>
              <w:t>524</w:t>
            </w:r>
            <w:r w:rsidR="68BF7F3F">
              <w:rPr>
                <w:rFonts w:eastAsia="Times New Roman"/>
                <w:color w:val="000000"/>
                <w:sz w:val="18"/>
                <w:szCs w:val="18"/>
                <w:lang w:eastAsia="en-AU"/>
              </w:rPr>
              <w:t>.</w:t>
            </w:r>
            <w:r w:rsidRPr="003B41DF">
              <w:rPr>
                <w:rFonts w:eastAsia="Times New Roman"/>
                <w:color w:val="000000"/>
                <w:sz w:val="18"/>
                <w:szCs w:val="18"/>
                <w:lang w:eastAsia="en-AU"/>
              </w:rPr>
              <w:t>204</w:t>
            </w:r>
            <w:r w:rsidR="000B6D92" w:rsidRPr="00654840">
              <w:rPr>
                <w:rStyle w:val="FootnoteReference"/>
                <w:rFonts w:eastAsia="Times New Roman"/>
                <w:sz w:val="18"/>
                <w:szCs w:val="18"/>
                <w:lang w:eastAsia="en-AU"/>
              </w:rPr>
              <w:footnoteReference w:id="18"/>
            </w:r>
          </w:p>
        </w:tc>
        <w:tc>
          <w:tcPr>
            <w:tcW w:w="1502" w:type="dxa"/>
            <w:tcBorders>
              <w:top w:val="single" w:sz="4" w:space="0" w:color="auto"/>
              <w:left w:val="nil"/>
              <w:bottom w:val="single" w:sz="4" w:space="0" w:color="auto"/>
              <w:right w:val="single" w:sz="4" w:space="0" w:color="auto"/>
            </w:tcBorders>
            <w:vAlign w:val="center"/>
          </w:tcPr>
          <w:p w14:paraId="40EA939F" w14:textId="3945661C" w:rsidR="000B6D92" w:rsidRPr="00654840" w:rsidRDefault="000B6D92" w:rsidP="000B6D92">
            <w:pPr>
              <w:pStyle w:val="Table"/>
              <w:rPr>
                <w:sz w:val="18"/>
                <w:szCs w:val="18"/>
                <w:lang w:eastAsia="en-AU"/>
              </w:rPr>
            </w:pPr>
            <w:r w:rsidRPr="003B41DF">
              <w:rPr>
                <w:rFonts w:eastAsia="Times New Roman"/>
                <w:color w:val="000000"/>
                <w:sz w:val="18"/>
                <w:szCs w:val="18"/>
                <w:lang w:eastAsia="en-AU"/>
              </w:rPr>
              <w:t>4</w:t>
            </w:r>
            <w:r w:rsidR="002A3B86">
              <w:rPr>
                <w:rFonts w:eastAsia="Times New Roman"/>
                <w:color w:val="000000"/>
                <w:sz w:val="18"/>
                <w:szCs w:val="18"/>
                <w:lang w:eastAsia="en-AU"/>
              </w:rPr>
              <w:t>.0</w:t>
            </w:r>
          </w:p>
        </w:tc>
        <w:tc>
          <w:tcPr>
            <w:tcW w:w="1718" w:type="dxa"/>
            <w:tcBorders>
              <w:top w:val="nil"/>
              <w:left w:val="nil"/>
              <w:bottom w:val="single" w:sz="4" w:space="0" w:color="auto"/>
              <w:right w:val="single" w:sz="4" w:space="0" w:color="auto"/>
            </w:tcBorders>
            <w:vAlign w:val="center"/>
          </w:tcPr>
          <w:p w14:paraId="022E0F0F" w14:textId="0D69DE33" w:rsidR="000B6D92" w:rsidRPr="00654840" w:rsidRDefault="003A62E6" w:rsidP="000B6D92">
            <w:pPr>
              <w:pStyle w:val="Table"/>
              <w:rPr>
                <w:sz w:val="18"/>
                <w:szCs w:val="18"/>
                <w:lang w:eastAsia="en-AU"/>
              </w:rPr>
            </w:pPr>
            <w:r>
              <w:rPr>
                <w:rFonts w:eastAsia="Times New Roman"/>
                <w:color w:val="000000"/>
                <w:sz w:val="18"/>
                <w:szCs w:val="18"/>
                <w:lang w:eastAsia="en-AU"/>
              </w:rPr>
              <w:t>N/a</w:t>
            </w:r>
          </w:p>
        </w:tc>
        <w:tc>
          <w:tcPr>
            <w:tcW w:w="1497" w:type="dxa"/>
            <w:tcBorders>
              <w:top w:val="nil"/>
              <w:left w:val="nil"/>
              <w:bottom w:val="single" w:sz="4" w:space="0" w:color="auto"/>
              <w:right w:val="single" w:sz="4" w:space="0" w:color="auto"/>
            </w:tcBorders>
            <w:vAlign w:val="center"/>
          </w:tcPr>
          <w:p w14:paraId="3C047330" w14:textId="6D3D75BD" w:rsidR="000B6D92" w:rsidRPr="00654840" w:rsidRDefault="003A62E6" w:rsidP="000B6D92">
            <w:pPr>
              <w:pStyle w:val="Table"/>
              <w:rPr>
                <w:sz w:val="18"/>
                <w:szCs w:val="18"/>
                <w:lang w:eastAsia="en-AU"/>
              </w:rPr>
            </w:pPr>
            <w:r>
              <w:rPr>
                <w:rFonts w:eastAsia="Times New Roman"/>
                <w:color w:val="000000"/>
                <w:sz w:val="18"/>
                <w:szCs w:val="18"/>
                <w:lang w:eastAsia="en-AU"/>
              </w:rPr>
              <w:t>N/a</w:t>
            </w:r>
          </w:p>
        </w:tc>
      </w:tr>
      <w:tr w:rsidR="00514EAC" w:rsidRPr="00654840" w14:paraId="01E98364"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76DAE02" w14:textId="77777777" w:rsidR="00514EAC" w:rsidRPr="00654840" w:rsidRDefault="00514EAC" w:rsidP="00514EAC">
            <w:pPr>
              <w:pStyle w:val="Table-Left"/>
              <w:rPr>
                <w:rStyle w:val="Strong"/>
                <w:sz w:val="18"/>
                <w:szCs w:val="18"/>
              </w:rPr>
            </w:pPr>
            <w:r w:rsidRPr="00654840">
              <w:rPr>
                <w:rStyle w:val="Strong"/>
                <w:sz w:val="18"/>
                <w:szCs w:val="18"/>
              </w:rPr>
              <w:t>Regulatory costs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5B97884" w14:textId="75CD55E7" w:rsidR="00514EAC" w:rsidRPr="00654840" w:rsidRDefault="00514EAC" w:rsidP="00514EAC">
            <w:pPr>
              <w:pStyle w:val="Table"/>
              <w:rPr>
                <w:rFonts w:eastAsia="Times New Roman"/>
                <w:sz w:val="18"/>
                <w:szCs w:val="18"/>
                <w:lang w:eastAsia="en-AU"/>
              </w:rPr>
            </w:pPr>
            <w:r w:rsidRPr="003B41DF">
              <w:rPr>
                <w:rFonts w:eastAsia="Times New Roman"/>
                <w:color w:val="000000"/>
                <w:sz w:val="18"/>
                <w:szCs w:val="18"/>
                <w:lang w:eastAsia="en-AU"/>
              </w:rPr>
              <w:t>103</w:t>
            </w:r>
            <w:r w:rsidR="00612B05">
              <w:rPr>
                <w:rFonts w:eastAsia="Times New Roman"/>
                <w:color w:val="000000"/>
                <w:sz w:val="18"/>
                <w:szCs w:val="18"/>
                <w:lang w:eastAsia="en-AU"/>
              </w:rPr>
              <w:t>.</w:t>
            </w:r>
            <w:r w:rsidRPr="003B41DF">
              <w:rPr>
                <w:rFonts w:eastAsia="Times New Roman"/>
                <w:color w:val="000000"/>
                <w:sz w:val="18"/>
                <w:szCs w:val="18"/>
                <w:lang w:eastAsia="en-AU"/>
              </w:rPr>
              <w:t>990</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751281B" w14:textId="2C238623" w:rsidR="00514EAC" w:rsidRPr="00654840" w:rsidRDefault="003A62E6" w:rsidP="00514EAC">
            <w:pPr>
              <w:pStyle w:val="Table"/>
              <w:rPr>
                <w:sz w:val="18"/>
                <w:szCs w:val="18"/>
                <w:lang w:eastAsia="en-AU"/>
              </w:rPr>
            </w:pPr>
            <w:r w:rsidDel="00361C68">
              <w:rPr>
                <w:rFonts w:eastAsia="Times New Roman"/>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F7C90EF" w14:textId="4C0FE0CF" w:rsidR="00514EAC" w:rsidRPr="00654840" w:rsidRDefault="003A62E6" w:rsidP="00514EAC">
            <w:pPr>
              <w:pStyle w:val="Table"/>
              <w:rPr>
                <w:sz w:val="18"/>
                <w:szCs w:val="18"/>
                <w:lang w:eastAsia="en-AU"/>
              </w:rPr>
            </w:pPr>
            <w:r>
              <w:rPr>
                <w:rFonts w:eastAsia="Times New Roman"/>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8D12E36" w14:textId="02AA73AA" w:rsidR="00514EAC" w:rsidRPr="00654840" w:rsidRDefault="003A62E6" w:rsidP="00514EAC">
            <w:pPr>
              <w:pStyle w:val="Table"/>
              <w:rPr>
                <w:sz w:val="18"/>
                <w:szCs w:val="18"/>
                <w:lang w:eastAsia="en-AU"/>
              </w:rPr>
            </w:pPr>
            <w:r>
              <w:rPr>
                <w:rFonts w:eastAsia="Times New Roman"/>
                <w:color w:val="000000"/>
                <w:sz w:val="18"/>
                <w:szCs w:val="18"/>
                <w:lang w:eastAsia="en-AU"/>
              </w:rPr>
              <w:t>N/a</w:t>
            </w:r>
          </w:p>
        </w:tc>
      </w:tr>
    </w:tbl>
    <w:p w14:paraId="7B62DF5C" w14:textId="77777777" w:rsidR="00BB2B21" w:rsidRDefault="00BB2B21" w:rsidP="00BB2B21">
      <w:bookmarkStart w:id="528" w:name="_Hlk158892482"/>
      <w:bookmarkEnd w:id="527"/>
    </w:p>
    <w:p w14:paraId="0E289525" w14:textId="6489E552" w:rsidR="00E9517A" w:rsidRPr="000E7C7F" w:rsidRDefault="008D6303" w:rsidP="000E7C7F">
      <w:pPr>
        <w:pStyle w:val="Heading3"/>
      </w:pPr>
      <w:bookmarkStart w:id="529" w:name="_Toc210306654"/>
      <w:bookmarkStart w:id="530" w:name="_Toc210317480"/>
      <w:bookmarkStart w:id="531" w:name="_Toc210815634"/>
      <w:r>
        <w:t>Western Australia</w:t>
      </w:r>
      <w:bookmarkEnd w:id="529"/>
      <w:bookmarkEnd w:id="530"/>
      <w:bookmarkEnd w:id="531"/>
    </w:p>
    <w:tbl>
      <w:tblPr>
        <w:tblW w:w="8782" w:type="dxa"/>
        <w:tblLayout w:type="fixed"/>
        <w:tblLook w:val="04A0" w:firstRow="1" w:lastRow="0" w:firstColumn="1" w:lastColumn="0" w:noHBand="0" w:noVBand="1"/>
      </w:tblPr>
      <w:tblGrid>
        <w:gridCol w:w="2347"/>
        <w:gridCol w:w="1718"/>
        <w:gridCol w:w="1502"/>
        <w:gridCol w:w="1718"/>
        <w:gridCol w:w="1497"/>
      </w:tblGrid>
      <w:tr w:rsidR="0066078F" w:rsidRPr="00654840" w14:paraId="12104E6A" w14:textId="77777777" w:rsidTr="19505304">
        <w:trPr>
          <w:trHeight w:val="408"/>
        </w:trPr>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CF819" w14:textId="77777777" w:rsidR="008D6303" w:rsidRPr="00654840" w:rsidRDefault="008D6303" w:rsidP="003E5C94">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0616BCEA" w14:textId="6E3FE3E7"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r w:rsidR="00C60188">
              <w:rPr>
                <w:rFonts w:eastAsia="Calibri" w:cs="Times New Roman"/>
                <w:b/>
                <w:bCs/>
                <w:sz w:val="18"/>
                <w:szCs w:val="18"/>
              </w:rPr>
              <w:t>M</w:t>
            </w:r>
            <w:r w:rsidRPr="00654840">
              <w:rPr>
                <w:rFonts w:eastAsia="Calibri" w:cs="Times New Roman"/>
                <w:b/>
                <w:bCs/>
                <w:sz w:val="18"/>
                <w:szCs w:val="18"/>
              </w:rPr>
              <w:t>)</w:t>
            </w:r>
          </w:p>
        </w:tc>
        <w:tc>
          <w:tcPr>
            <w:tcW w:w="1502" w:type="dxa"/>
            <w:tcBorders>
              <w:top w:val="single" w:sz="4" w:space="0" w:color="auto"/>
              <w:left w:val="nil"/>
              <w:bottom w:val="single" w:sz="4" w:space="0" w:color="auto"/>
              <w:right w:val="single" w:sz="4" w:space="0" w:color="auto"/>
            </w:tcBorders>
            <w:shd w:val="clear" w:color="auto" w:fill="FFFFFF" w:themeFill="background1"/>
            <w:vAlign w:val="center"/>
          </w:tcPr>
          <w:p w14:paraId="315A0AB7" w14:textId="77777777"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718" w:type="dxa"/>
            <w:tcBorders>
              <w:top w:val="single" w:sz="4" w:space="0" w:color="auto"/>
              <w:left w:val="nil"/>
              <w:bottom w:val="single" w:sz="4" w:space="0" w:color="auto"/>
              <w:right w:val="single" w:sz="4" w:space="0" w:color="auto"/>
            </w:tcBorders>
            <w:shd w:val="clear" w:color="auto" w:fill="FFFFFF" w:themeFill="background1"/>
            <w:vAlign w:val="center"/>
          </w:tcPr>
          <w:p w14:paraId="6659E0AD" w14:textId="63F8462A"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r w:rsidR="00C60188">
              <w:rPr>
                <w:rFonts w:eastAsia="Calibri" w:cs="Times New Roman"/>
                <w:b/>
                <w:bCs/>
                <w:sz w:val="18"/>
                <w:szCs w:val="18"/>
              </w:rPr>
              <w:t>M</w:t>
            </w:r>
            <w:r w:rsidRPr="00654840">
              <w:rPr>
                <w:rFonts w:eastAsia="Calibri" w:cs="Times New Roman"/>
                <w:b/>
                <w:bCs/>
                <w:sz w:val="18"/>
                <w:szCs w:val="18"/>
              </w:rPr>
              <w:t>)</w:t>
            </w:r>
          </w:p>
        </w:tc>
        <w:tc>
          <w:tcPr>
            <w:tcW w:w="1497" w:type="dxa"/>
            <w:tcBorders>
              <w:top w:val="single" w:sz="4" w:space="0" w:color="auto"/>
              <w:left w:val="nil"/>
              <w:bottom w:val="single" w:sz="4" w:space="0" w:color="auto"/>
              <w:right w:val="single" w:sz="4" w:space="0" w:color="auto"/>
            </w:tcBorders>
            <w:shd w:val="clear" w:color="auto" w:fill="FFFFFF" w:themeFill="background1"/>
            <w:vAlign w:val="center"/>
          </w:tcPr>
          <w:p w14:paraId="210D30A8" w14:textId="77777777" w:rsidR="008D6303" w:rsidRPr="00654840" w:rsidRDefault="008D6303" w:rsidP="003E5C94">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5C51C5" w:rsidRPr="00654840" w14:paraId="4B0958B6"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259895F" w14:textId="77777777" w:rsidR="005C51C5" w:rsidRPr="00654840" w:rsidRDefault="005C51C5" w:rsidP="005C51C5">
            <w:pPr>
              <w:pStyle w:val="Table-Left"/>
              <w:rPr>
                <w:rStyle w:val="Strong"/>
                <w:sz w:val="18"/>
                <w:szCs w:val="18"/>
              </w:rPr>
            </w:pPr>
            <w:r w:rsidRPr="00654840">
              <w:rPr>
                <w:rStyle w:val="Strong"/>
                <w:sz w:val="18"/>
                <w:szCs w:val="18"/>
              </w:rPr>
              <w:t>Total SRS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0DF853A" w14:textId="0DC1FA53" w:rsidR="005C51C5" w:rsidRPr="00654840" w:rsidRDefault="005C51C5" w:rsidP="005C51C5">
            <w:pPr>
              <w:pStyle w:val="Table"/>
              <w:rPr>
                <w:sz w:val="18"/>
                <w:szCs w:val="18"/>
                <w:lang w:eastAsia="en-AU"/>
              </w:rPr>
            </w:pPr>
            <w:r w:rsidRPr="0068158E">
              <w:rPr>
                <w:rFonts w:eastAsia="Times New Roman"/>
                <w:color w:val="000000"/>
                <w:sz w:val="18"/>
                <w:szCs w:val="18"/>
                <w:lang w:eastAsia="en-AU"/>
              </w:rPr>
              <w:t>5,932</w:t>
            </w:r>
            <w:r w:rsidR="001626CC">
              <w:rPr>
                <w:rFonts w:eastAsia="Times New Roman"/>
                <w:color w:val="000000"/>
                <w:sz w:val="18"/>
                <w:szCs w:val="18"/>
                <w:lang w:eastAsia="en-AU"/>
              </w:rPr>
              <w:t>.</w:t>
            </w:r>
            <w:r w:rsidRPr="0068158E">
              <w:rPr>
                <w:rFonts w:eastAsia="Times New Roman"/>
                <w:color w:val="000000"/>
                <w:sz w:val="18"/>
                <w:szCs w:val="18"/>
                <w:lang w:eastAsia="en-AU"/>
              </w:rPr>
              <w:t>734</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A06F370" w14:textId="1B1C1E97" w:rsidR="005C51C5" w:rsidRPr="00654840" w:rsidRDefault="005C51C5" w:rsidP="005C51C5">
            <w:pPr>
              <w:pStyle w:val="Table"/>
              <w:rPr>
                <w:sz w:val="18"/>
                <w:szCs w:val="18"/>
                <w:lang w:eastAsia="en-AU"/>
              </w:rPr>
            </w:pP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7B5E2C9" w14:textId="3920FE99" w:rsidR="005C51C5" w:rsidRPr="001C3FD6" w:rsidRDefault="005C51C5" w:rsidP="005C51C5">
            <w:pPr>
              <w:pStyle w:val="Table"/>
              <w:rPr>
                <w:sz w:val="18"/>
                <w:szCs w:val="18"/>
                <w:lang w:eastAsia="en-AU"/>
              </w:rPr>
            </w:pPr>
            <w:r w:rsidRPr="0068158E">
              <w:rPr>
                <w:rFonts w:eastAsia="Times New Roman"/>
                <w:color w:val="000000"/>
                <w:sz w:val="18"/>
                <w:szCs w:val="18"/>
                <w:lang w:eastAsia="en-AU"/>
              </w:rPr>
              <w:t>2,065</w:t>
            </w:r>
            <w:r w:rsidR="00122A51">
              <w:rPr>
                <w:rFonts w:eastAsia="Times New Roman"/>
                <w:color w:val="000000"/>
                <w:sz w:val="18"/>
                <w:szCs w:val="18"/>
                <w:lang w:eastAsia="en-AU"/>
              </w:rPr>
              <w:t>.</w:t>
            </w:r>
            <w:r w:rsidRPr="0068158E">
              <w:rPr>
                <w:rFonts w:eastAsia="Times New Roman"/>
                <w:color w:val="000000"/>
                <w:sz w:val="18"/>
                <w:szCs w:val="18"/>
                <w:lang w:eastAsia="en-AU"/>
              </w:rPr>
              <w:t>55</w:t>
            </w:r>
            <w:r w:rsidR="002264BB">
              <w:rPr>
                <w:rFonts w:eastAsia="Times New Roman"/>
                <w:color w:val="000000"/>
                <w:sz w:val="18"/>
                <w:szCs w:val="18"/>
                <w:lang w:eastAsia="en-AU"/>
              </w:rPr>
              <w:t>1</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7C9FD5A" w14:textId="5E858514" w:rsidR="005C51C5" w:rsidRPr="00654840" w:rsidRDefault="005C51C5" w:rsidP="005C51C5">
            <w:pPr>
              <w:pStyle w:val="Table"/>
              <w:rPr>
                <w:sz w:val="18"/>
                <w:szCs w:val="18"/>
                <w:lang w:eastAsia="en-AU"/>
              </w:rPr>
            </w:pPr>
          </w:p>
        </w:tc>
      </w:tr>
      <w:tr w:rsidR="005C51C5" w:rsidRPr="00654840" w14:paraId="067A3718"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vAlign w:val="center"/>
            <w:hideMark/>
          </w:tcPr>
          <w:p w14:paraId="409D10FD" w14:textId="77777777" w:rsidR="005C51C5" w:rsidRPr="00654840" w:rsidRDefault="005C51C5" w:rsidP="005C51C5">
            <w:pPr>
              <w:pStyle w:val="Table-Left"/>
              <w:rPr>
                <w:rStyle w:val="Strong"/>
                <w:sz w:val="18"/>
                <w:szCs w:val="18"/>
              </w:rPr>
            </w:pPr>
            <w:r w:rsidRPr="00654840">
              <w:rPr>
                <w:rStyle w:val="Strong"/>
                <w:sz w:val="18"/>
                <w:szCs w:val="18"/>
              </w:rPr>
              <w:t xml:space="preserve">Required contribution </w:t>
            </w:r>
          </w:p>
        </w:tc>
        <w:tc>
          <w:tcPr>
            <w:tcW w:w="1718" w:type="dxa"/>
            <w:tcBorders>
              <w:top w:val="single" w:sz="4" w:space="0" w:color="auto"/>
              <w:left w:val="nil"/>
              <w:bottom w:val="single" w:sz="4" w:space="0" w:color="auto"/>
              <w:right w:val="single" w:sz="4" w:space="0" w:color="auto"/>
            </w:tcBorders>
            <w:vAlign w:val="center"/>
          </w:tcPr>
          <w:p w14:paraId="3CC2C086" w14:textId="7E8C9FFB" w:rsidR="005C51C5" w:rsidRPr="00654840" w:rsidRDefault="005C51C5" w:rsidP="005C51C5">
            <w:pPr>
              <w:pStyle w:val="Table"/>
              <w:rPr>
                <w:sz w:val="18"/>
                <w:szCs w:val="18"/>
                <w:lang w:eastAsia="en-AU"/>
              </w:rPr>
            </w:pPr>
            <w:r w:rsidRPr="0068158E">
              <w:rPr>
                <w:rFonts w:eastAsia="Times New Roman"/>
                <w:color w:val="000000"/>
                <w:sz w:val="18"/>
                <w:szCs w:val="18"/>
                <w:lang w:eastAsia="en-AU"/>
              </w:rPr>
              <w:t>4,449</w:t>
            </w:r>
            <w:r w:rsidR="001626CC">
              <w:rPr>
                <w:rFonts w:eastAsia="Times New Roman"/>
                <w:color w:val="000000"/>
                <w:sz w:val="18"/>
                <w:szCs w:val="18"/>
                <w:lang w:eastAsia="en-AU"/>
              </w:rPr>
              <w:t>.</w:t>
            </w:r>
            <w:r w:rsidRPr="0068158E">
              <w:rPr>
                <w:rFonts w:eastAsia="Times New Roman"/>
                <w:color w:val="000000"/>
                <w:sz w:val="18"/>
                <w:szCs w:val="18"/>
                <w:lang w:eastAsia="en-AU"/>
              </w:rPr>
              <w:t>55</w:t>
            </w:r>
            <w:r w:rsidR="002264BB">
              <w:rPr>
                <w:rFonts w:eastAsia="Times New Roman"/>
                <w:color w:val="000000"/>
                <w:sz w:val="18"/>
                <w:szCs w:val="18"/>
                <w:lang w:eastAsia="en-AU"/>
              </w:rPr>
              <w:t>1</w:t>
            </w:r>
          </w:p>
        </w:tc>
        <w:tc>
          <w:tcPr>
            <w:tcW w:w="1502" w:type="dxa"/>
            <w:tcBorders>
              <w:top w:val="single" w:sz="4" w:space="0" w:color="auto"/>
              <w:left w:val="nil"/>
              <w:bottom w:val="single" w:sz="4" w:space="0" w:color="auto"/>
              <w:right w:val="single" w:sz="4" w:space="0" w:color="auto"/>
            </w:tcBorders>
            <w:vAlign w:val="center"/>
          </w:tcPr>
          <w:p w14:paraId="1660A0CF" w14:textId="37FEFB1C" w:rsidR="005C51C5" w:rsidRPr="00654840" w:rsidRDefault="005C51C5" w:rsidP="005C51C5">
            <w:pPr>
              <w:pStyle w:val="Table"/>
              <w:rPr>
                <w:sz w:val="18"/>
                <w:szCs w:val="18"/>
                <w:lang w:eastAsia="en-AU"/>
              </w:rPr>
            </w:pPr>
            <w:r w:rsidRPr="0068158E">
              <w:rPr>
                <w:rFonts w:eastAsia="Times New Roman"/>
                <w:color w:val="000000"/>
                <w:sz w:val="18"/>
                <w:szCs w:val="18"/>
                <w:lang w:eastAsia="en-AU"/>
              </w:rPr>
              <w:t>75</w:t>
            </w:r>
          </w:p>
        </w:tc>
        <w:tc>
          <w:tcPr>
            <w:tcW w:w="1718" w:type="dxa"/>
            <w:tcBorders>
              <w:top w:val="single" w:sz="4" w:space="0" w:color="auto"/>
              <w:left w:val="nil"/>
              <w:bottom w:val="single" w:sz="4" w:space="0" w:color="auto"/>
              <w:right w:val="single" w:sz="4" w:space="0" w:color="auto"/>
            </w:tcBorders>
            <w:vAlign w:val="center"/>
          </w:tcPr>
          <w:p w14:paraId="1405EDA8" w14:textId="4ECF2554" w:rsidR="005C51C5" w:rsidRPr="00654840" w:rsidRDefault="005C51C5" w:rsidP="005C51C5">
            <w:pPr>
              <w:pStyle w:val="Table"/>
              <w:rPr>
                <w:sz w:val="18"/>
                <w:szCs w:val="18"/>
                <w:lang w:eastAsia="en-AU"/>
              </w:rPr>
            </w:pPr>
            <w:r w:rsidRPr="0068158E">
              <w:rPr>
                <w:rFonts w:eastAsia="Times New Roman"/>
                <w:color w:val="000000"/>
                <w:sz w:val="18"/>
                <w:szCs w:val="18"/>
                <w:lang w:eastAsia="en-AU"/>
              </w:rPr>
              <w:t>413</w:t>
            </w:r>
            <w:r w:rsidR="00122A51">
              <w:rPr>
                <w:rFonts w:eastAsia="Times New Roman"/>
                <w:color w:val="000000"/>
                <w:sz w:val="18"/>
                <w:szCs w:val="18"/>
                <w:lang w:eastAsia="en-AU"/>
              </w:rPr>
              <w:t>.</w:t>
            </w:r>
            <w:r w:rsidRPr="0068158E">
              <w:rPr>
                <w:rFonts w:eastAsia="Times New Roman"/>
                <w:color w:val="000000"/>
                <w:sz w:val="18"/>
                <w:szCs w:val="18"/>
                <w:lang w:eastAsia="en-AU"/>
              </w:rPr>
              <w:t>110</w:t>
            </w:r>
          </w:p>
        </w:tc>
        <w:tc>
          <w:tcPr>
            <w:tcW w:w="1497" w:type="dxa"/>
            <w:tcBorders>
              <w:top w:val="single" w:sz="4" w:space="0" w:color="auto"/>
              <w:left w:val="nil"/>
              <w:bottom w:val="single" w:sz="4" w:space="0" w:color="auto"/>
              <w:right w:val="single" w:sz="4" w:space="0" w:color="auto"/>
            </w:tcBorders>
            <w:vAlign w:val="center"/>
          </w:tcPr>
          <w:p w14:paraId="427B124F" w14:textId="7349769B" w:rsidR="005C51C5" w:rsidRPr="00654840" w:rsidRDefault="005C51C5" w:rsidP="005C51C5">
            <w:pPr>
              <w:pStyle w:val="Table"/>
              <w:rPr>
                <w:sz w:val="18"/>
                <w:szCs w:val="18"/>
                <w:lang w:eastAsia="en-AU"/>
              </w:rPr>
            </w:pPr>
            <w:r w:rsidRPr="0068158E">
              <w:rPr>
                <w:rFonts w:eastAsia="Times New Roman"/>
                <w:color w:val="000000"/>
                <w:sz w:val="18"/>
                <w:szCs w:val="18"/>
                <w:lang w:eastAsia="en-AU"/>
              </w:rPr>
              <w:t>20</w:t>
            </w:r>
          </w:p>
        </w:tc>
      </w:tr>
      <w:tr w:rsidR="005C51C5" w:rsidRPr="00654840" w14:paraId="6A5E5D19"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9A057C2" w14:textId="77777777" w:rsidR="005C51C5" w:rsidRPr="00654840" w:rsidRDefault="005C51C5" w:rsidP="005C51C5">
            <w:pPr>
              <w:pStyle w:val="Table-Left"/>
              <w:rPr>
                <w:rStyle w:val="Strong"/>
                <w:sz w:val="18"/>
                <w:szCs w:val="18"/>
              </w:rPr>
            </w:pPr>
            <w:r w:rsidRPr="00654840">
              <w:rPr>
                <w:rStyle w:val="Strong"/>
                <w:sz w:val="18"/>
                <w:szCs w:val="18"/>
              </w:rPr>
              <w:t xml:space="preserve">Reported contribution </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14A589E" w14:textId="25B91D0A" w:rsidR="005C51C5" w:rsidRPr="00654840" w:rsidRDefault="005C51C5" w:rsidP="005C51C5">
            <w:pPr>
              <w:pStyle w:val="Table"/>
              <w:rPr>
                <w:sz w:val="18"/>
                <w:szCs w:val="18"/>
                <w:lang w:eastAsia="en-AU"/>
              </w:rPr>
            </w:pPr>
            <w:r w:rsidRPr="0068158E">
              <w:rPr>
                <w:rFonts w:eastAsia="Times New Roman"/>
                <w:color w:val="000000"/>
                <w:sz w:val="18"/>
                <w:szCs w:val="18"/>
                <w:lang w:eastAsia="en-AU"/>
              </w:rPr>
              <w:t>4,673</w:t>
            </w:r>
            <w:r w:rsidR="001626CC">
              <w:rPr>
                <w:rFonts w:eastAsia="Times New Roman"/>
                <w:color w:val="000000"/>
                <w:sz w:val="18"/>
                <w:szCs w:val="18"/>
                <w:lang w:eastAsia="en-AU"/>
              </w:rPr>
              <w:t>.</w:t>
            </w:r>
            <w:r w:rsidRPr="0068158E">
              <w:rPr>
                <w:rFonts w:eastAsia="Times New Roman"/>
                <w:color w:val="000000"/>
                <w:sz w:val="18"/>
                <w:szCs w:val="18"/>
                <w:lang w:eastAsia="en-AU"/>
              </w:rPr>
              <w:t>77</w:t>
            </w:r>
            <w:r w:rsidR="002264BB">
              <w:rPr>
                <w:rFonts w:eastAsia="Times New Roman"/>
                <w:color w:val="000000"/>
                <w:sz w:val="18"/>
                <w:szCs w:val="18"/>
                <w:lang w:eastAsia="en-AU"/>
              </w:rPr>
              <w:t>4</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C367E56" w14:textId="1EF6D646" w:rsidR="005C51C5" w:rsidRPr="00654840" w:rsidRDefault="005C51C5" w:rsidP="005C51C5">
            <w:pPr>
              <w:pStyle w:val="Table"/>
              <w:rPr>
                <w:sz w:val="18"/>
                <w:szCs w:val="18"/>
                <w:lang w:eastAsia="en-AU"/>
              </w:rPr>
            </w:pPr>
            <w:r w:rsidRPr="0068158E">
              <w:rPr>
                <w:rFonts w:eastAsia="Times New Roman"/>
                <w:color w:val="000000"/>
                <w:sz w:val="18"/>
                <w:szCs w:val="18"/>
                <w:lang w:eastAsia="en-AU"/>
              </w:rPr>
              <w:t>78.78</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1999A62" w14:textId="7B2C9A8F" w:rsidR="005C51C5" w:rsidRPr="00654840" w:rsidRDefault="005C51C5" w:rsidP="005C51C5">
            <w:pPr>
              <w:pStyle w:val="Table"/>
              <w:rPr>
                <w:sz w:val="18"/>
                <w:szCs w:val="18"/>
                <w:lang w:eastAsia="en-AU"/>
              </w:rPr>
            </w:pPr>
            <w:r w:rsidRPr="0068158E">
              <w:rPr>
                <w:rFonts w:eastAsia="Times New Roman"/>
                <w:color w:val="000000"/>
                <w:sz w:val="18"/>
                <w:szCs w:val="18"/>
                <w:lang w:eastAsia="en-AU"/>
              </w:rPr>
              <w:t>417</w:t>
            </w:r>
            <w:r w:rsidR="00CE79D4">
              <w:rPr>
                <w:rFonts w:eastAsia="Times New Roman"/>
                <w:color w:val="000000"/>
                <w:sz w:val="18"/>
                <w:szCs w:val="18"/>
                <w:lang w:eastAsia="en-AU"/>
              </w:rPr>
              <w:t>.</w:t>
            </w:r>
            <w:r w:rsidRPr="0068158E">
              <w:rPr>
                <w:rFonts w:eastAsia="Times New Roman"/>
                <w:color w:val="000000"/>
                <w:sz w:val="18"/>
                <w:szCs w:val="18"/>
                <w:lang w:eastAsia="en-AU"/>
              </w:rPr>
              <w:t>49</w:t>
            </w:r>
            <w:r w:rsidR="002264BB">
              <w:rPr>
                <w:rFonts w:eastAsia="Times New Roman"/>
                <w:color w:val="000000"/>
                <w:sz w:val="18"/>
                <w:szCs w:val="18"/>
                <w:lang w:eastAsia="en-AU"/>
              </w:rPr>
              <w:t>9</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CC4863C" w14:textId="1E5374BC" w:rsidR="005C51C5" w:rsidRPr="00654840" w:rsidRDefault="005C51C5" w:rsidP="005C51C5">
            <w:pPr>
              <w:pStyle w:val="Table"/>
              <w:rPr>
                <w:sz w:val="18"/>
                <w:szCs w:val="18"/>
                <w:lang w:eastAsia="en-AU"/>
              </w:rPr>
            </w:pPr>
            <w:r w:rsidRPr="0068158E">
              <w:rPr>
                <w:rFonts w:eastAsia="Times New Roman"/>
                <w:color w:val="000000"/>
                <w:sz w:val="18"/>
                <w:szCs w:val="18"/>
                <w:lang w:eastAsia="en-AU"/>
              </w:rPr>
              <w:t>20.21</w:t>
            </w:r>
          </w:p>
        </w:tc>
      </w:tr>
      <w:tr w:rsidR="005C51C5" w:rsidRPr="00654840" w14:paraId="3CA107EA"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vAlign w:val="center"/>
            <w:hideMark/>
          </w:tcPr>
          <w:p w14:paraId="412675DA" w14:textId="77777777" w:rsidR="005C51C5" w:rsidRPr="00654840" w:rsidRDefault="005C51C5" w:rsidP="005C51C5">
            <w:pPr>
              <w:pStyle w:val="Table-Left"/>
              <w:rPr>
                <w:rStyle w:val="Strong"/>
                <w:sz w:val="18"/>
                <w:szCs w:val="18"/>
              </w:rPr>
            </w:pPr>
            <w:r w:rsidRPr="00654840">
              <w:rPr>
                <w:rStyle w:val="Strong"/>
                <w:sz w:val="18"/>
                <w:szCs w:val="18"/>
              </w:rPr>
              <w:t>Allowed immaterial shortfall</w:t>
            </w:r>
          </w:p>
        </w:tc>
        <w:tc>
          <w:tcPr>
            <w:tcW w:w="1718" w:type="dxa"/>
            <w:tcBorders>
              <w:top w:val="single" w:sz="4" w:space="0" w:color="auto"/>
              <w:left w:val="nil"/>
              <w:bottom w:val="single" w:sz="4" w:space="0" w:color="auto"/>
              <w:right w:val="single" w:sz="4" w:space="0" w:color="auto"/>
            </w:tcBorders>
            <w:vAlign w:val="center"/>
          </w:tcPr>
          <w:p w14:paraId="00BDDB7F" w14:textId="1B12DBC4" w:rsidR="005C51C5" w:rsidRPr="00654840" w:rsidRDefault="005C51C5" w:rsidP="005C51C5">
            <w:pPr>
              <w:pStyle w:val="Table"/>
              <w:rPr>
                <w:sz w:val="18"/>
                <w:szCs w:val="18"/>
                <w:lang w:eastAsia="en-AU"/>
              </w:rPr>
            </w:pPr>
            <w:r w:rsidRPr="0068158E">
              <w:rPr>
                <w:rFonts w:eastAsia="Times New Roman"/>
                <w:color w:val="000000"/>
                <w:sz w:val="18"/>
                <w:szCs w:val="18"/>
                <w:lang w:eastAsia="en-AU"/>
              </w:rPr>
              <w:t>-35</w:t>
            </w:r>
            <w:r w:rsidR="00122A51">
              <w:rPr>
                <w:rFonts w:eastAsia="Times New Roman"/>
                <w:color w:val="000000"/>
                <w:sz w:val="18"/>
                <w:szCs w:val="18"/>
                <w:lang w:eastAsia="en-AU"/>
              </w:rPr>
              <w:t>.</w:t>
            </w:r>
            <w:r w:rsidRPr="0068158E">
              <w:rPr>
                <w:rFonts w:eastAsia="Times New Roman"/>
                <w:color w:val="000000"/>
                <w:sz w:val="18"/>
                <w:szCs w:val="18"/>
                <w:lang w:eastAsia="en-AU"/>
              </w:rPr>
              <w:t>596</w:t>
            </w:r>
          </w:p>
        </w:tc>
        <w:tc>
          <w:tcPr>
            <w:tcW w:w="1502" w:type="dxa"/>
            <w:tcBorders>
              <w:top w:val="single" w:sz="4" w:space="0" w:color="auto"/>
              <w:left w:val="nil"/>
              <w:bottom w:val="single" w:sz="4" w:space="0" w:color="auto"/>
              <w:right w:val="single" w:sz="4" w:space="0" w:color="auto"/>
            </w:tcBorders>
            <w:vAlign w:val="center"/>
          </w:tcPr>
          <w:p w14:paraId="0E9A51A9" w14:textId="02F9CC96" w:rsidR="005C51C5" w:rsidRPr="00654840" w:rsidRDefault="005C51C5" w:rsidP="005C51C5">
            <w:pPr>
              <w:pStyle w:val="Table"/>
              <w:rPr>
                <w:sz w:val="18"/>
                <w:szCs w:val="18"/>
                <w:lang w:eastAsia="en-AU"/>
              </w:rPr>
            </w:pPr>
            <w:r w:rsidRPr="0068158E">
              <w:rPr>
                <w:rFonts w:eastAsia="Times New Roman"/>
                <w:color w:val="000000"/>
                <w:sz w:val="18"/>
                <w:szCs w:val="18"/>
                <w:lang w:eastAsia="en-AU"/>
              </w:rPr>
              <w:t>-0.6</w:t>
            </w:r>
          </w:p>
        </w:tc>
        <w:tc>
          <w:tcPr>
            <w:tcW w:w="1718" w:type="dxa"/>
            <w:tcBorders>
              <w:top w:val="single" w:sz="4" w:space="0" w:color="auto"/>
              <w:left w:val="nil"/>
              <w:bottom w:val="single" w:sz="4" w:space="0" w:color="auto"/>
              <w:right w:val="single" w:sz="4" w:space="0" w:color="auto"/>
            </w:tcBorders>
            <w:vAlign w:val="center"/>
          </w:tcPr>
          <w:p w14:paraId="513B6E8D" w14:textId="4A92A224" w:rsidR="005C51C5" w:rsidRPr="00654840" w:rsidRDefault="005C51C5" w:rsidP="005C51C5">
            <w:pPr>
              <w:pStyle w:val="Table"/>
              <w:rPr>
                <w:sz w:val="18"/>
                <w:szCs w:val="18"/>
                <w:lang w:eastAsia="en-AU"/>
              </w:rPr>
            </w:pPr>
            <w:r w:rsidRPr="0068158E">
              <w:rPr>
                <w:rFonts w:eastAsia="Times New Roman"/>
                <w:color w:val="000000"/>
                <w:sz w:val="18"/>
                <w:szCs w:val="18"/>
                <w:lang w:eastAsia="en-AU"/>
              </w:rPr>
              <w:t>-12</w:t>
            </w:r>
            <w:r w:rsidR="00CE79D4">
              <w:rPr>
                <w:rFonts w:eastAsia="Times New Roman"/>
                <w:color w:val="000000"/>
                <w:sz w:val="18"/>
                <w:szCs w:val="18"/>
                <w:lang w:eastAsia="en-AU"/>
              </w:rPr>
              <w:t>.</w:t>
            </w:r>
            <w:r w:rsidRPr="0068158E">
              <w:rPr>
                <w:rFonts w:eastAsia="Times New Roman"/>
                <w:color w:val="000000"/>
                <w:sz w:val="18"/>
                <w:szCs w:val="18"/>
                <w:lang w:eastAsia="en-AU"/>
              </w:rPr>
              <w:t>393</w:t>
            </w:r>
          </w:p>
        </w:tc>
        <w:tc>
          <w:tcPr>
            <w:tcW w:w="1497" w:type="dxa"/>
            <w:tcBorders>
              <w:top w:val="single" w:sz="4" w:space="0" w:color="auto"/>
              <w:left w:val="nil"/>
              <w:bottom w:val="single" w:sz="4" w:space="0" w:color="auto"/>
              <w:right w:val="single" w:sz="4" w:space="0" w:color="auto"/>
            </w:tcBorders>
            <w:vAlign w:val="center"/>
          </w:tcPr>
          <w:p w14:paraId="700CF85D" w14:textId="2747820A" w:rsidR="005C51C5" w:rsidRPr="00654840" w:rsidRDefault="005C51C5" w:rsidP="005C51C5">
            <w:pPr>
              <w:pStyle w:val="Table"/>
              <w:rPr>
                <w:sz w:val="18"/>
                <w:szCs w:val="18"/>
                <w:lang w:eastAsia="en-AU"/>
              </w:rPr>
            </w:pPr>
            <w:r w:rsidRPr="0068158E">
              <w:rPr>
                <w:rFonts w:eastAsia="Times New Roman"/>
                <w:color w:val="000000"/>
                <w:sz w:val="18"/>
                <w:szCs w:val="18"/>
                <w:lang w:eastAsia="en-AU"/>
              </w:rPr>
              <w:t>-0.6</w:t>
            </w:r>
          </w:p>
        </w:tc>
      </w:tr>
      <w:tr w:rsidR="005C51C5" w:rsidRPr="00654840" w14:paraId="4F00F88D"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8B966DD" w14:textId="77777777" w:rsidR="005C51C5" w:rsidRPr="00654840" w:rsidRDefault="005C51C5" w:rsidP="005C51C5">
            <w:pPr>
              <w:pStyle w:val="Table-Left"/>
              <w:rPr>
                <w:rStyle w:val="Strong"/>
                <w:sz w:val="18"/>
                <w:szCs w:val="18"/>
              </w:rPr>
            </w:pPr>
            <w:r w:rsidRPr="00654840">
              <w:rPr>
                <w:rStyle w:val="Strong"/>
                <w:sz w:val="18"/>
                <w:szCs w:val="18"/>
              </w:rPr>
              <w:t>Utilised immaterial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633259C" w14:textId="7D548083" w:rsidR="005C51C5" w:rsidRPr="00654840" w:rsidRDefault="003A62E6" w:rsidP="005C51C5">
            <w:pPr>
              <w:pStyle w:val="Table"/>
              <w:rPr>
                <w:sz w:val="18"/>
                <w:szCs w:val="18"/>
                <w:lang w:eastAsia="en-AU"/>
              </w:rPr>
            </w:pPr>
            <w:r>
              <w:rPr>
                <w:rFonts w:eastAsia="Times New Roman"/>
                <w:color w:val="000000"/>
                <w:sz w:val="18"/>
                <w:szCs w:val="18"/>
                <w:lang w:eastAsia="en-AU"/>
              </w:rPr>
              <w:t>N/a</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336BB8C" w14:textId="2DD31B5A" w:rsidR="005C51C5" w:rsidRPr="00654840" w:rsidRDefault="003A62E6" w:rsidP="005C51C5">
            <w:pPr>
              <w:pStyle w:val="Table"/>
              <w:rPr>
                <w:sz w:val="18"/>
                <w:szCs w:val="18"/>
                <w:lang w:eastAsia="en-AU"/>
              </w:rPr>
            </w:pPr>
            <w:r>
              <w:rPr>
                <w:rFonts w:eastAsia="Times New Roman"/>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5C5B696" w14:textId="16CD059E" w:rsidR="005C51C5" w:rsidRPr="00654840" w:rsidRDefault="003A62E6" w:rsidP="005C51C5">
            <w:pPr>
              <w:pStyle w:val="Table"/>
              <w:rPr>
                <w:sz w:val="18"/>
                <w:szCs w:val="18"/>
                <w:lang w:eastAsia="en-AU"/>
              </w:rPr>
            </w:pPr>
            <w:r>
              <w:rPr>
                <w:rFonts w:eastAsia="Times New Roman"/>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CFA7255" w14:textId="525D4189" w:rsidR="005C51C5" w:rsidRPr="00654840" w:rsidRDefault="003A62E6" w:rsidP="005C51C5">
            <w:pPr>
              <w:pStyle w:val="Table"/>
              <w:rPr>
                <w:sz w:val="18"/>
                <w:szCs w:val="18"/>
                <w:lang w:eastAsia="en-AU"/>
              </w:rPr>
            </w:pPr>
            <w:r>
              <w:rPr>
                <w:rFonts w:eastAsia="Times New Roman"/>
                <w:color w:val="000000"/>
                <w:sz w:val="18"/>
                <w:szCs w:val="18"/>
                <w:lang w:eastAsia="en-AU"/>
              </w:rPr>
              <w:t>N/a</w:t>
            </w:r>
          </w:p>
        </w:tc>
      </w:tr>
      <w:tr w:rsidR="005C51C5" w:rsidRPr="00654840" w14:paraId="0CEADE74"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vAlign w:val="center"/>
            <w:hideMark/>
          </w:tcPr>
          <w:p w14:paraId="734C129C" w14:textId="77777777" w:rsidR="005C51C5" w:rsidRPr="00654840" w:rsidRDefault="005C51C5" w:rsidP="005C51C5">
            <w:pPr>
              <w:pStyle w:val="Table-Left"/>
              <w:rPr>
                <w:rStyle w:val="Strong"/>
                <w:sz w:val="18"/>
                <w:szCs w:val="18"/>
              </w:rPr>
            </w:pPr>
            <w:r w:rsidRPr="00654840">
              <w:rPr>
                <w:rStyle w:val="Strong"/>
                <w:sz w:val="18"/>
                <w:szCs w:val="18"/>
              </w:rPr>
              <w:t xml:space="preserve">Material shortfall </w:t>
            </w:r>
          </w:p>
        </w:tc>
        <w:tc>
          <w:tcPr>
            <w:tcW w:w="1718" w:type="dxa"/>
            <w:tcBorders>
              <w:top w:val="single" w:sz="4" w:space="0" w:color="auto"/>
              <w:left w:val="nil"/>
              <w:bottom w:val="single" w:sz="4" w:space="0" w:color="auto"/>
              <w:right w:val="single" w:sz="4" w:space="0" w:color="auto"/>
            </w:tcBorders>
            <w:vAlign w:val="center"/>
          </w:tcPr>
          <w:p w14:paraId="4B49891F" w14:textId="5EA7F504" w:rsidR="005C51C5" w:rsidRPr="00654840" w:rsidRDefault="003A62E6" w:rsidP="005C51C5">
            <w:pPr>
              <w:pStyle w:val="Table"/>
              <w:rPr>
                <w:sz w:val="18"/>
                <w:szCs w:val="18"/>
                <w:lang w:eastAsia="en-AU"/>
              </w:rPr>
            </w:pPr>
            <w:r>
              <w:rPr>
                <w:rFonts w:eastAsia="Times New Roman"/>
                <w:color w:val="000000"/>
                <w:sz w:val="18"/>
                <w:szCs w:val="18"/>
                <w:lang w:eastAsia="en-AU"/>
              </w:rPr>
              <w:t>N/a</w:t>
            </w:r>
          </w:p>
        </w:tc>
        <w:tc>
          <w:tcPr>
            <w:tcW w:w="1502" w:type="dxa"/>
            <w:tcBorders>
              <w:top w:val="single" w:sz="4" w:space="0" w:color="auto"/>
              <w:left w:val="nil"/>
              <w:bottom w:val="single" w:sz="4" w:space="0" w:color="auto"/>
              <w:right w:val="single" w:sz="4" w:space="0" w:color="auto"/>
            </w:tcBorders>
            <w:vAlign w:val="center"/>
          </w:tcPr>
          <w:p w14:paraId="5F1E37A9" w14:textId="6C6F88E5" w:rsidR="005C51C5" w:rsidRPr="00654840" w:rsidRDefault="003A62E6" w:rsidP="005C51C5">
            <w:pPr>
              <w:pStyle w:val="Table"/>
              <w:rPr>
                <w:sz w:val="18"/>
                <w:szCs w:val="18"/>
                <w:lang w:eastAsia="en-AU"/>
              </w:rPr>
            </w:pPr>
            <w:r>
              <w:rPr>
                <w:rFonts w:eastAsia="Times New Roman"/>
                <w:color w:val="000000"/>
                <w:sz w:val="18"/>
                <w:szCs w:val="18"/>
                <w:lang w:eastAsia="en-AU"/>
              </w:rPr>
              <w:t>N/a</w:t>
            </w:r>
          </w:p>
        </w:tc>
        <w:tc>
          <w:tcPr>
            <w:tcW w:w="1718" w:type="dxa"/>
            <w:tcBorders>
              <w:top w:val="single" w:sz="4" w:space="0" w:color="auto"/>
              <w:left w:val="nil"/>
              <w:bottom w:val="single" w:sz="4" w:space="0" w:color="auto"/>
              <w:right w:val="single" w:sz="4" w:space="0" w:color="auto"/>
            </w:tcBorders>
            <w:vAlign w:val="center"/>
          </w:tcPr>
          <w:p w14:paraId="254A4096" w14:textId="0DE3AF5B" w:rsidR="005C51C5" w:rsidRPr="00654840" w:rsidRDefault="003A62E6" w:rsidP="005C51C5">
            <w:pPr>
              <w:pStyle w:val="Table"/>
              <w:rPr>
                <w:sz w:val="18"/>
                <w:szCs w:val="18"/>
                <w:lang w:eastAsia="en-AU"/>
              </w:rPr>
            </w:pPr>
            <w:r>
              <w:rPr>
                <w:rFonts w:eastAsia="Times New Roman"/>
                <w:color w:val="000000"/>
                <w:sz w:val="18"/>
                <w:szCs w:val="18"/>
                <w:lang w:eastAsia="en-AU"/>
              </w:rPr>
              <w:t>N/a</w:t>
            </w:r>
          </w:p>
        </w:tc>
        <w:tc>
          <w:tcPr>
            <w:tcW w:w="1497" w:type="dxa"/>
            <w:tcBorders>
              <w:top w:val="single" w:sz="4" w:space="0" w:color="auto"/>
              <w:left w:val="nil"/>
              <w:bottom w:val="single" w:sz="4" w:space="0" w:color="auto"/>
              <w:right w:val="single" w:sz="4" w:space="0" w:color="auto"/>
            </w:tcBorders>
            <w:vAlign w:val="center"/>
          </w:tcPr>
          <w:p w14:paraId="2C9C8D70" w14:textId="72CAFAC4" w:rsidR="005C51C5" w:rsidRPr="00654840" w:rsidRDefault="003A62E6" w:rsidP="005C51C5">
            <w:pPr>
              <w:pStyle w:val="Table"/>
              <w:rPr>
                <w:sz w:val="18"/>
                <w:szCs w:val="18"/>
                <w:lang w:eastAsia="en-AU"/>
              </w:rPr>
            </w:pPr>
            <w:r>
              <w:rPr>
                <w:rFonts w:eastAsia="Times New Roman"/>
                <w:color w:val="000000"/>
                <w:sz w:val="18"/>
                <w:szCs w:val="18"/>
                <w:lang w:eastAsia="en-AU"/>
              </w:rPr>
              <w:t>N/a</w:t>
            </w:r>
          </w:p>
        </w:tc>
      </w:tr>
      <w:tr w:rsidR="005C51C5" w:rsidRPr="00654840" w14:paraId="06826BF0"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8046D8E" w14:textId="00FDF144" w:rsidR="005C51C5" w:rsidRPr="00654840" w:rsidRDefault="005C51C5" w:rsidP="005C51C5">
            <w:pPr>
              <w:pStyle w:val="Table-Left"/>
              <w:rPr>
                <w:rStyle w:val="Strong"/>
                <w:sz w:val="18"/>
                <w:szCs w:val="18"/>
              </w:rPr>
            </w:pPr>
            <w:r w:rsidRPr="00B20F94">
              <w:rPr>
                <w:rFonts w:eastAsia="Times New Roman" w:cs="Calibri"/>
                <w:b/>
                <w:sz w:val="18"/>
                <w:szCs w:val="18"/>
              </w:rPr>
              <w:t>Total Shortfall</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CEB9FE6" w14:textId="3BD58325" w:rsidR="005C51C5" w:rsidRPr="00654840" w:rsidRDefault="003A62E6" w:rsidP="005C51C5">
            <w:pPr>
              <w:pStyle w:val="Table"/>
              <w:rPr>
                <w:sz w:val="18"/>
                <w:szCs w:val="18"/>
                <w:lang w:eastAsia="en-AU"/>
              </w:rPr>
            </w:pPr>
            <w:r>
              <w:rPr>
                <w:rFonts w:eastAsia="Times New Roman"/>
                <w:color w:val="000000"/>
                <w:sz w:val="18"/>
                <w:szCs w:val="18"/>
                <w:lang w:eastAsia="en-AU"/>
              </w:rPr>
              <w:t>N/a</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662270C" w14:textId="0697B6E4" w:rsidR="005C51C5" w:rsidRPr="00654840" w:rsidRDefault="003A62E6" w:rsidP="005C51C5">
            <w:pPr>
              <w:pStyle w:val="Table"/>
              <w:rPr>
                <w:sz w:val="18"/>
                <w:szCs w:val="18"/>
                <w:lang w:eastAsia="en-AU"/>
              </w:rPr>
            </w:pPr>
            <w:r>
              <w:rPr>
                <w:rFonts w:eastAsia="Times New Roman"/>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E80F82A" w14:textId="68137391" w:rsidR="005C51C5" w:rsidRPr="00654840" w:rsidRDefault="003A62E6" w:rsidP="005C51C5">
            <w:pPr>
              <w:pStyle w:val="Table"/>
              <w:rPr>
                <w:sz w:val="18"/>
                <w:szCs w:val="18"/>
                <w:lang w:eastAsia="en-AU"/>
              </w:rPr>
            </w:pPr>
            <w:r>
              <w:rPr>
                <w:rFonts w:eastAsia="Times New Roman"/>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4BD2007" w14:textId="7C52A067" w:rsidR="005C51C5" w:rsidRDefault="003A62E6" w:rsidP="005C51C5">
            <w:pPr>
              <w:pStyle w:val="Table"/>
              <w:rPr>
                <w:sz w:val="18"/>
                <w:szCs w:val="18"/>
                <w:lang w:eastAsia="en-AU"/>
              </w:rPr>
            </w:pPr>
            <w:r>
              <w:rPr>
                <w:rFonts w:eastAsia="Times New Roman"/>
                <w:color w:val="000000"/>
                <w:sz w:val="18"/>
                <w:szCs w:val="18"/>
                <w:lang w:eastAsia="en-AU"/>
              </w:rPr>
              <w:t>N/a</w:t>
            </w:r>
          </w:p>
        </w:tc>
      </w:tr>
      <w:tr w:rsidR="000B5B8F" w:rsidRPr="00654840" w14:paraId="69530972"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vAlign w:val="center"/>
            <w:hideMark/>
          </w:tcPr>
          <w:p w14:paraId="2964B6AC" w14:textId="766320B5" w:rsidR="000B5B8F" w:rsidRPr="00654840" w:rsidRDefault="00C50C1E" w:rsidP="000B5B8F">
            <w:pPr>
              <w:pStyle w:val="Table-Left"/>
              <w:rPr>
                <w:rStyle w:val="Strong"/>
                <w:sz w:val="18"/>
                <w:szCs w:val="18"/>
              </w:rPr>
            </w:pPr>
            <w:r>
              <w:rPr>
                <w:rStyle w:val="Strong"/>
                <w:sz w:val="18"/>
                <w:szCs w:val="18"/>
              </w:rPr>
              <w:t>Cap</w:t>
            </w:r>
            <w:r w:rsidR="000B5B8F" w:rsidRPr="00654840">
              <w:rPr>
                <w:rStyle w:val="Strong"/>
                <w:sz w:val="18"/>
                <w:szCs w:val="18"/>
              </w:rPr>
              <w:t xml:space="preserve"> on inclusions</w:t>
            </w:r>
          </w:p>
        </w:tc>
        <w:tc>
          <w:tcPr>
            <w:tcW w:w="1718" w:type="dxa"/>
            <w:tcBorders>
              <w:top w:val="single" w:sz="4" w:space="0" w:color="auto"/>
              <w:left w:val="nil"/>
              <w:bottom w:val="single" w:sz="4" w:space="0" w:color="auto"/>
              <w:right w:val="single" w:sz="4" w:space="0" w:color="auto"/>
            </w:tcBorders>
            <w:vAlign w:val="center"/>
          </w:tcPr>
          <w:p w14:paraId="226C6E75" w14:textId="6DF8A129" w:rsidR="000B5B8F" w:rsidRPr="00654840" w:rsidRDefault="6FA8A820" w:rsidP="000B5B8F">
            <w:pPr>
              <w:pStyle w:val="Table"/>
              <w:rPr>
                <w:sz w:val="18"/>
                <w:szCs w:val="18"/>
                <w:lang w:eastAsia="en-AU"/>
              </w:rPr>
            </w:pPr>
            <w:r w:rsidRPr="0068158E">
              <w:rPr>
                <w:rFonts w:eastAsia="Times New Roman"/>
                <w:color w:val="000000"/>
                <w:sz w:val="18"/>
                <w:szCs w:val="18"/>
                <w:lang w:eastAsia="en-AU"/>
              </w:rPr>
              <w:t>237</w:t>
            </w:r>
            <w:r w:rsidR="148BC148">
              <w:rPr>
                <w:rFonts w:eastAsia="Times New Roman"/>
                <w:color w:val="000000"/>
                <w:sz w:val="18"/>
                <w:szCs w:val="18"/>
                <w:lang w:eastAsia="en-AU"/>
              </w:rPr>
              <w:t>.</w:t>
            </w:r>
            <w:r w:rsidRPr="0068158E">
              <w:rPr>
                <w:rFonts w:eastAsia="Times New Roman"/>
                <w:color w:val="000000"/>
                <w:sz w:val="18"/>
                <w:szCs w:val="18"/>
                <w:lang w:eastAsia="en-AU"/>
              </w:rPr>
              <w:t>309</w:t>
            </w:r>
            <w:r w:rsidR="000B5B8F" w:rsidRPr="00654840">
              <w:rPr>
                <w:rStyle w:val="FootnoteReference"/>
                <w:sz w:val="18"/>
                <w:szCs w:val="18"/>
                <w:lang w:eastAsia="en-AU"/>
              </w:rPr>
              <w:footnoteReference w:id="19"/>
            </w:r>
          </w:p>
        </w:tc>
        <w:tc>
          <w:tcPr>
            <w:tcW w:w="1502" w:type="dxa"/>
            <w:tcBorders>
              <w:top w:val="single" w:sz="4" w:space="0" w:color="auto"/>
              <w:left w:val="nil"/>
              <w:bottom w:val="single" w:sz="4" w:space="0" w:color="auto"/>
              <w:right w:val="single" w:sz="4" w:space="0" w:color="auto"/>
            </w:tcBorders>
            <w:vAlign w:val="center"/>
          </w:tcPr>
          <w:p w14:paraId="34D6307B" w14:textId="28E3BB4A" w:rsidR="000B5B8F" w:rsidRPr="00654840" w:rsidRDefault="000B5B8F" w:rsidP="000B5B8F">
            <w:pPr>
              <w:pStyle w:val="Table"/>
              <w:rPr>
                <w:sz w:val="18"/>
                <w:szCs w:val="18"/>
                <w:lang w:eastAsia="en-AU"/>
              </w:rPr>
            </w:pPr>
            <w:r w:rsidRPr="0068158E">
              <w:rPr>
                <w:rFonts w:eastAsia="Times New Roman"/>
                <w:color w:val="000000"/>
                <w:sz w:val="18"/>
                <w:szCs w:val="18"/>
                <w:lang w:eastAsia="en-AU"/>
              </w:rPr>
              <w:t>4</w:t>
            </w:r>
            <w:r w:rsidR="002A3B86">
              <w:rPr>
                <w:rFonts w:eastAsia="Times New Roman"/>
                <w:color w:val="000000"/>
                <w:sz w:val="18"/>
                <w:szCs w:val="18"/>
                <w:lang w:eastAsia="en-AU"/>
              </w:rPr>
              <w:t>.0</w:t>
            </w:r>
          </w:p>
        </w:tc>
        <w:tc>
          <w:tcPr>
            <w:tcW w:w="1718" w:type="dxa"/>
            <w:tcBorders>
              <w:top w:val="single" w:sz="4" w:space="0" w:color="auto"/>
              <w:left w:val="nil"/>
              <w:bottom w:val="single" w:sz="4" w:space="0" w:color="auto"/>
              <w:right w:val="single" w:sz="4" w:space="0" w:color="auto"/>
            </w:tcBorders>
            <w:vAlign w:val="center"/>
          </w:tcPr>
          <w:p w14:paraId="180EBE72" w14:textId="430A314B" w:rsidR="000B5B8F" w:rsidRPr="00654840" w:rsidRDefault="003A62E6" w:rsidP="000B5B8F">
            <w:pPr>
              <w:pStyle w:val="Table"/>
              <w:rPr>
                <w:sz w:val="18"/>
                <w:szCs w:val="18"/>
                <w:lang w:eastAsia="en-AU"/>
              </w:rPr>
            </w:pPr>
            <w:r>
              <w:rPr>
                <w:rFonts w:eastAsia="Times New Roman"/>
                <w:color w:val="000000"/>
                <w:sz w:val="18"/>
                <w:szCs w:val="18"/>
                <w:lang w:eastAsia="en-AU"/>
              </w:rPr>
              <w:t>N/a</w:t>
            </w:r>
          </w:p>
        </w:tc>
        <w:tc>
          <w:tcPr>
            <w:tcW w:w="1497" w:type="dxa"/>
            <w:tcBorders>
              <w:top w:val="single" w:sz="4" w:space="0" w:color="auto"/>
              <w:left w:val="nil"/>
              <w:bottom w:val="single" w:sz="4" w:space="0" w:color="auto"/>
              <w:right w:val="single" w:sz="4" w:space="0" w:color="auto"/>
            </w:tcBorders>
            <w:vAlign w:val="center"/>
          </w:tcPr>
          <w:p w14:paraId="08ACD423" w14:textId="01B9E61D" w:rsidR="000B5B8F" w:rsidRPr="00654840" w:rsidRDefault="003A62E6" w:rsidP="000B5B8F">
            <w:pPr>
              <w:pStyle w:val="Table"/>
              <w:rPr>
                <w:sz w:val="18"/>
                <w:szCs w:val="18"/>
                <w:lang w:eastAsia="en-AU"/>
              </w:rPr>
            </w:pPr>
            <w:r>
              <w:rPr>
                <w:rFonts w:eastAsia="Times New Roman"/>
                <w:color w:val="000000"/>
                <w:sz w:val="18"/>
                <w:szCs w:val="18"/>
                <w:lang w:eastAsia="en-AU"/>
              </w:rPr>
              <w:t>N/a</w:t>
            </w:r>
          </w:p>
        </w:tc>
      </w:tr>
      <w:tr w:rsidR="00E40AC4" w:rsidRPr="00654840" w14:paraId="5DFF2283" w14:textId="77777777" w:rsidTr="19505304">
        <w:trPr>
          <w:trHeight w:val="397"/>
        </w:trPr>
        <w:tc>
          <w:tcPr>
            <w:tcW w:w="234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319E463D" w14:textId="77777777" w:rsidR="00E40AC4" w:rsidRPr="00654840" w:rsidRDefault="00E40AC4" w:rsidP="00E40AC4">
            <w:pPr>
              <w:pStyle w:val="Table-Left"/>
              <w:rPr>
                <w:rStyle w:val="Strong"/>
                <w:sz w:val="18"/>
                <w:szCs w:val="18"/>
              </w:rPr>
            </w:pPr>
            <w:r w:rsidRPr="00654840">
              <w:rPr>
                <w:rStyle w:val="Strong"/>
                <w:sz w:val="18"/>
                <w:szCs w:val="18"/>
              </w:rPr>
              <w:t>Regulatory costs</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03ECAB9" w14:textId="7911E1FC" w:rsidR="00E40AC4" w:rsidRPr="00654840" w:rsidRDefault="003A62E6" w:rsidP="00E40AC4">
            <w:pPr>
              <w:pStyle w:val="Table"/>
              <w:rPr>
                <w:sz w:val="18"/>
                <w:szCs w:val="18"/>
                <w:lang w:eastAsia="en-AU"/>
              </w:rPr>
            </w:pPr>
            <w:r>
              <w:rPr>
                <w:rFonts w:eastAsia="Times New Roman"/>
                <w:color w:val="000000"/>
                <w:sz w:val="18"/>
                <w:szCs w:val="18"/>
                <w:lang w:eastAsia="en-AU"/>
              </w:rPr>
              <w:t>N/a</w:t>
            </w:r>
          </w:p>
        </w:tc>
        <w:tc>
          <w:tcPr>
            <w:tcW w:w="1502"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3F417A9" w14:textId="20764448" w:rsidR="00E40AC4" w:rsidRPr="00654840" w:rsidRDefault="003A62E6" w:rsidP="00E40AC4">
            <w:pPr>
              <w:pStyle w:val="Table"/>
              <w:rPr>
                <w:sz w:val="18"/>
                <w:szCs w:val="18"/>
                <w:lang w:eastAsia="en-AU"/>
              </w:rPr>
            </w:pPr>
            <w:r>
              <w:rPr>
                <w:rFonts w:eastAsia="Times New Roman"/>
                <w:color w:val="000000"/>
                <w:sz w:val="18"/>
                <w:szCs w:val="18"/>
                <w:lang w:eastAsia="en-AU"/>
              </w:rPr>
              <w:t>N/a</w:t>
            </w:r>
          </w:p>
        </w:tc>
        <w:tc>
          <w:tcPr>
            <w:tcW w:w="17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63CA349" w14:textId="3E177549" w:rsidR="00E40AC4" w:rsidRPr="00654840" w:rsidRDefault="003A62E6" w:rsidP="00E40AC4">
            <w:pPr>
              <w:pStyle w:val="Table"/>
              <w:rPr>
                <w:sz w:val="18"/>
                <w:szCs w:val="18"/>
                <w:lang w:eastAsia="en-AU"/>
              </w:rPr>
            </w:pPr>
            <w:r>
              <w:rPr>
                <w:rFonts w:eastAsia="Times New Roman"/>
                <w:color w:val="000000"/>
                <w:sz w:val="18"/>
                <w:szCs w:val="18"/>
                <w:lang w:eastAsia="en-AU"/>
              </w:rPr>
              <w:t>N/a</w:t>
            </w:r>
          </w:p>
        </w:tc>
        <w:tc>
          <w:tcPr>
            <w:tcW w:w="149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F50E8C7" w14:textId="74BF6336" w:rsidR="00E40AC4" w:rsidRPr="00654840" w:rsidRDefault="003A62E6" w:rsidP="00E40AC4">
            <w:pPr>
              <w:pStyle w:val="Table"/>
              <w:rPr>
                <w:sz w:val="18"/>
                <w:szCs w:val="18"/>
                <w:lang w:eastAsia="en-AU"/>
              </w:rPr>
            </w:pPr>
            <w:r>
              <w:rPr>
                <w:rFonts w:eastAsia="Times New Roman"/>
                <w:color w:val="000000"/>
                <w:sz w:val="18"/>
                <w:szCs w:val="18"/>
                <w:lang w:eastAsia="en-AU"/>
              </w:rPr>
              <w:t>N/a</w:t>
            </w:r>
          </w:p>
        </w:tc>
      </w:tr>
      <w:bookmarkEnd w:id="528"/>
    </w:tbl>
    <w:p w14:paraId="6C8FF0D6" w14:textId="77777777" w:rsidR="0066078F" w:rsidRPr="00B34487" w:rsidRDefault="0066078F">
      <w:pPr>
        <w:spacing w:before="0" w:after="160"/>
        <w:rPr>
          <w:b/>
          <w:bCs/>
          <w:sz w:val="20"/>
          <w:szCs w:val="20"/>
        </w:rPr>
      </w:pPr>
      <w:r w:rsidRPr="00654840">
        <w:br w:type="page"/>
      </w:r>
    </w:p>
    <w:p w14:paraId="1F53AC00" w14:textId="26CE7BD0" w:rsidR="00C13137" w:rsidRPr="00654840" w:rsidRDefault="00FD205F" w:rsidP="00C13137">
      <w:pPr>
        <w:pStyle w:val="Heading1"/>
      </w:pPr>
      <w:bookmarkStart w:id="532" w:name="_Toc160180123"/>
      <w:bookmarkStart w:id="533" w:name="_Toc210815635"/>
      <w:r>
        <w:lastRenderedPageBreak/>
        <w:t xml:space="preserve">Appendix </w:t>
      </w:r>
      <w:r w:rsidR="00C77BE2">
        <w:t xml:space="preserve">F </w:t>
      </w:r>
      <w:r w:rsidR="00C33EE0">
        <w:t>–</w:t>
      </w:r>
      <w:r w:rsidR="00A41235">
        <w:t xml:space="preserve"> </w:t>
      </w:r>
      <w:r w:rsidR="00C13137">
        <w:t>References</w:t>
      </w:r>
      <w:bookmarkEnd w:id="494"/>
      <w:bookmarkEnd w:id="495"/>
      <w:bookmarkEnd w:id="532"/>
      <w:bookmarkEnd w:id="533"/>
      <w:r w:rsidR="00C13137">
        <w:t xml:space="preserve"> </w:t>
      </w:r>
    </w:p>
    <w:p w14:paraId="70789AF5" w14:textId="335FCE3E" w:rsidR="00083144" w:rsidRPr="00654840" w:rsidRDefault="0015004D" w:rsidP="0015004D">
      <w:pPr>
        <w:pStyle w:val="Normal-AfterTableFigure"/>
      </w:pPr>
      <w:r w:rsidRPr="00654840">
        <w:t xml:space="preserve">Auditing and Assurance Standards Board (2017) </w:t>
      </w:r>
      <w:r w:rsidRPr="00654840">
        <w:rPr>
          <w:i/>
          <w:iCs/>
        </w:rPr>
        <w:t>Standard on Assurance Engagements ASAE 3100 Compliance Engagements</w:t>
      </w:r>
      <w:r w:rsidRPr="00654840">
        <w:t xml:space="preserve"> – ASAE 3100, February 2017, viewed on </w:t>
      </w:r>
      <w:r w:rsidR="00FF3E31">
        <w:t>6 February 2025</w:t>
      </w:r>
      <w:r w:rsidRPr="00654840">
        <w:t xml:space="preserve"> at </w:t>
      </w:r>
      <w:hyperlink r:id="rId57" w:history="1">
        <w:r w:rsidR="00083144" w:rsidRPr="00CB62F0">
          <w:rPr>
            <w:rStyle w:val="Hyperlink"/>
            <w:noProof w:val="0"/>
          </w:rPr>
          <w:t>https://www.auasb.gov.au/admin/file/content102/c3/asae_3100_9-09-08.pdf</w:t>
        </w:r>
      </w:hyperlink>
    </w:p>
    <w:p w14:paraId="2FB20B69" w14:textId="0556D537" w:rsidR="001A1B68" w:rsidRDefault="0056464C" w:rsidP="00D51EED">
      <w:pPr>
        <w:pStyle w:val="FootnoteText"/>
        <w:rPr>
          <w:sz w:val="22"/>
          <w:szCs w:val="22"/>
        </w:rPr>
      </w:pPr>
      <w:r>
        <w:rPr>
          <w:sz w:val="22"/>
          <w:szCs w:val="22"/>
        </w:rPr>
        <w:t>Australian Capital Territory Bilateral Agreement, National School Reform Agreement</w:t>
      </w:r>
      <w:r w:rsidR="008C5A0C">
        <w:rPr>
          <w:sz w:val="22"/>
          <w:szCs w:val="22"/>
        </w:rPr>
        <w:t xml:space="preserve"> (NSRA)</w:t>
      </w:r>
      <w:r>
        <w:rPr>
          <w:sz w:val="22"/>
          <w:szCs w:val="22"/>
        </w:rPr>
        <w:t>, viewed 6 February 2025 at</w:t>
      </w:r>
      <w:r w:rsidR="00461723">
        <w:rPr>
          <w:sz w:val="22"/>
          <w:szCs w:val="22"/>
        </w:rPr>
        <w:t xml:space="preserve"> </w:t>
      </w:r>
      <w:hyperlink r:id="rId58" w:history="1">
        <w:r w:rsidR="001A1B68" w:rsidRPr="00CB62F0">
          <w:rPr>
            <w:rStyle w:val="Hyperlink"/>
            <w:noProof w:val="0"/>
            <w:sz w:val="22"/>
            <w:szCs w:val="22"/>
          </w:rPr>
          <w:t>https://www.education.gov.au/download/4400/australian-capital-territory-bilateral-agreement/30026/australian-capital-territory-bilateral-agreement/pdf</w:t>
        </w:r>
      </w:hyperlink>
    </w:p>
    <w:p w14:paraId="1A26FB0B" w14:textId="5348294A" w:rsidR="00370C86" w:rsidRDefault="00370C86" w:rsidP="00D51EED">
      <w:pPr>
        <w:pStyle w:val="FootnoteText"/>
        <w:rPr>
          <w:sz w:val="22"/>
          <w:szCs w:val="22"/>
        </w:rPr>
      </w:pPr>
      <w:r w:rsidRPr="00370C86">
        <w:rPr>
          <w:sz w:val="22"/>
          <w:szCs w:val="22"/>
        </w:rPr>
        <w:t>Australian Curriculum, Assessment and Reporting Authority</w:t>
      </w:r>
      <w:r>
        <w:rPr>
          <w:sz w:val="22"/>
          <w:szCs w:val="22"/>
        </w:rPr>
        <w:t xml:space="preserve"> (2024),</w:t>
      </w:r>
      <w:r>
        <w:rPr>
          <w:i/>
          <w:iCs/>
          <w:sz w:val="22"/>
          <w:szCs w:val="22"/>
        </w:rPr>
        <w:t xml:space="preserve"> </w:t>
      </w:r>
      <w:r w:rsidR="00D51EED" w:rsidRPr="00D51EED">
        <w:rPr>
          <w:i/>
          <w:iCs/>
          <w:sz w:val="22"/>
          <w:szCs w:val="22"/>
        </w:rPr>
        <w:t xml:space="preserve">Reporting – Key Principles and Methodology </w:t>
      </w:r>
      <w:r w:rsidR="00D34C01" w:rsidRPr="00D51EED">
        <w:rPr>
          <w:i/>
          <w:iCs/>
          <w:sz w:val="22"/>
          <w:szCs w:val="22"/>
        </w:rPr>
        <w:t>202</w:t>
      </w:r>
      <w:r w:rsidR="00D34C01">
        <w:rPr>
          <w:i/>
          <w:iCs/>
          <w:sz w:val="22"/>
          <w:szCs w:val="22"/>
        </w:rPr>
        <w:t>4</w:t>
      </w:r>
      <w:r w:rsidR="00D34C01" w:rsidRPr="00D51EED">
        <w:rPr>
          <w:i/>
          <w:iCs/>
          <w:sz w:val="22"/>
          <w:szCs w:val="22"/>
        </w:rPr>
        <w:t xml:space="preserve"> </w:t>
      </w:r>
      <w:r w:rsidR="00D51EED" w:rsidRPr="00D51EED">
        <w:rPr>
          <w:i/>
          <w:iCs/>
          <w:sz w:val="22"/>
          <w:szCs w:val="22"/>
        </w:rPr>
        <w:t xml:space="preserve">Version </w:t>
      </w:r>
      <w:r w:rsidR="00D34C01">
        <w:rPr>
          <w:i/>
          <w:iCs/>
          <w:sz w:val="22"/>
          <w:szCs w:val="22"/>
        </w:rPr>
        <w:t>8.9</w:t>
      </w:r>
      <w:r w:rsidR="00D51EED" w:rsidRPr="00D51EED">
        <w:rPr>
          <w:i/>
          <w:iCs/>
          <w:sz w:val="22"/>
          <w:szCs w:val="22"/>
        </w:rPr>
        <w:t xml:space="preserve">, </w:t>
      </w:r>
      <w:r w:rsidR="00D51EED" w:rsidRPr="00D51EED">
        <w:rPr>
          <w:sz w:val="22"/>
          <w:szCs w:val="22"/>
        </w:rPr>
        <w:t xml:space="preserve">viewed </w:t>
      </w:r>
      <w:r w:rsidR="00D34C01">
        <w:rPr>
          <w:sz w:val="22"/>
          <w:szCs w:val="22"/>
        </w:rPr>
        <w:t>6 February 2025</w:t>
      </w:r>
      <w:r w:rsidR="00D51EED" w:rsidRPr="00D51EED">
        <w:rPr>
          <w:sz w:val="22"/>
          <w:szCs w:val="22"/>
        </w:rPr>
        <w:t xml:space="preserve"> at </w:t>
      </w:r>
      <w:hyperlink r:id="rId59" w:history="1">
        <w:r w:rsidRPr="00472C79">
          <w:rPr>
            <w:rStyle w:val="Hyperlink"/>
            <w:noProof w:val="0"/>
            <w:sz w:val="22"/>
            <w:szCs w:val="22"/>
          </w:rPr>
          <w:t>https://www.myschool.edu.au/media/1990/my-school-financial-reporting-key-principles-and-methodology-89.pdf</w:t>
        </w:r>
      </w:hyperlink>
    </w:p>
    <w:p w14:paraId="72B2A5AA" w14:textId="387CA1AB" w:rsidR="001F28C4" w:rsidRPr="001F28C4" w:rsidRDefault="001F28C4" w:rsidP="001F28C4">
      <w:pPr>
        <w:pStyle w:val="FootnoteText"/>
        <w:rPr>
          <w:sz w:val="22"/>
          <w:szCs w:val="22"/>
        </w:rPr>
      </w:pPr>
      <w:r w:rsidRPr="001F28C4">
        <w:rPr>
          <w:i/>
          <w:iCs/>
          <w:sz w:val="22"/>
          <w:szCs w:val="22"/>
        </w:rPr>
        <w:t>Australian Education Act 2013</w:t>
      </w:r>
      <w:r w:rsidRPr="001F28C4">
        <w:rPr>
          <w:sz w:val="22"/>
          <w:szCs w:val="22"/>
        </w:rPr>
        <w:t xml:space="preserve"> at</w:t>
      </w:r>
      <w:r>
        <w:rPr>
          <w:sz w:val="22"/>
          <w:szCs w:val="22"/>
        </w:rPr>
        <w:t xml:space="preserve"> </w:t>
      </w:r>
      <w:hyperlink r:id="rId60" w:history="1">
        <w:r w:rsidRPr="0078511C">
          <w:rPr>
            <w:rStyle w:val="Hyperlink"/>
            <w:noProof w:val="0"/>
            <w:sz w:val="22"/>
            <w:szCs w:val="22"/>
          </w:rPr>
          <w:t>https://www8.austlii.edu.au/au/legis/cth/consol_act/aea2013210.rtf</w:t>
        </w:r>
      </w:hyperlink>
    </w:p>
    <w:p w14:paraId="39A6A304" w14:textId="7DB76F5E" w:rsidR="001F28C4" w:rsidRDefault="001F28C4" w:rsidP="001F28C4">
      <w:pPr>
        <w:pStyle w:val="FootnoteText"/>
      </w:pPr>
      <w:r w:rsidRPr="001F28C4">
        <w:rPr>
          <w:i/>
          <w:iCs/>
          <w:sz w:val="22"/>
          <w:szCs w:val="22"/>
        </w:rPr>
        <w:t>Australian Education Regulations 2023</w:t>
      </w:r>
      <w:r w:rsidRPr="001F28C4">
        <w:rPr>
          <w:sz w:val="22"/>
          <w:szCs w:val="22"/>
        </w:rPr>
        <w:t xml:space="preserve"> at </w:t>
      </w:r>
      <w:hyperlink r:id="rId61" w:history="1">
        <w:r w:rsidRPr="001F28C4">
          <w:rPr>
            <w:rStyle w:val="Hyperlink"/>
            <w:noProof w:val="0"/>
            <w:sz w:val="22"/>
            <w:szCs w:val="22"/>
          </w:rPr>
          <w:t>https://classic.austlii.edu.au/cgi-bin/download.cgi/au/legis/cth/consol_reg/aer2023319</w:t>
        </w:r>
      </w:hyperlink>
    </w:p>
    <w:p w14:paraId="664EC46E" w14:textId="65CED685" w:rsidR="00D667D1" w:rsidRPr="00654840" w:rsidRDefault="00E24E70" w:rsidP="00DD0353">
      <w:r w:rsidRPr="00654840">
        <w:t>Australian Government Department of Education</w:t>
      </w:r>
    </w:p>
    <w:p w14:paraId="13F16B5A" w14:textId="1264D26E" w:rsidR="00182DB2" w:rsidRPr="00654840" w:rsidRDefault="14111A07" w:rsidP="3A93DC59">
      <w:pPr>
        <w:pStyle w:val="ListBullet2"/>
        <w:rPr>
          <w:rStyle w:val="Hyperlink"/>
          <w:noProof w:val="0"/>
        </w:rPr>
      </w:pPr>
      <w:r w:rsidRPr="3A93DC59">
        <w:rPr>
          <w:i/>
          <w:iCs/>
        </w:rPr>
        <w:t>Guidance to reporting</w:t>
      </w:r>
      <w:r w:rsidR="477A5ACC" w:rsidRPr="3A93DC59">
        <w:rPr>
          <w:i/>
          <w:iCs/>
        </w:rPr>
        <w:t>: state and territory funding contribution requirements</w:t>
      </w:r>
      <w:r w:rsidR="477A5ACC" w:rsidRPr="3A93DC59">
        <w:t>, viewed</w:t>
      </w:r>
      <w:r w:rsidR="5D88677E" w:rsidRPr="3A93DC59">
        <w:t xml:space="preserve"> 6 February 2025</w:t>
      </w:r>
      <w:r w:rsidR="477A5ACC" w:rsidRPr="3A93DC59">
        <w:t>,</w:t>
      </w:r>
      <w:r w:rsidR="3B007A4C" w:rsidRPr="3A93DC59">
        <w:t xml:space="preserve"> </w:t>
      </w:r>
      <w:hyperlink r:id="rId62">
        <w:r w:rsidR="5D88677E" w:rsidRPr="3A93DC59">
          <w:rPr>
            <w:rStyle w:val="Hyperlink"/>
            <w:noProof w:val="0"/>
          </w:rPr>
          <w:t>https://www.education.gov.au/download/4691/guidance-reporting-state-and-territory-funding-contribution-requirements/37112/guidance-reporting-state-and-territory-funding-contribution-requirements/pdf</w:t>
        </w:r>
      </w:hyperlink>
    </w:p>
    <w:p w14:paraId="27F89F78" w14:textId="573A0413" w:rsidR="009C512C" w:rsidRPr="00654840" w:rsidRDefault="00233593" w:rsidP="00425B4D">
      <w:pPr>
        <w:pStyle w:val="ListBullet2"/>
        <w:rPr>
          <w:rStyle w:val="Hyperlink"/>
          <w:noProof w:val="0"/>
          <w:color w:val="auto"/>
          <w:u w:val="none"/>
        </w:rPr>
      </w:pPr>
      <w:r w:rsidRPr="393D9C9A">
        <w:rPr>
          <w:rStyle w:val="FootnoteTextChar"/>
          <w:i/>
          <w:iCs/>
          <w:sz w:val="22"/>
          <w:szCs w:val="22"/>
        </w:rPr>
        <w:t>The</w:t>
      </w:r>
      <w:r w:rsidRPr="393D9C9A">
        <w:rPr>
          <w:rStyle w:val="Emphasis"/>
        </w:rPr>
        <w:t xml:space="preserve"> </w:t>
      </w:r>
      <w:r w:rsidRPr="393D9C9A" w:rsidDel="008C5A0C">
        <w:rPr>
          <w:rStyle w:val="Emphasis"/>
        </w:rPr>
        <w:t>National School Reform Agreement</w:t>
      </w:r>
      <w:r w:rsidR="00A07892">
        <w:rPr>
          <w:rStyle w:val="Emphasis"/>
        </w:rPr>
        <w:t>,</w:t>
      </w:r>
      <w:r>
        <w:rPr>
          <w:rStyle w:val="Emphasis"/>
        </w:rPr>
        <w:t xml:space="preserve"> </w:t>
      </w:r>
      <w:r w:rsidRPr="393D9C9A">
        <w:rPr>
          <w:rStyle w:val="FootnoteTextChar"/>
          <w:sz w:val="22"/>
          <w:szCs w:val="22"/>
        </w:rPr>
        <w:t xml:space="preserve">viewed on </w:t>
      </w:r>
      <w:r w:rsidR="004B3B40">
        <w:rPr>
          <w:rStyle w:val="FootnoteTextChar"/>
          <w:sz w:val="22"/>
          <w:szCs w:val="22"/>
        </w:rPr>
        <w:t>6 February 2025</w:t>
      </w:r>
      <w:r w:rsidRPr="393D9C9A">
        <w:rPr>
          <w:rStyle w:val="FootnoteTextChar"/>
          <w:sz w:val="22"/>
          <w:szCs w:val="22"/>
        </w:rPr>
        <w:t xml:space="preserve">, </w:t>
      </w:r>
      <w:hyperlink r:id="rId63">
        <w:r w:rsidR="00DF16CD" w:rsidRPr="393D9C9A">
          <w:rPr>
            <w:rStyle w:val="Hyperlink"/>
            <w:noProof w:val="0"/>
          </w:rPr>
          <w:t>https://www.education.gov.au/quality-schools-package/national-school-reform-agreement</w:t>
        </w:r>
      </w:hyperlink>
    </w:p>
    <w:p w14:paraId="7D4D053F" w14:textId="0D46165A" w:rsidR="009258EF" w:rsidRPr="00654840" w:rsidRDefault="009258EF" w:rsidP="001B354C">
      <w:pPr>
        <w:pStyle w:val="FootnoteText"/>
        <w:rPr>
          <w:sz w:val="22"/>
          <w:szCs w:val="22"/>
        </w:rPr>
      </w:pPr>
      <w:r w:rsidRPr="00654840">
        <w:rPr>
          <w:sz w:val="22"/>
          <w:szCs w:val="22"/>
        </w:rPr>
        <w:t xml:space="preserve">Gonski D, Boston K, Greiner K, Lawrence C, Scales B and Tannock P (2011), </w:t>
      </w:r>
      <w:r w:rsidRPr="00654840">
        <w:rPr>
          <w:i/>
          <w:iCs/>
          <w:sz w:val="22"/>
          <w:szCs w:val="22"/>
        </w:rPr>
        <w:t>Review of Funding for Schooling – Final Report,</w:t>
      </w:r>
      <w:r w:rsidRPr="00654840">
        <w:rPr>
          <w:sz w:val="22"/>
          <w:szCs w:val="22"/>
        </w:rPr>
        <w:t xml:space="preserve"> Australian Government Department of Education, Employment and Workplace Relations: Canberra.</w:t>
      </w:r>
    </w:p>
    <w:p w14:paraId="2F905639" w14:textId="5FC1C6CE" w:rsidR="004B3B40" w:rsidRDefault="004B3B40" w:rsidP="004A5E57">
      <w:pPr>
        <w:pStyle w:val="FootnoteText"/>
        <w:rPr>
          <w:sz w:val="22"/>
          <w:szCs w:val="22"/>
        </w:rPr>
      </w:pPr>
      <w:r w:rsidRPr="004B3B40">
        <w:rPr>
          <w:sz w:val="22"/>
          <w:szCs w:val="22"/>
        </w:rPr>
        <w:t xml:space="preserve">National School Resourcing Board, </w:t>
      </w:r>
      <w:r w:rsidRPr="004B3B40">
        <w:rPr>
          <w:i/>
          <w:iCs/>
          <w:sz w:val="22"/>
          <w:szCs w:val="22"/>
        </w:rPr>
        <w:t>Terms of Reference: Review of state and territory compliance with section 22A of the Australian Education Act 2013</w:t>
      </w:r>
      <w:r w:rsidRPr="004B3B40">
        <w:rPr>
          <w:sz w:val="22"/>
          <w:szCs w:val="22"/>
        </w:rPr>
        <w:t xml:space="preserve">, viewed 15 January 2025 at </w:t>
      </w:r>
      <w:hyperlink r:id="rId64" w:history="1">
        <w:r w:rsidRPr="00472C79">
          <w:rPr>
            <w:rStyle w:val="Hyperlink"/>
            <w:noProof w:val="0"/>
            <w:sz w:val="22"/>
            <w:szCs w:val="22"/>
          </w:rPr>
          <w:t>https://www.education.gov.au/national-school-resourcing-board/resources/22a-terms-reference-document</w:t>
        </w:r>
      </w:hyperlink>
    </w:p>
    <w:p w14:paraId="617E5ABE" w14:textId="0A819001" w:rsidR="00B00986" w:rsidRPr="00654840" w:rsidRDefault="00B00986" w:rsidP="004A5E57">
      <w:pPr>
        <w:pStyle w:val="FootnoteText"/>
        <w:rPr>
          <w:sz w:val="22"/>
          <w:szCs w:val="22"/>
        </w:rPr>
      </w:pPr>
      <w:r w:rsidRPr="00654840">
        <w:rPr>
          <w:sz w:val="22"/>
          <w:szCs w:val="22"/>
        </w:rPr>
        <w:t xml:space="preserve">National School Resourcing Board, </w:t>
      </w:r>
      <w:r w:rsidR="00717137">
        <w:rPr>
          <w:sz w:val="22"/>
          <w:szCs w:val="22"/>
        </w:rPr>
        <w:t>2018-</w:t>
      </w:r>
      <w:r w:rsidRPr="00654840">
        <w:rPr>
          <w:sz w:val="22"/>
          <w:szCs w:val="22"/>
        </w:rPr>
        <w:t>202</w:t>
      </w:r>
      <w:r w:rsidR="00717137">
        <w:rPr>
          <w:sz w:val="22"/>
          <w:szCs w:val="22"/>
        </w:rPr>
        <w:t>2</w:t>
      </w:r>
      <w:r w:rsidRPr="00654840">
        <w:rPr>
          <w:sz w:val="22"/>
          <w:szCs w:val="22"/>
        </w:rPr>
        <w:t xml:space="preserve">, </w:t>
      </w:r>
      <w:r w:rsidRPr="00654840">
        <w:rPr>
          <w:i/>
          <w:iCs/>
          <w:sz w:val="22"/>
          <w:szCs w:val="22"/>
        </w:rPr>
        <w:t xml:space="preserve">Annual review of state and territory compliance with section 22A of the Australian Education Act 2013 – 2020 funding year, </w:t>
      </w:r>
      <w:r w:rsidRPr="00654840">
        <w:rPr>
          <w:sz w:val="22"/>
          <w:szCs w:val="22"/>
        </w:rPr>
        <w:t xml:space="preserve">Viewed 13 February 2024 at </w:t>
      </w:r>
      <w:hyperlink r:id="rId65" w:history="1">
        <w:r w:rsidRPr="00654840">
          <w:rPr>
            <w:rStyle w:val="Hyperlink"/>
            <w:noProof w:val="0"/>
            <w:sz w:val="22"/>
            <w:szCs w:val="22"/>
          </w:rPr>
          <w:t>https://www.education.gov.au/national-school-resourcing-board/annual-review-state-and-territory-funding-contributions</w:t>
        </w:r>
      </w:hyperlink>
    </w:p>
    <w:p w14:paraId="3A1723EB" w14:textId="277E22CC" w:rsidR="0015530E" w:rsidRDefault="0015530E" w:rsidP="004A5E57">
      <w:pPr>
        <w:pStyle w:val="FootnoteText"/>
        <w:rPr>
          <w:sz w:val="22"/>
          <w:szCs w:val="22"/>
        </w:rPr>
      </w:pPr>
      <w:r>
        <w:rPr>
          <w:sz w:val="22"/>
          <w:szCs w:val="22"/>
        </w:rPr>
        <w:t xml:space="preserve">New South Wales Bilateral Agreement, </w:t>
      </w:r>
      <w:r w:rsidR="008C5A0C">
        <w:rPr>
          <w:sz w:val="22"/>
          <w:szCs w:val="22"/>
        </w:rPr>
        <w:t>NSRA</w:t>
      </w:r>
      <w:r>
        <w:rPr>
          <w:sz w:val="22"/>
          <w:szCs w:val="22"/>
        </w:rPr>
        <w:t xml:space="preserve">, viewed </w:t>
      </w:r>
      <w:r w:rsidR="00D818DC">
        <w:rPr>
          <w:sz w:val="22"/>
          <w:szCs w:val="22"/>
        </w:rPr>
        <w:t>6 February 2025</w:t>
      </w:r>
      <w:r>
        <w:rPr>
          <w:sz w:val="22"/>
          <w:szCs w:val="22"/>
        </w:rPr>
        <w:t xml:space="preserve"> at</w:t>
      </w:r>
      <w:r>
        <w:rPr>
          <w:sz w:val="22"/>
          <w:szCs w:val="22"/>
        </w:rPr>
        <w:br/>
      </w:r>
      <w:hyperlink r:id="rId66" w:history="1">
        <w:r w:rsidRPr="006A7BE3">
          <w:rPr>
            <w:rStyle w:val="Hyperlink"/>
            <w:noProof w:val="0"/>
            <w:sz w:val="22"/>
            <w:szCs w:val="22"/>
          </w:rPr>
          <w:t>https://www.education.gov.au/download/4346/new-south-wales-bilateral-agreement/23985/new-south-wales-bilateral-agreement/pdf</w:t>
        </w:r>
      </w:hyperlink>
    </w:p>
    <w:p w14:paraId="2E711226" w14:textId="2D09BAEF" w:rsidR="00CD3CAD" w:rsidRDefault="00037F41" w:rsidP="004A5E57">
      <w:pPr>
        <w:pStyle w:val="FootnoteText"/>
        <w:rPr>
          <w:sz w:val="22"/>
          <w:szCs w:val="22"/>
        </w:rPr>
      </w:pPr>
      <w:r w:rsidRPr="00654840">
        <w:rPr>
          <w:sz w:val="22"/>
          <w:szCs w:val="22"/>
        </w:rPr>
        <w:t xml:space="preserve">Northern Territory Bilateral Agreement, </w:t>
      </w:r>
      <w:r w:rsidR="008C5A0C">
        <w:rPr>
          <w:sz w:val="22"/>
          <w:szCs w:val="22"/>
        </w:rPr>
        <w:t>NSRA</w:t>
      </w:r>
      <w:r w:rsidRPr="00654840">
        <w:rPr>
          <w:sz w:val="22"/>
          <w:szCs w:val="22"/>
        </w:rPr>
        <w:t xml:space="preserve">, viewed </w:t>
      </w:r>
      <w:r w:rsidR="00404EF0">
        <w:rPr>
          <w:sz w:val="22"/>
          <w:szCs w:val="22"/>
        </w:rPr>
        <w:t>5 February 2025</w:t>
      </w:r>
      <w:r w:rsidRPr="00654840">
        <w:rPr>
          <w:sz w:val="22"/>
          <w:szCs w:val="22"/>
        </w:rPr>
        <w:t xml:space="preserve"> </w:t>
      </w:r>
      <w:r w:rsidRPr="00C51BA2">
        <w:rPr>
          <w:sz w:val="22"/>
          <w:szCs w:val="22"/>
        </w:rPr>
        <w:t xml:space="preserve">at </w:t>
      </w:r>
      <w:hyperlink r:id="rId67" w:history="1">
        <w:r w:rsidR="00254AC5" w:rsidRPr="004E3BCA">
          <w:rPr>
            <w:rStyle w:val="Hyperlink"/>
            <w:noProof w:val="0"/>
            <w:sz w:val="22"/>
            <w:szCs w:val="22"/>
          </w:rPr>
          <w:t>https://www.education.gov.au/download/4390/northern-territory-bilateral-agreement/30028/northern-territory-bilateral-agreement/pdf</w:t>
        </w:r>
      </w:hyperlink>
    </w:p>
    <w:p w14:paraId="2138FFED" w14:textId="69553FF5" w:rsidR="0015530E" w:rsidRDefault="0015530E" w:rsidP="004A5E57">
      <w:pPr>
        <w:pStyle w:val="FootnoteText"/>
        <w:rPr>
          <w:sz w:val="22"/>
          <w:szCs w:val="22"/>
        </w:rPr>
      </w:pPr>
      <w:r>
        <w:rPr>
          <w:sz w:val="22"/>
          <w:szCs w:val="22"/>
        </w:rPr>
        <w:t xml:space="preserve">Queensland Bilateral Agreement, </w:t>
      </w:r>
      <w:r w:rsidR="008C5A0C">
        <w:rPr>
          <w:sz w:val="22"/>
          <w:szCs w:val="22"/>
        </w:rPr>
        <w:t>NSRA</w:t>
      </w:r>
      <w:r>
        <w:rPr>
          <w:sz w:val="22"/>
          <w:szCs w:val="22"/>
        </w:rPr>
        <w:t xml:space="preserve">, viewed </w:t>
      </w:r>
      <w:r w:rsidR="006C5F4F">
        <w:rPr>
          <w:sz w:val="22"/>
          <w:szCs w:val="22"/>
        </w:rPr>
        <w:t xml:space="preserve">6 </w:t>
      </w:r>
      <w:r w:rsidR="001226A7">
        <w:rPr>
          <w:sz w:val="22"/>
          <w:szCs w:val="22"/>
        </w:rPr>
        <w:t>February</w:t>
      </w:r>
      <w:r w:rsidR="006C5F4F">
        <w:rPr>
          <w:sz w:val="22"/>
          <w:szCs w:val="22"/>
        </w:rPr>
        <w:t xml:space="preserve"> 2025</w:t>
      </w:r>
      <w:r>
        <w:rPr>
          <w:sz w:val="22"/>
          <w:szCs w:val="22"/>
        </w:rPr>
        <w:t xml:space="preserve"> at </w:t>
      </w:r>
      <w:hyperlink r:id="rId68" w:history="1">
        <w:r w:rsidRPr="006A7BE3">
          <w:rPr>
            <w:rStyle w:val="Hyperlink"/>
            <w:noProof w:val="0"/>
            <w:sz w:val="22"/>
            <w:szCs w:val="22"/>
          </w:rPr>
          <w:t>https://www.education.gov.au/download/4409/queensland-bilateral-agreement/22700/queensland-bilateral-agreement/pdf</w:t>
        </w:r>
      </w:hyperlink>
    </w:p>
    <w:p w14:paraId="5E9067D5" w14:textId="068391BE" w:rsidR="0015530E" w:rsidRDefault="0015530E" w:rsidP="004A5E57">
      <w:pPr>
        <w:pStyle w:val="FootnoteText"/>
        <w:rPr>
          <w:sz w:val="22"/>
          <w:szCs w:val="22"/>
        </w:rPr>
      </w:pPr>
      <w:r>
        <w:rPr>
          <w:sz w:val="22"/>
          <w:szCs w:val="22"/>
        </w:rPr>
        <w:lastRenderedPageBreak/>
        <w:t xml:space="preserve">South Australia Bilateral Agreement, </w:t>
      </w:r>
      <w:r w:rsidR="008C5A0C">
        <w:rPr>
          <w:sz w:val="22"/>
          <w:szCs w:val="22"/>
        </w:rPr>
        <w:t>NSRA</w:t>
      </w:r>
      <w:r>
        <w:rPr>
          <w:sz w:val="22"/>
          <w:szCs w:val="22"/>
        </w:rPr>
        <w:t xml:space="preserve">, viewed </w:t>
      </w:r>
      <w:r w:rsidR="00EF67AC">
        <w:rPr>
          <w:sz w:val="22"/>
          <w:szCs w:val="22"/>
        </w:rPr>
        <w:t>6 February 2025</w:t>
      </w:r>
      <w:r>
        <w:rPr>
          <w:sz w:val="22"/>
          <w:szCs w:val="22"/>
        </w:rPr>
        <w:t xml:space="preserve"> at </w:t>
      </w:r>
      <w:hyperlink r:id="rId69" w:history="1">
        <w:r w:rsidRPr="006A7BE3">
          <w:rPr>
            <w:rStyle w:val="Hyperlink"/>
            <w:noProof w:val="0"/>
            <w:sz w:val="22"/>
            <w:szCs w:val="22"/>
          </w:rPr>
          <w:t>https://www.education.gov.au/download/4341/south-australia-bilateral-agreement/30030/south-australia-bilateral-agreement/pdf</w:t>
        </w:r>
      </w:hyperlink>
    </w:p>
    <w:p w14:paraId="1F396477" w14:textId="007AE38B" w:rsidR="0015530E" w:rsidRDefault="0015530E" w:rsidP="004A5E57">
      <w:pPr>
        <w:pStyle w:val="FootnoteText"/>
        <w:rPr>
          <w:sz w:val="22"/>
          <w:szCs w:val="22"/>
        </w:rPr>
      </w:pPr>
      <w:r>
        <w:rPr>
          <w:sz w:val="22"/>
          <w:szCs w:val="22"/>
        </w:rPr>
        <w:t xml:space="preserve">Tasmania Bilateral Agreement, </w:t>
      </w:r>
      <w:r w:rsidR="008C5A0C">
        <w:rPr>
          <w:sz w:val="22"/>
          <w:szCs w:val="22"/>
        </w:rPr>
        <w:t>NSRA</w:t>
      </w:r>
      <w:r>
        <w:rPr>
          <w:sz w:val="22"/>
          <w:szCs w:val="22"/>
        </w:rPr>
        <w:t xml:space="preserve">, viewed </w:t>
      </w:r>
      <w:r w:rsidR="006B560D">
        <w:rPr>
          <w:sz w:val="22"/>
          <w:szCs w:val="22"/>
        </w:rPr>
        <w:t>6 February 2025</w:t>
      </w:r>
      <w:r>
        <w:rPr>
          <w:sz w:val="22"/>
          <w:szCs w:val="22"/>
        </w:rPr>
        <w:t xml:space="preserve"> at  </w:t>
      </w:r>
      <w:hyperlink r:id="rId70" w:history="1">
        <w:r w:rsidR="00FB360E" w:rsidRPr="006A7BE3">
          <w:rPr>
            <w:rStyle w:val="Hyperlink"/>
            <w:noProof w:val="0"/>
            <w:sz w:val="22"/>
            <w:szCs w:val="22"/>
          </w:rPr>
          <w:t>https://www.education.gov.au/download/4391/tasmania-bilateral-agreement/30032/tasmania-bilateral-agreement/pdf</w:t>
        </w:r>
      </w:hyperlink>
    </w:p>
    <w:p w14:paraId="0A3B25F9" w14:textId="057803D9" w:rsidR="00FB360E" w:rsidRDefault="00FB360E" w:rsidP="004A5E57">
      <w:pPr>
        <w:pStyle w:val="FootnoteText"/>
        <w:rPr>
          <w:sz w:val="22"/>
          <w:szCs w:val="22"/>
        </w:rPr>
      </w:pPr>
      <w:r>
        <w:rPr>
          <w:sz w:val="22"/>
          <w:szCs w:val="22"/>
        </w:rPr>
        <w:t xml:space="preserve">Victoria Bilateral Agreement, </w:t>
      </w:r>
      <w:r w:rsidR="008C5A0C">
        <w:rPr>
          <w:sz w:val="22"/>
          <w:szCs w:val="22"/>
        </w:rPr>
        <w:t>NSRA</w:t>
      </w:r>
      <w:r>
        <w:rPr>
          <w:sz w:val="22"/>
          <w:szCs w:val="22"/>
        </w:rPr>
        <w:t xml:space="preserve">, viewed </w:t>
      </w:r>
      <w:r w:rsidR="00DA1B95">
        <w:rPr>
          <w:sz w:val="22"/>
          <w:szCs w:val="22"/>
        </w:rPr>
        <w:t>6 February 2025</w:t>
      </w:r>
      <w:r>
        <w:rPr>
          <w:sz w:val="22"/>
          <w:szCs w:val="22"/>
        </w:rPr>
        <w:t xml:space="preserve"> at </w:t>
      </w:r>
      <w:hyperlink r:id="rId71" w:history="1">
        <w:r w:rsidRPr="006A7BE3">
          <w:rPr>
            <w:rStyle w:val="Hyperlink"/>
            <w:noProof w:val="0"/>
            <w:sz w:val="22"/>
            <w:szCs w:val="22"/>
          </w:rPr>
          <w:t>https://www.education.gov.au/download/4413/victoria-bilateral-agreement/28366/victoria-bilateral-agreement/pdf</w:t>
        </w:r>
      </w:hyperlink>
    </w:p>
    <w:p w14:paraId="25502E93" w14:textId="68383FB9" w:rsidR="00FB360E" w:rsidRDefault="00FB360E" w:rsidP="004A5E57">
      <w:pPr>
        <w:pStyle w:val="FootnoteText"/>
        <w:rPr>
          <w:sz w:val="22"/>
          <w:szCs w:val="22"/>
        </w:rPr>
      </w:pPr>
      <w:r>
        <w:rPr>
          <w:sz w:val="22"/>
          <w:szCs w:val="22"/>
        </w:rPr>
        <w:t xml:space="preserve">Western Australia Bilateral Agreement, </w:t>
      </w:r>
      <w:r w:rsidR="008C5A0C">
        <w:rPr>
          <w:sz w:val="22"/>
          <w:szCs w:val="22"/>
        </w:rPr>
        <w:t>NSRA</w:t>
      </w:r>
      <w:r>
        <w:rPr>
          <w:sz w:val="22"/>
          <w:szCs w:val="22"/>
        </w:rPr>
        <w:t xml:space="preserve">, viewed </w:t>
      </w:r>
      <w:r w:rsidR="004B41B9">
        <w:rPr>
          <w:sz w:val="22"/>
          <w:szCs w:val="22"/>
        </w:rPr>
        <w:t>6 February 2025</w:t>
      </w:r>
      <w:r>
        <w:rPr>
          <w:sz w:val="22"/>
          <w:szCs w:val="22"/>
        </w:rPr>
        <w:t xml:space="preserve"> </w:t>
      </w:r>
      <w:r w:rsidRPr="00A876E7">
        <w:rPr>
          <w:sz w:val="22"/>
          <w:szCs w:val="22"/>
        </w:rPr>
        <w:t xml:space="preserve">at </w:t>
      </w:r>
      <w:hyperlink r:id="rId72" w:history="1">
        <w:r w:rsidR="000508E2" w:rsidRPr="004A610E">
          <w:rPr>
            <w:rStyle w:val="Hyperlink"/>
            <w:noProof w:val="0"/>
            <w:sz w:val="22"/>
            <w:szCs w:val="22"/>
          </w:rPr>
          <w:t>https://www.education.gov.au/download/4379/western-australia-bilateral-agreement/30034/western-australia-bilateral-agreement/pdf</w:t>
        </w:r>
      </w:hyperlink>
    </w:p>
    <w:sectPr w:rsidR="00FB360E" w:rsidSect="00586AFB">
      <w:pgSz w:w="11906" w:h="16838"/>
      <w:pgMar w:top="1134" w:right="1418" w:bottom="1701" w:left="1418" w:header="680"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51F5F" w14:textId="77777777" w:rsidR="009B71F9" w:rsidRDefault="009B71F9" w:rsidP="00EE7FDA">
      <w:pPr>
        <w:spacing w:line="240" w:lineRule="auto"/>
      </w:pPr>
      <w:r>
        <w:separator/>
      </w:r>
    </w:p>
  </w:endnote>
  <w:endnote w:type="continuationSeparator" w:id="0">
    <w:p w14:paraId="568C5397" w14:textId="77777777" w:rsidR="009B71F9" w:rsidRDefault="009B71F9" w:rsidP="00EE7FDA">
      <w:pPr>
        <w:spacing w:line="240" w:lineRule="auto"/>
      </w:pPr>
      <w:r>
        <w:continuationSeparator/>
      </w:r>
    </w:p>
  </w:endnote>
  <w:endnote w:type="continuationNotice" w:id="1">
    <w:p w14:paraId="34EE8319" w14:textId="77777777" w:rsidR="009B71F9" w:rsidRDefault="009B71F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altName w:val="Webdings"/>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B69E" w14:textId="6125833F" w:rsidR="008A1A6D" w:rsidRDefault="00000000" w:rsidP="00FD4306">
    <w:pPr>
      <w:pStyle w:val="Footer"/>
    </w:pPr>
    <w:sdt>
      <w:sdtPr>
        <w:id w:val="-1028868187"/>
        <w:placeholder>
          <w:docPart w:val="DefaultPlaceholder_1081868574"/>
        </w:placeholder>
        <w:docPartObj>
          <w:docPartGallery w:val="Page Numbers (Bottom of Page)"/>
          <w:docPartUnique/>
        </w:docPartObj>
      </w:sdtPr>
      <w:sdtEndPr>
        <w:rPr>
          <w:noProof/>
        </w:rPr>
      </w:sdtEndPr>
      <w:sdtContent>
        <w:r w:rsidR="008A1A6D">
          <w:fldChar w:fldCharType="begin"/>
        </w:r>
        <w:r w:rsidR="008A1A6D">
          <w:instrText xml:space="preserve"> PAGE   \* MERGEFORMAT </w:instrText>
        </w:r>
        <w:r w:rsidR="008A1A6D">
          <w:fldChar w:fldCharType="separate"/>
        </w:r>
        <w:r w:rsidR="008A1A6D">
          <w:rPr>
            <w:noProof/>
          </w:rPr>
          <w:t>4</w:t>
        </w:r>
        <w:r w:rsidR="008A1A6D">
          <w:rPr>
            <w:noProof/>
          </w:rPr>
          <w:fldChar w:fldCharType="end"/>
        </w:r>
      </w:sdtContent>
    </w:sdt>
  </w:p>
  <w:p w14:paraId="3F2FBA5E" w14:textId="77777777" w:rsidR="008A1A6D" w:rsidRPr="006103B1" w:rsidRDefault="008A1A6D" w:rsidP="00610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1D7CF" w14:textId="5AD550FE" w:rsidR="008A1A6D" w:rsidRDefault="008A1A6D">
    <w:pPr>
      <w:pStyle w:val="Footer"/>
    </w:pPr>
    <w:r>
      <w:rPr>
        <w:noProof/>
        <w:lang w:eastAsia="en-AU"/>
      </w:rPr>
      <w:drawing>
        <wp:anchor distT="0" distB="0" distL="114300" distR="114300" simplePos="0" relativeHeight="251658240" behindDoc="1" locked="0" layoutInCell="1" allowOverlap="1" wp14:anchorId="3B70871D" wp14:editId="66FC4A43">
          <wp:simplePos x="0" y="0"/>
          <wp:positionH relativeFrom="page">
            <wp:posOffset>0</wp:posOffset>
          </wp:positionH>
          <wp:positionV relativeFrom="page">
            <wp:posOffset>9926733</wp:posOffset>
          </wp:positionV>
          <wp:extent cx="7790400" cy="734400"/>
          <wp:effectExtent l="0" t="0" r="1270" b="8890"/>
          <wp:wrapNone/>
          <wp:docPr id="389768109" name="Picture 38976810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0400" cy="734400"/>
                  </a:xfrm>
                  <a:prstGeom prst="rect">
                    <a:avLst/>
                  </a:prstGeom>
                </pic:spPr>
              </pic:pic>
            </a:graphicData>
          </a:graphic>
          <wp14:sizeRelH relativeFrom="page">
            <wp14:pctWidth>0</wp14:pctWidth>
          </wp14:sizeRelH>
          <wp14:sizeRelV relativeFrom="page">
            <wp14:pctHeight>0</wp14:pctHeight>
          </wp14:sizeRelV>
        </wp:anchor>
      </w:drawing>
    </w:r>
  </w:p>
  <w:p w14:paraId="68D0E0DC" w14:textId="77777777" w:rsidR="008A1A6D" w:rsidRPr="002D5A68" w:rsidRDefault="008A1A6D" w:rsidP="002D5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4576" w14:textId="77777777" w:rsidR="008A1A6D" w:rsidRDefault="008A1A6D">
    <w:pPr>
      <w:pStyle w:val="Footer"/>
    </w:pPr>
    <w:r>
      <w:rPr>
        <w:noProof/>
        <w:lang w:eastAsia="en-AU"/>
      </w:rPr>
      <w:drawing>
        <wp:anchor distT="0" distB="0" distL="114300" distR="114300" simplePos="0" relativeHeight="251658241" behindDoc="1" locked="0" layoutInCell="1" allowOverlap="1" wp14:anchorId="77B9C74D" wp14:editId="2D1FC272">
          <wp:simplePos x="0" y="0"/>
          <wp:positionH relativeFrom="page">
            <wp:posOffset>10160</wp:posOffset>
          </wp:positionH>
          <wp:positionV relativeFrom="page">
            <wp:posOffset>9926733</wp:posOffset>
          </wp:positionV>
          <wp:extent cx="7790400" cy="734400"/>
          <wp:effectExtent l="0" t="0" r="1270" b="8890"/>
          <wp:wrapNone/>
          <wp:docPr id="583335526" name="Picture 58333552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0400" cy="734400"/>
                  </a:xfrm>
                  <a:prstGeom prst="rect">
                    <a:avLst/>
                  </a:prstGeom>
                </pic:spPr>
              </pic:pic>
            </a:graphicData>
          </a:graphic>
          <wp14:sizeRelH relativeFrom="page">
            <wp14:pctWidth>0</wp14:pctWidth>
          </wp14:sizeRelH>
          <wp14:sizeRelV relativeFrom="page">
            <wp14:pctHeight>0</wp14:pctHeight>
          </wp14:sizeRelV>
        </wp:anchor>
      </w:drawing>
    </w:r>
  </w:p>
  <w:p w14:paraId="5FAEA9AA" w14:textId="77777777" w:rsidR="008A1A6D" w:rsidRPr="006103B1" w:rsidRDefault="008A1A6D" w:rsidP="006103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F7B3" w14:textId="77777777" w:rsidR="008A1A6D" w:rsidRDefault="008A1A6D">
    <w:pPr>
      <w:pStyle w:val="Footer"/>
    </w:pPr>
  </w:p>
  <w:p w14:paraId="07595F54" w14:textId="77777777" w:rsidR="008A1A6D" w:rsidRPr="002D5A68" w:rsidRDefault="008A1A6D" w:rsidP="002D5A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D8A4" w14:textId="2DB23344" w:rsidR="008A1A6D" w:rsidRDefault="008A1A6D">
    <w:pPr>
      <w:pStyle w:val="Footer"/>
    </w:pPr>
    <w:r>
      <w:fldChar w:fldCharType="begin"/>
    </w:r>
    <w:r>
      <w:instrText xml:space="preserve"> PAGE   \* MERGEFORMAT </w:instrText>
    </w:r>
    <w:r>
      <w:fldChar w:fldCharType="separate"/>
    </w:r>
    <w:r>
      <w:rPr>
        <w:noProof/>
      </w:rPr>
      <w:t>2</w:t>
    </w:r>
    <w:r>
      <w:rPr>
        <w:noProof/>
      </w:rPr>
      <w:fldChar w:fldCharType="end"/>
    </w:r>
  </w:p>
  <w:p w14:paraId="600FFBD2" w14:textId="77777777" w:rsidR="008A1A6D" w:rsidRPr="006103B1" w:rsidRDefault="008A1A6D" w:rsidP="006103B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362920"/>
      <w:docPartObj>
        <w:docPartGallery w:val="Page Numbers (Bottom of Page)"/>
        <w:docPartUnique/>
      </w:docPartObj>
    </w:sdtPr>
    <w:sdtEndPr>
      <w:rPr>
        <w:color w:val="auto"/>
        <w:sz w:val="24"/>
        <w:szCs w:val="24"/>
      </w:rPr>
    </w:sdtEndPr>
    <w:sdtContent>
      <w:p w14:paraId="0262B1FD" w14:textId="6F7ECF11" w:rsidR="008A1A6D" w:rsidRPr="00224536" w:rsidRDefault="008A1A6D">
        <w:pPr>
          <w:pStyle w:val="Footer"/>
          <w:rPr>
            <w:color w:val="auto"/>
            <w:sz w:val="24"/>
            <w:szCs w:val="24"/>
          </w:rPr>
        </w:pPr>
        <w:r w:rsidRPr="00224536">
          <w:rPr>
            <w:color w:val="auto"/>
            <w:sz w:val="24"/>
            <w:szCs w:val="24"/>
          </w:rPr>
          <w:fldChar w:fldCharType="begin"/>
        </w:r>
        <w:r>
          <w:instrText xml:space="preserve"> PAGE   \* MERGEFORMAT </w:instrText>
        </w:r>
        <w:r w:rsidRPr="00224536">
          <w:rPr>
            <w:color w:val="auto"/>
            <w:sz w:val="24"/>
            <w:szCs w:val="24"/>
          </w:rPr>
          <w:fldChar w:fldCharType="separate"/>
        </w:r>
        <w:r>
          <w:t>2</w:t>
        </w:r>
        <w:r w:rsidRPr="00224536">
          <w:rPr>
            <w:color w:val="auto"/>
            <w:sz w:val="24"/>
            <w:szCs w:val="24"/>
          </w:rPr>
          <w:fldChar w:fldCharType="end"/>
        </w:r>
      </w:p>
    </w:sdtContent>
  </w:sdt>
  <w:p w14:paraId="170AFB52" w14:textId="3C47157E" w:rsidR="008A1A6D" w:rsidRPr="002D5A68" w:rsidRDefault="008A1A6D" w:rsidP="002D5A68">
    <w:pPr>
      <w:pStyle w:val="Footer"/>
    </w:pPr>
    <w:r>
      <w:rPr>
        <w:noProof/>
        <w:lang w:eastAsia="en-AU"/>
      </w:rPr>
      <w:drawing>
        <wp:anchor distT="0" distB="0" distL="114300" distR="114300" simplePos="0" relativeHeight="251658242" behindDoc="1" locked="1" layoutInCell="1" allowOverlap="1" wp14:anchorId="57715DDA" wp14:editId="21763F3C">
          <wp:simplePos x="0" y="0"/>
          <wp:positionH relativeFrom="page">
            <wp:align>right</wp:align>
          </wp:positionH>
          <wp:positionV relativeFrom="page">
            <wp:posOffset>9928225</wp:posOffset>
          </wp:positionV>
          <wp:extent cx="7539990" cy="763905"/>
          <wp:effectExtent l="0" t="0" r="3810" b="0"/>
          <wp:wrapNone/>
          <wp:docPr id="378420543" name="Picture 37842054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rotWithShape="1">
                  <a:blip r:embed="rId1">
                    <a:extLst>
                      <a:ext uri="{28A0092B-C50C-407E-A947-70E740481C1C}">
                        <a14:useLocalDpi xmlns:a14="http://schemas.microsoft.com/office/drawing/2010/main" val="0"/>
                      </a:ext>
                    </a:extLst>
                  </a:blip>
                  <a:srcRect b="13595"/>
                  <a:stretch/>
                </pic:blipFill>
                <pic:spPr bwMode="auto">
                  <a:xfrm>
                    <a:off x="0" y="0"/>
                    <a:ext cx="7539990" cy="763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084787"/>
      <w:docPartObj>
        <w:docPartGallery w:val="Page Numbers (Bottom of Page)"/>
        <w:docPartUnique/>
      </w:docPartObj>
    </w:sdtPr>
    <w:sdtEndPr>
      <w:rPr>
        <w:color w:val="auto"/>
        <w:sz w:val="24"/>
        <w:szCs w:val="24"/>
      </w:rPr>
    </w:sdtEndPr>
    <w:sdtContent>
      <w:p w14:paraId="305A3026" w14:textId="03233716" w:rsidR="00DF260E" w:rsidRPr="00224536" w:rsidRDefault="00DF260E">
        <w:pPr>
          <w:pStyle w:val="Footer"/>
          <w:rPr>
            <w:color w:val="auto"/>
            <w:sz w:val="24"/>
            <w:szCs w:val="24"/>
          </w:rPr>
        </w:pPr>
        <w:r w:rsidRPr="00224536">
          <w:rPr>
            <w:color w:val="auto"/>
            <w:sz w:val="24"/>
            <w:szCs w:val="24"/>
          </w:rPr>
          <w:fldChar w:fldCharType="begin"/>
        </w:r>
        <w:r>
          <w:instrText xml:space="preserve"> PAGE   \* MERGEFORMAT </w:instrText>
        </w:r>
        <w:r w:rsidRPr="00224536">
          <w:rPr>
            <w:color w:val="auto"/>
            <w:sz w:val="24"/>
            <w:szCs w:val="24"/>
          </w:rPr>
          <w:fldChar w:fldCharType="separate"/>
        </w:r>
        <w:r>
          <w:t>2</w:t>
        </w:r>
        <w:r w:rsidRPr="00224536">
          <w:rPr>
            <w:color w:val="auto"/>
            <w:sz w:val="24"/>
            <w:szCs w:val="24"/>
          </w:rPr>
          <w:fldChar w:fldCharType="end"/>
        </w:r>
      </w:p>
    </w:sdtContent>
  </w:sdt>
  <w:p w14:paraId="0EF5F98D" w14:textId="51935C21" w:rsidR="00DF260E" w:rsidRPr="002D5A68" w:rsidRDefault="00DF260E" w:rsidP="002D5A68">
    <w:pPr>
      <w:pStyle w:val="Footer"/>
    </w:pPr>
    <w:r>
      <w:rPr>
        <w:noProof/>
        <w:lang w:eastAsia="en-AU"/>
      </w:rPr>
      <w:drawing>
        <wp:anchor distT="0" distB="0" distL="114300" distR="114300" simplePos="0" relativeHeight="251658243" behindDoc="1" locked="1" layoutInCell="1" allowOverlap="1" wp14:anchorId="0D733E3D" wp14:editId="19275D7D">
          <wp:simplePos x="0" y="0"/>
          <wp:positionH relativeFrom="page">
            <wp:align>right</wp:align>
          </wp:positionH>
          <wp:positionV relativeFrom="page">
            <wp:posOffset>9928225</wp:posOffset>
          </wp:positionV>
          <wp:extent cx="7539990" cy="763905"/>
          <wp:effectExtent l="0" t="0" r="3810" b="0"/>
          <wp:wrapNone/>
          <wp:docPr id="558088316" name="Picture 55808831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rotWithShape="1">
                  <a:blip r:embed="rId1">
                    <a:extLst>
                      <a:ext uri="{28A0092B-C50C-407E-A947-70E740481C1C}">
                        <a14:useLocalDpi xmlns:a14="http://schemas.microsoft.com/office/drawing/2010/main" val="0"/>
                      </a:ext>
                    </a:extLst>
                  </a:blip>
                  <a:srcRect b="13595"/>
                  <a:stretch/>
                </pic:blipFill>
                <pic:spPr bwMode="auto">
                  <a:xfrm>
                    <a:off x="0" y="0"/>
                    <a:ext cx="7539990" cy="763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664240"/>
      <w:docPartObj>
        <w:docPartGallery w:val="Page Numbers (Bottom of Page)"/>
        <w:docPartUnique/>
      </w:docPartObj>
    </w:sdtPr>
    <w:sdtEndPr>
      <w:rPr>
        <w:sz w:val="24"/>
        <w:szCs w:val="24"/>
      </w:rPr>
    </w:sdtEndPr>
    <w:sdtContent>
      <w:p w14:paraId="2D7F96A6" w14:textId="77777777" w:rsidR="00DF260E" w:rsidRPr="00DF260E" w:rsidRDefault="00DF260E">
        <w:pPr>
          <w:pStyle w:val="Footer"/>
          <w:rPr>
            <w:sz w:val="24"/>
            <w:szCs w:val="24"/>
          </w:rPr>
        </w:pPr>
        <w:r w:rsidRPr="00DF260E">
          <w:rPr>
            <w:sz w:val="24"/>
            <w:szCs w:val="24"/>
          </w:rPr>
          <w:fldChar w:fldCharType="begin"/>
        </w:r>
        <w:r w:rsidRPr="00DF260E">
          <w:instrText xml:space="preserve"> PAGE   \* MERGEFORMAT </w:instrText>
        </w:r>
        <w:r w:rsidRPr="00DF260E">
          <w:rPr>
            <w:sz w:val="24"/>
            <w:szCs w:val="24"/>
          </w:rPr>
          <w:fldChar w:fldCharType="separate"/>
        </w:r>
        <w:r w:rsidRPr="00DF260E">
          <w:t>2</w:t>
        </w:r>
        <w:r w:rsidRPr="00DF260E">
          <w:rPr>
            <w:sz w:val="24"/>
            <w:szCs w:val="24"/>
          </w:rPr>
          <w:fldChar w:fldCharType="end"/>
        </w:r>
      </w:p>
    </w:sdtContent>
  </w:sdt>
  <w:p w14:paraId="12C31947" w14:textId="77777777" w:rsidR="00DF260E" w:rsidRPr="002D5A68" w:rsidRDefault="00DF260E" w:rsidP="002D5A68">
    <w:pPr>
      <w:pStyle w:val="Footer"/>
    </w:pPr>
    <w:r>
      <w:rPr>
        <w:noProof/>
        <w:lang w:eastAsia="en-AU"/>
      </w:rPr>
      <w:drawing>
        <wp:anchor distT="0" distB="0" distL="114300" distR="114300" simplePos="0" relativeHeight="251658244" behindDoc="1" locked="1" layoutInCell="1" allowOverlap="1" wp14:anchorId="61AD6A65" wp14:editId="54D787F8">
          <wp:simplePos x="0" y="0"/>
          <wp:positionH relativeFrom="page">
            <wp:align>right</wp:align>
          </wp:positionH>
          <wp:positionV relativeFrom="page">
            <wp:posOffset>9928225</wp:posOffset>
          </wp:positionV>
          <wp:extent cx="7539990" cy="763905"/>
          <wp:effectExtent l="0" t="0" r="3810" b="0"/>
          <wp:wrapNone/>
          <wp:docPr id="540336491" name="Picture 54033649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rotWithShape="1">
                  <a:blip r:embed="rId1">
                    <a:extLst>
                      <a:ext uri="{28A0092B-C50C-407E-A947-70E740481C1C}">
                        <a14:useLocalDpi xmlns:a14="http://schemas.microsoft.com/office/drawing/2010/main" val="0"/>
                      </a:ext>
                    </a:extLst>
                  </a:blip>
                  <a:srcRect b="13595"/>
                  <a:stretch/>
                </pic:blipFill>
                <pic:spPr bwMode="auto">
                  <a:xfrm>
                    <a:off x="0" y="0"/>
                    <a:ext cx="7539990" cy="763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F97A4" w14:textId="77777777" w:rsidR="009B71F9" w:rsidRDefault="009B71F9" w:rsidP="00F11EC1">
      <w:pPr>
        <w:spacing w:line="240" w:lineRule="auto"/>
      </w:pPr>
      <w:r>
        <w:separator/>
      </w:r>
    </w:p>
  </w:footnote>
  <w:footnote w:type="continuationSeparator" w:id="0">
    <w:p w14:paraId="57C6BF2E" w14:textId="77777777" w:rsidR="009B71F9" w:rsidRDefault="009B71F9" w:rsidP="00EE7FDA">
      <w:pPr>
        <w:spacing w:line="240" w:lineRule="auto"/>
      </w:pPr>
      <w:r>
        <w:continuationSeparator/>
      </w:r>
    </w:p>
  </w:footnote>
  <w:footnote w:type="continuationNotice" w:id="1">
    <w:p w14:paraId="07B062F7" w14:textId="77777777" w:rsidR="009B71F9" w:rsidRDefault="009B71F9">
      <w:pPr>
        <w:spacing w:before="0" w:after="0" w:line="240" w:lineRule="auto"/>
      </w:pPr>
    </w:p>
  </w:footnote>
  <w:footnote w:id="2">
    <w:p w14:paraId="167D0D3B" w14:textId="16FBB129" w:rsidR="00401E32" w:rsidRDefault="00401E32">
      <w:pPr>
        <w:pStyle w:val="FootnoteText"/>
      </w:pPr>
      <w:r>
        <w:rPr>
          <w:rStyle w:val="FootnoteReference"/>
        </w:rPr>
        <w:footnoteRef/>
      </w:r>
      <w:r>
        <w:t xml:space="preserve"> p.2. National School Resourcing Board, Terms of Reference: Review of state and territory compliance with section 22A of the Australian Education Act 2013, viewed </w:t>
      </w:r>
      <w:r w:rsidR="00080D82">
        <w:t>15 January 2025</w:t>
      </w:r>
      <w:r w:rsidR="004B3B40">
        <w:t xml:space="preserve"> </w:t>
      </w:r>
      <w:r>
        <w:t xml:space="preserve">at </w:t>
      </w:r>
      <w:r w:rsidRPr="00401E32">
        <w:t>https://www.education.gov.au/national-school-resourcing-board/resources/22a-terms-reference-document</w:t>
      </w:r>
    </w:p>
  </w:footnote>
  <w:footnote w:id="3">
    <w:p w14:paraId="0D61681B" w14:textId="77777777" w:rsidR="006015E3" w:rsidRDefault="006015E3" w:rsidP="006015E3">
      <w:pPr>
        <w:pStyle w:val="FootnoteText"/>
      </w:pPr>
      <w:r>
        <w:rPr>
          <w:rStyle w:val="FootnoteReference"/>
        </w:rPr>
        <w:footnoteRef/>
      </w:r>
      <w:r>
        <w:t xml:space="preserve"> </w:t>
      </w:r>
      <w:r>
        <w:rPr>
          <w:i/>
          <w:iCs/>
        </w:rPr>
        <w:t>Australian Education Act 2013</w:t>
      </w:r>
      <w:r>
        <w:t xml:space="preserve"> s 128 at </w:t>
      </w:r>
      <w:hyperlink r:id="rId1" w:history="1">
        <w:r w:rsidRPr="0078511C">
          <w:rPr>
            <w:rStyle w:val="Hyperlink"/>
            <w:noProof w:val="0"/>
          </w:rPr>
          <w:t>https://www8.austlii.edu.au/au/legis/cth/consol_act/aea2013210.rtf</w:t>
        </w:r>
      </w:hyperlink>
    </w:p>
  </w:footnote>
  <w:footnote w:id="4">
    <w:p w14:paraId="37BD772B" w14:textId="6348A45F" w:rsidR="008A1A6D" w:rsidRDefault="008A1A6D" w:rsidP="000C3504">
      <w:pPr>
        <w:pStyle w:val="FootnoteText"/>
      </w:pPr>
      <w:r>
        <w:rPr>
          <w:rStyle w:val="FootnoteReference"/>
        </w:rPr>
        <w:footnoteRef/>
      </w:r>
      <w:r w:rsidR="008413FB">
        <w:t xml:space="preserve">The SRS is based on recommendations from the 2011 </w:t>
      </w:r>
      <w:r w:rsidR="008413FB" w:rsidRPr="003B1428">
        <w:rPr>
          <w:rStyle w:val="Emphasis"/>
        </w:rPr>
        <w:t>Review of Funding for Schooling–Final Report</w:t>
      </w:r>
      <w:r w:rsidR="008413FB">
        <w:rPr>
          <w:rStyle w:val="Emphasis"/>
        </w:rPr>
        <w:t>.</w:t>
      </w:r>
      <w:r w:rsidR="008413FB">
        <w:t xml:space="preserve"> D </w:t>
      </w:r>
      <w:r w:rsidR="008413FB" w:rsidRPr="00E86F14">
        <w:t xml:space="preserve">Gonski, </w:t>
      </w:r>
      <w:r w:rsidR="008413FB">
        <w:t xml:space="preserve">K </w:t>
      </w:r>
      <w:r w:rsidR="008413FB" w:rsidRPr="00E86F14">
        <w:t>Boston,</w:t>
      </w:r>
      <w:r w:rsidR="008413FB">
        <w:t xml:space="preserve"> K </w:t>
      </w:r>
      <w:r w:rsidR="008413FB" w:rsidRPr="00E86F14">
        <w:t xml:space="preserve">Greiner, </w:t>
      </w:r>
      <w:r w:rsidR="008413FB">
        <w:t>C</w:t>
      </w:r>
      <w:r w:rsidR="008413FB" w:rsidRPr="00E86F14">
        <w:t xml:space="preserve"> Lawrence,</w:t>
      </w:r>
      <w:r w:rsidR="008413FB">
        <w:t xml:space="preserve"> B</w:t>
      </w:r>
      <w:r w:rsidR="008413FB" w:rsidRPr="00E86F14">
        <w:t xml:space="preserve"> Scales</w:t>
      </w:r>
      <w:r w:rsidR="008413FB">
        <w:t xml:space="preserve"> and P</w:t>
      </w:r>
      <w:r w:rsidR="008413FB" w:rsidRPr="00E86F14">
        <w:t xml:space="preserve"> Tannock (2011)</w:t>
      </w:r>
      <w:r w:rsidR="008413FB" w:rsidRPr="00E86F14">
        <w:rPr>
          <w:i/>
          <w:iCs/>
        </w:rPr>
        <w:t>,</w:t>
      </w:r>
      <w:r w:rsidR="008413FB" w:rsidRPr="00E86F14">
        <w:t xml:space="preserve"> </w:t>
      </w:r>
      <w:r w:rsidR="008413FB">
        <w:t xml:space="preserve">Australian Government Department of Education, Employment and Workplace Relations: </w:t>
      </w:r>
      <w:r w:rsidR="008413FB" w:rsidRPr="00E86F14">
        <w:t>Canberra</w:t>
      </w:r>
      <w:r w:rsidR="008413FB">
        <w:t>.</w:t>
      </w:r>
    </w:p>
  </w:footnote>
  <w:footnote w:id="5">
    <w:p w14:paraId="1295E883" w14:textId="299C3645" w:rsidR="0021598D" w:rsidRDefault="0021598D" w:rsidP="0021598D">
      <w:pPr>
        <w:pStyle w:val="FootnoteText"/>
      </w:pPr>
      <w:r>
        <w:rPr>
          <w:rStyle w:val="FootnoteReference"/>
        </w:rPr>
        <w:footnoteRef/>
      </w:r>
      <w:r>
        <w:t xml:space="preserve"> </w:t>
      </w:r>
      <w:r>
        <w:rPr>
          <w:i/>
          <w:iCs/>
        </w:rPr>
        <w:t>Australian Education Regulations 2023</w:t>
      </w:r>
      <w:r>
        <w:t xml:space="preserve"> at </w:t>
      </w:r>
      <w:hyperlink r:id="rId2" w:history="1">
        <w:r w:rsidRPr="0078511C">
          <w:rPr>
            <w:rStyle w:val="Hyperlink"/>
            <w:noProof w:val="0"/>
          </w:rPr>
          <w:t>https://classic.austlii.edu.au/cgi-bin/download.cgi/au/legis/cth/consol_reg/aer2023319</w:t>
        </w:r>
      </w:hyperlink>
    </w:p>
  </w:footnote>
  <w:footnote w:id="6">
    <w:p w14:paraId="6EA8CDEB" w14:textId="74F70F98" w:rsidR="00182DB2" w:rsidRDefault="005A44B1">
      <w:pPr>
        <w:pStyle w:val="FootnoteText"/>
      </w:pPr>
      <w:r>
        <w:rPr>
          <w:rStyle w:val="FootnoteReference"/>
        </w:rPr>
        <w:footnoteRef/>
      </w:r>
      <w:r>
        <w:t xml:space="preserve"> </w:t>
      </w:r>
      <w:r w:rsidR="00712D69" w:rsidRPr="00712D69">
        <w:t xml:space="preserve">Guidance to </w:t>
      </w:r>
      <w:r w:rsidR="00BA1E16">
        <w:t>R</w:t>
      </w:r>
      <w:r w:rsidR="00712D69" w:rsidRPr="00712D69">
        <w:t>eporting - State and Territory Funding Contribution Requirements</w:t>
      </w:r>
      <w:r w:rsidR="00712D69">
        <w:t xml:space="preserve">, </w:t>
      </w:r>
      <w:r w:rsidR="00BF3FE2">
        <w:t xml:space="preserve">Viewed 6 February 2025 at </w:t>
      </w:r>
      <w:hyperlink r:id="rId3" w:history="1">
        <w:r w:rsidR="00182DB2" w:rsidRPr="0078511C">
          <w:rPr>
            <w:rStyle w:val="Hyperlink"/>
            <w:noProof w:val="0"/>
          </w:rPr>
          <w:t>https://www.education.gov.au/download/4691/guidance-reporting-state-and-territory-funding-contribution-requirements/37112/guidance-reporting-state-and-territory-funding-contribution-requirements/pdf</w:t>
        </w:r>
      </w:hyperlink>
    </w:p>
  </w:footnote>
  <w:footnote w:id="7">
    <w:p w14:paraId="6FE56325" w14:textId="0334B8C7" w:rsidR="001675C2" w:rsidRDefault="001675C2" w:rsidP="001675C2">
      <w:pPr>
        <w:pStyle w:val="Normal-AfterTableFigure"/>
      </w:pPr>
      <w:r>
        <w:rPr>
          <w:rStyle w:val="FootnoteReference"/>
        </w:rPr>
        <w:footnoteRef/>
      </w:r>
      <w:r>
        <w:t xml:space="preserve"> </w:t>
      </w:r>
      <w:r w:rsidRPr="00E4339F">
        <w:rPr>
          <w:sz w:val="18"/>
          <w:szCs w:val="18"/>
        </w:rPr>
        <w:t>Auditing and Assurance Standards Board</w:t>
      </w:r>
      <w:r>
        <w:rPr>
          <w:sz w:val="18"/>
          <w:szCs w:val="18"/>
        </w:rPr>
        <w:t xml:space="preserve">, </w:t>
      </w:r>
      <w:r w:rsidRPr="00E4339F">
        <w:rPr>
          <w:i/>
          <w:iCs/>
          <w:sz w:val="18"/>
          <w:szCs w:val="18"/>
        </w:rPr>
        <w:t>Standard on Assurance Engagements ASAE 3100 Compliance Engagements</w:t>
      </w:r>
      <w:r w:rsidRPr="00E4339F">
        <w:rPr>
          <w:sz w:val="18"/>
          <w:szCs w:val="18"/>
        </w:rPr>
        <w:t xml:space="preserve"> – ASAE 3100, February 2017, viewed on 6 February 2025 at </w:t>
      </w:r>
      <w:hyperlink r:id="rId4" w:history="1">
        <w:r w:rsidRPr="00262EB9">
          <w:rPr>
            <w:rStyle w:val="Hyperlink"/>
            <w:noProof w:val="0"/>
            <w:sz w:val="18"/>
            <w:szCs w:val="18"/>
          </w:rPr>
          <w:t>https://www.auasb.gov.au/admin/file/content102/c3/asae_3100_9-09-08.pdf</w:t>
        </w:r>
      </w:hyperlink>
    </w:p>
  </w:footnote>
  <w:footnote w:id="8">
    <w:p w14:paraId="3B5704E5" w14:textId="7C39148A" w:rsidR="008A1A6D" w:rsidRPr="00BC1206" w:rsidRDefault="008A1A6D" w:rsidP="004D6528">
      <w:pPr>
        <w:pStyle w:val="FootnoteText"/>
      </w:pPr>
      <w:r>
        <w:rPr>
          <w:rStyle w:val="FootnoteReference"/>
        </w:rPr>
        <w:footnoteRef/>
      </w:r>
      <w:r>
        <w:t xml:space="preserve"> </w:t>
      </w:r>
      <w:r w:rsidR="00041DE0">
        <w:t xml:space="preserve">p.2, </w:t>
      </w:r>
      <w:r>
        <w:t>National School Resourcing Board, Terms of Reference</w:t>
      </w:r>
      <w:r w:rsidR="009771FF">
        <w:t xml:space="preserve"> - </w:t>
      </w:r>
      <w:r>
        <w:t xml:space="preserve">Annual review of state and territory compliance with section 22A of the </w:t>
      </w:r>
      <w:r>
        <w:rPr>
          <w:i/>
          <w:iCs/>
        </w:rPr>
        <w:t>Australian Education Act, 2013</w:t>
      </w:r>
      <w:r w:rsidR="009771FF">
        <w:t>.</w:t>
      </w:r>
    </w:p>
  </w:footnote>
  <w:footnote w:id="9">
    <w:p w14:paraId="7C8A2CCD" w14:textId="1ACBC6A3" w:rsidR="00452B7F" w:rsidRDefault="00452B7F">
      <w:pPr>
        <w:pStyle w:val="FootnoteText"/>
      </w:pPr>
      <w:r>
        <w:rPr>
          <w:rStyle w:val="FootnoteReference"/>
        </w:rPr>
        <w:footnoteRef/>
      </w:r>
      <w:r>
        <w:t xml:space="preserve"> </w:t>
      </w:r>
      <w:r w:rsidRPr="00452B7F">
        <w:t>National School Resourcing Board, 20</w:t>
      </w:r>
      <w:r w:rsidR="007D658B">
        <w:t>18-22</w:t>
      </w:r>
      <w:r w:rsidRPr="00452B7F">
        <w:t xml:space="preserve">, </w:t>
      </w:r>
      <w:r w:rsidRPr="007D658B">
        <w:rPr>
          <w:i/>
          <w:iCs/>
        </w:rPr>
        <w:t>Annual review of state and territory compliance with section 22A of the Australian Education Act 2013</w:t>
      </w:r>
      <w:r w:rsidRPr="00452B7F">
        <w:t>, Viewed 13 February 202</w:t>
      </w:r>
      <w:r w:rsidR="00773EF9">
        <w:t>5</w:t>
      </w:r>
      <w:r w:rsidRPr="00452B7F">
        <w:t xml:space="preserve"> at https://www.education.gov.au/national-school-resourcing-board/annual-review-state-and-territory-funding-contributions</w:t>
      </w:r>
    </w:p>
  </w:footnote>
  <w:footnote w:id="10">
    <w:p w14:paraId="78DA4C77" w14:textId="32684C79" w:rsidR="005F3C71" w:rsidRDefault="005F3C71">
      <w:pPr>
        <w:pStyle w:val="FootnoteText"/>
      </w:pPr>
      <w:r>
        <w:rPr>
          <w:rStyle w:val="FootnoteReference"/>
        </w:rPr>
        <w:footnoteRef/>
      </w:r>
      <w:r>
        <w:t xml:space="preserve"> </w:t>
      </w:r>
      <w:r w:rsidRPr="00452B7F">
        <w:t>National School Resourcing Board, 20</w:t>
      </w:r>
      <w:r>
        <w:t>18-22</w:t>
      </w:r>
      <w:r w:rsidRPr="00452B7F">
        <w:t xml:space="preserve">, </w:t>
      </w:r>
      <w:r w:rsidRPr="007D658B">
        <w:rPr>
          <w:i/>
          <w:iCs/>
        </w:rPr>
        <w:t>Annual review of state and territory compliance with section 22A of the Australian Education Act 2013</w:t>
      </w:r>
      <w:r w:rsidRPr="00452B7F">
        <w:t>, Viewed 13 February 202</w:t>
      </w:r>
      <w:r w:rsidR="004D36C0">
        <w:t>5</w:t>
      </w:r>
      <w:r w:rsidRPr="00452B7F">
        <w:t xml:space="preserve"> at https://www.education.gov.au/national-school-resourcing-board/annual-review-state-and-territory-funding-contributions</w:t>
      </w:r>
    </w:p>
  </w:footnote>
  <w:footnote w:id="11">
    <w:p w14:paraId="7A6A310E" w14:textId="334128A3" w:rsidR="00AF63E0" w:rsidRDefault="00AF63E0">
      <w:pPr>
        <w:pStyle w:val="FootnoteText"/>
      </w:pPr>
      <w:r>
        <w:rPr>
          <w:rStyle w:val="FootnoteReference"/>
        </w:rPr>
        <w:footnoteRef/>
      </w:r>
      <w:r>
        <w:t xml:space="preserve"> The </w:t>
      </w:r>
      <w:r w:rsidR="00C85EFA">
        <w:t xml:space="preserve">enduring </w:t>
      </w:r>
      <w:r>
        <w:t xml:space="preserve">Terms of Reference were </w:t>
      </w:r>
      <w:r w:rsidR="00C6664A">
        <w:t xml:space="preserve">issued by the then Minister for Education, the Hon Dan Tehan MP, in 2019, to initiate the Board’s </w:t>
      </w:r>
      <w:r w:rsidR="00C85EFA">
        <w:t xml:space="preserve">annual s 22A reviews. </w:t>
      </w:r>
      <w:r w:rsidR="003B451D" w:rsidRPr="003B451D">
        <w:t>The first review covered the 2018 funding year</w:t>
      </w:r>
      <w:r w:rsidR="00AD38EA">
        <w:t>.</w:t>
      </w:r>
    </w:p>
  </w:footnote>
  <w:footnote w:id="12">
    <w:p w14:paraId="1C420713" w14:textId="441901B1" w:rsidR="003704DB" w:rsidRDefault="003704DB" w:rsidP="00DA5764">
      <w:pPr>
        <w:pStyle w:val="FootnoteText"/>
      </w:pPr>
      <w:r>
        <w:rPr>
          <w:rStyle w:val="FootnoteReference"/>
        </w:rPr>
        <w:footnoteRef/>
      </w:r>
      <w:r>
        <w:t xml:space="preserve"> </w:t>
      </w:r>
      <w:r w:rsidR="00DA5764">
        <w:t>The following tables were created by the expert financial audit advisor as part of its assessment of each state and territory’s annual report</w:t>
      </w:r>
    </w:p>
  </w:footnote>
  <w:footnote w:id="13">
    <w:p w14:paraId="006F2145" w14:textId="6880C008" w:rsidR="008F0033" w:rsidRDefault="008F0033">
      <w:pPr>
        <w:pStyle w:val="FootnoteText"/>
      </w:pPr>
      <w:r w:rsidRPr="003546FB">
        <w:rPr>
          <w:rStyle w:val="FootnoteReference"/>
        </w:rPr>
        <w:footnoteRef/>
      </w:r>
      <w:r w:rsidRPr="003546FB">
        <w:t xml:space="preserve"> New South Wales can include additional expenditure up to 4</w:t>
      </w:r>
      <w:r>
        <w:t>%</w:t>
      </w:r>
      <w:r w:rsidRPr="003546FB">
        <w:t xml:space="preserve"> of the total SRS for the government sector each year for capital depreciation and NSW Education Standards Authority.</w:t>
      </w:r>
      <w:r>
        <w:t xml:space="preserve"> (Bilateral clause 25</w:t>
      </w:r>
      <w:r w:rsidR="007437CF">
        <w:t>(a)</w:t>
      </w:r>
      <w:r>
        <w:t>)</w:t>
      </w:r>
    </w:p>
  </w:footnote>
  <w:footnote w:id="14">
    <w:p w14:paraId="382C0494" w14:textId="4DB08F24" w:rsidR="00945E3A" w:rsidRPr="003546FB" w:rsidRDefault="00945E3A">
      <w:pPr>
        <w:pStyle w:val="FootnoteText"/>
      </w:pPr>
      <w:r w:rsidRPr="003546FB">
        <w:rPr>
          <w:rStyle w:val="FootnoteReference"/>
        </w:rPr>
        <w:footnoteRef/>
      </w:r>
      <w:r w:rsidRPr="003546FB">
        <w:t xml:space="preserve"> The Northern Territory can include</w:t>
      </w:r>
      <w:r>
        <w:t>:</w:t>
      </w:r>
      <w:r w:rsidRPr="003546FB">
        <w:t xml:space="preserve"> additional expenditure up to 4</w:t>
      </w:r>
      <w:r>
        <w:t>%</w:t>
      </w:r>
      <w:r w:rsidRPr="003546FB">
        <w:t xml:space="preserve"> of the total SRS for the government sector each year for depreciation, direct school transport</w:t>
      </w:r>
      <w:r>
        <w:t>, and early childhood; plus reform costs</w:t>
      </w:r>
      <w:r w:rsidRPr="003546FB">
        <w:t>.</w:t>
      </w:r>
      <w:r>
        <w:t xml:space="preserve"> (Bilateral clause 49)</w:t>
      </w:r>
    </w:p>
  </w:footnote>
  <w:footnote w:id="15">
    <w:p w14:paraId="1557FEDF" w14:textId="097034FE" w:rsidR="00F70009" w:rsidRDefault="00F70009">
      <w:pPr>
        <w:pStyle w:val="FootnoteText"/>
      </w:pPr>
      <w:r w:rsidRPr="003546FB">
        <w:rPr>
          <w:rStyle w:val="FootnoteReference"/>
        </w:rPr>
        <w:footnoteRef/>
      </w:r>
      <w:r w:rsidRPr="003546FB">
        <w:t xml:space="preserve"> Queensland can include</w:t>
      </w:r>
      <w:r>
        <w:t>:</w:t>
      </w:r>
      <w:r w:rsidRPr="003546FB">
        <w:t xml:space="preserve"> additional expenditure up to 4</w:t>
      </w:r>
      <w:r>
        <w:t>%</w:t>
      </w:r>
      <w:r w:rsidRPr="003546FB">
        <w:t xml:space="preserve"> of the total SRS for the government sector each year for capital depreciation</w:t>
      </w:r>
      <w:r>
        <w:t xml:space="preserve"> and direct school transport; plus all regulatory funding provided by the government for the purpose of Queensland Curriculum and Assessment Authority; and reform costs</w:t>
      </w:r>
      <w:r w:rsidRPr="003546FB">
        <w:t>.</w:t>
      </w:r>
      <w:r>
        <w:t xml:space="preserve"> (Bilateral clause 31)</w:t>
      </w:r>
    </w:p>
  </w:footnote>
  <w:footnote w:id="16">
    <w:p w14:paraId="67963486" w14:textId="30ADB0BE" w:rsidR="00D86CFE" w:rsidRPr="003546FB" w:rsidRDefault="00D86CFE">
      <w:pPr>
        <w:pStyle w:val="FootnoteText"/>
      </w:pPr>
      <w:r w:rsidRPr="003546FB">
        <w:rPr>
          <w:rStyle w:val="FootnoteReference"/>
        </w:rPr>
        <w:footnoteRef/>
      </w:r>
      <w:r w:rsidRPr="003546FB">
        <w:t xml:space="preserve"> South Australia can include</w:t>
      </w:r>
      <w:r>
        <w:t>:</w:t>
      </w:r>
      <w:r w:rsidRPr="003546FB">
        <w:t xml:space="preserve"> additional expenditure up to 4</w:t>
      </w:r>
      <w:r>
        <w:t>%</w:t>
      </w:r>
      <w:r w:rsidRPr="003546FB">
        <w:t xml:space="preserve"> of the total SRS for the government sector each year for depreciation</w:t>
      </w:r>
      <w:r>
        <w:t xml:space="preserve"> on assets and</w:t>
      </w:r>
      <w:r w:rsidRPr="003546FB">
        <w:t xml:space="preserve"> direct school transport</w:t>
      </w:r>
      <w:r>
        <w:t>; plus</w:t>
      </w:r>
      <w:r w:rsidRPr="003546FB">
        <w:t xml:space="preserve"> </w:t>
      </w:r>
      <w:r>
        <w:t>regulatory funding for SACE Board of South Australia and Education Standards Board and reform costs</w:t>
      </w:r>
      <w:r w:rsidRPr="003546FB">
        <w:t>.</w:t>
      </w:r>
      <w:r>
        <w:t xml:space="preserve"> (Bilateral clause 40)</w:t>
      </w:r>
    </w:p>
  </w:footnote>
  <w:footnote w:id="17">
    <w:p w14:paraId="182726CC" w14:textId="193D2652" w:rsidR="00B97077" w:rsidRDefault="00B97077">
      <w:pPr>
        <w:pStyle w:val="FootnoteText"/>
      </w:pPr>
      <w:r w:rsidRPr="003546FB">
        <w:rPr>
          <w:rStyle w:val="FootnoteReference"/>
        </w:rPr>
        <w:footnoteRef/>
      </w:r>
      <w:r w:rsidRPr="003546FB">
        <w:t xml:space="preserve"> Tasmania can include</w:t>
      </w:r>
      <w:r>
        <w:t>:</w:t>
      </w:r>
      <w:r w:rsidRPr="003546FB">
        <w:t xml:space="preserve"> additional expenditure up to 4</w:t>
      </w:r>
      <w:r>
        <w:t>%</w:t>
      </w:r>
      <w:r w:rsidRPr="003546FB">
        <w:t xml:space="preserve"> of the total SRS for the government sector each year for </w:t>
      </w:r>
      <w:r>
        <w:t xml:space="preserve">direct </w:t>
      </w:r>
      <w:r w:rsidR="002375CD">
        <w:t xml:space="preserve">student </w:t>
      </w:r>
      <w:r>
        <w:t>transport</w:t>
      </w:r>
      <w:r w:rsidR="002375CD">
        <w:t xml:space="preserve"> costs</w:t>
      </w:r>
      <w:r>
        <w:t xml:space="preserve"> and depreciation; plus</w:t>
      </w:r>
      <w:r w:rsidRPr="003546FB">
        <w:t xml:space="preserve"> regulatory </w:t>
      </w:r>
      <w:r>
        <w:t xml:space="preserve">funding for the Office of the Tasmanian Assessment, Standards and Certification and the Teachers Registration Board </w:t>
      </w:r>
      <w:r w:rsidRPr="003546FB">
        <w:t>and reform costs.</w:t>
      </w:r>
      <w:r>
        <w:t xml:space="preserve"> (Bilateral clause 40)</w:t>
      </w:r>
    </w:p>
  </w:footnote>
  <w:footnote w:id="18">
    <w:p w14:paraId="64A9DB9C" w14:textId="5C47A581" w:rsidR="000B6D92" w:rsidRPr="003546FB" w:rsidRDefault="000B6D92">
      <w:pPr>
        <w:pStyle w:val="FootnoteText"/>
      </w:pPr>
      <w:r w:rsidRPr="003546FB">
        <w:rPr>
          <w:rStyle w:val="FootnoteReference"/>
        </w:rPr>
        <w:footnoteRef/>
      </w:r>
      <w:r w:rsidRPr="003546FB">
        <w:t xml:space="preserve"> Victoria can include</w:t>
      </w:r>
      <w:r>
        <w:t>:</w:t>
      </w:r>
      <w:r w:rsidRPr="003546FB">
        <w:t xml:space="preserve"> additional expenditure up to 4</w:t>
      </w:r>
      <w:r>
        <w:t>%</w:t>
      </w:r>
      <w:r w:rsidRPr="003546FB">
        <w:t xml:space="preserve"> of the total SRS for the government sector each year for </w:t>
      </w:r>
      <w:r>
        <w:t xml:space="preserve">depreciation of capital assets and the School Bus Program for rural and regional Victoria; plus funding for curriculum and regulation activity including the Victorian Curriculum and Assessment Authority and Victorian Registration and Qualifications Authority, </w:t>
      </w:r>
      <w:r w:rsidRPr="003546FB">
        <w:t>and reform costs.</w:t>
      </w:r>
      <w:r>
        <w:t xml:space="preserve"> (Bilateral clause 32)</w:t>
      </w:r>
    </w:p>
  </w:footnote>
  <w:footnote w:id="19">
    <w:p w14:paraId="4203915C" w14:textId="43A51AAF" w:rsidR="000B5B8F" w:rsidRDefault="000B5B8F">
      <w:pPr>
        <w:pStyle w:val="FootnoteText"/>
      </w:pPr>
      <w:r w:rsidRPr="003546FB">
        <w:rPr>
          <w:rStyle w:val="FootnoteReference"/>
        </w:rPr>
        <w:footnoteRef/>
      </w:r>
      <w:r w:rsidRPr="003546FB">
        <w:t xml:space="preserve"> Western Australia can include</w:t>
      </w:r>
      <w:r>
        <w:t>:</w:t>
      </w:r>
      <w:r w:rsidRPr="003546FB">
        <w:t xml:space="preserve"> additional expenditure up to 4</w:t>
      </w:r>
      <w:r>
        <w:t>%</w:t>
      </w:r>
      <w:r w:rsidRPr="003546FB">
        <w:t xml:space="preserve"> of the total SRS for the government sector each year for capital depreciation, direct school transport</w:t>
      </w:r>
      <w:r>
        <w:t xml:space="preserve"> and </w:t>
      </w:r>
      <w:r w:rsidRPr="003546FB">
        <w:t>kindergarten</w:t>
      </w:r>
      <w:r>
        <w:t>; plus</w:t>
      </w:r>
      <w:r w:rsidRPr="003546FB">
        <w:t xml:space="preserve"> regulatory </w:t>
      </w:r>
      <w:r>
        <w:t xml:space="preserve">funding for the School Curriculum and Standards Authority and the (former) Department of Education Services’ regulatory functions, </w:t>
      </w:r>
      <w:r w:rsidRPr="003546FB">
        <w:t>and reform costs.</w:t>
      </w:r>
      <w:r>
        <w:t xml:space="preserve"> (Bilateral clause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DE29C" w14:textId="56C415B8" w:rsidR="008A1A6D" w:rsidRDefault="008A1A6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39E5" w14:textId="1001079D" w:rsidR="007C180F" w:rsidRDefault="007C180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D059" w14:textId="23938D4D" w:rsidR="007C180F" w:rsidRDefault="007C180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BB73" w14:textId="2D5E26BE" w:rsidR="007C180F" w:rsidRDefault="007C1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32CA" w14:textId="3B821986" w:rsidR="008A1A6D" w:rsidRDefault="008A1A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2E87" w14:textId="7262E3A5" w:rsidR="008A1A6D" w:rsidRDefault="008A1A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B907" w14:textId="4311D900" w:rsidR="008A1A6D" w:rsidRDefault="008A1A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9F08" w14:textId="0511E73A" w:rsidR="008A1A6D" w:rsidRPr="0034075B" w:rsidRDefault="008A1A6D" w:rsidP="003407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AC8B" w14:textId="0919EFD1" w:rsidR="008A1A6D" w:rsidRDefault="008A1A6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B153" w14:textId="61DE6F3B" w:rsidR="008A1A6D" w:rsidRDefault="008A1A6D">
    <w:pPr>
      <w:pStyle w:val="Header"/>
    </w:pPr>
  </w:p>
  <w:p w14:paraId="0DB478C8" w14:textId="77777777" w:rsidR="00A318DB" w:rsidRDefault="00A318D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CEA8" w14:textId="10E28716" w:rsidR="00A318DB" w:rsidRDefault="00A318D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BC839" w14:textId="15A7CFE0" w:rsidR="008A1A6D" w:rsidRDefault="008A1A6D">
    <w:pPr>
      <w:pStyle w:val="Header"/>
    </w:pPr>
  </w:p>
</w:hdr>
</file>

<file path=word/intelligence.xml><?xml version="1.0" encoding="utf-8"?>
<int:Intelligence xmlns:int="http://schemas.microsoft.com/office/intelligence/2019/intelligence">
  <int:IntelligenceSettings/>
  <int:Manifest>
    <int:ParagraphRange paragraphId="2105545404" textId="26092336" start="302" length="21" invalidationStart="302" invalidationLength="21" id="TTcDPqv5"/>
    <int:ParagraphRange paragraphId="1520884526" textId="774006845" start="0" length="21" invalidationStart="0" invalidationLength="21" id="4OPN3i1j"/>
    <int:WordHash hashCode="XYvRzG8x2BCx+A" id="MqwDuO41"/>
    <int:WordHash hashCode="gspqsDEMx0IjHh" id="mUx2hHiY"/>
    <int:WordHash hashCode="ITWlKijpzBRd9A" id="xLSHs1s6"/>
    <int:WordHash hashCode="rYmS413DreDKmn" id="9lKOdZXG"/>
    <int:WordHash hashCode="WPLOuBebeCQ43Z" id="VABxluxI"/>
    <int:WordHash hashCode="ZhY4d9so0CFitK" id="iSooDjQ1"/>
    <int:WordHash hashCode="8jMfgFcF/qZK6H" id="Bj2BpEJr"/>
    <int:ParagraphRange paragraphId="825374159" textId="548466902" start="58" length="5" invalidationStart="58" invalidationLength="5" id="u8cZqyOa"/>
    <int:ParagraphRange paragraphId="2116422004" textId="2004318071" start="60" length="5" invalidationStart="60" invalidationLength="5" id="T1OnpucY"/>
    <int:ParagraphRange paragraphId="949848309" textId="1607478674" start="71" length="7" invalidationStart="71" invalidationLength="7" id="aiWf9RoC"/>
    <int:ParagraphRange paragraphId="1774858831" textId="2004318071" start="113" length="4" invalidationStart="113" invalidationLength="4" id="gWlTN6KA"/>
    <int:ParagraphRange paragraphId="1427232143" textId="1715260723" start="30" length="5" invalidationStart="30" invalidationLength="5" id="EHeR4Y70"/>
    <int:ParagraphRange paragraphId="1377487548" textId="981309112" start="473" length="21" invalidationStart="473" invalidationLength="21" id="ryExp9Pm"/>
    <int:ParagraphRange paragraphId="1705424994" textId="358119403" start="56" length="4" invalidationStart="56" invalidationLength="4" id="moHEdxfH"/>
    <int:ParagraphRange paragraphId="441906415" textId="2106925711" start="12" length="10" invalidationStart="12" invalidationLength="10" id="X2AgTqKZ"/>
    <int:ParagraphRange paragraphId="2069022014" textId="1790273459" start="50" length="7" invalidationStart="50" invalidationLength="7" id="5kIpByn8"/>
    <int:ParagraphRange paragraphId="1237061477" textId="1750446243" start="258" length="27" invalidationStart="258" invalidationLength="27" id="q7GXV5Ly"/>
    <int:ParagraphRange paragraphId="296985931" textId="1881813255" start="267" length="3" invalidationStart="267" invalidationLength="3" id="iEWk0f87"/>
    <int:ParagraphRange paragraphId="1360002743" textId="1507954310" start="116" length="9" invalidationStart="116" invalidationLength="9" id="p4H8NGj8"/>
    <int:ParagraphRange paragraphId="1584719541" textId="871328645" start="27" length="14" invalidationStart="27" invalidationLength="14" id="a6CXhmgE"/>
    <int:ParagraphRange paragraphId="845901400" textId="1984158210" start="185" length="8" invalidationStart="185" invalidationLength="8" id="Zi877Ub0"/>
    <int:ParagraphRange paragraphId="173966143" textId="908234729" start="329" length="21" invalidationStart="329" invalidationLength="21" id="fb0V0PYN"/>
    <int:ParagraphRange paragraphId="173966143" textId="908234729" start="298" length="14" invalidationStart="298" invalidationLength="14" id="7DUyndGr"/>
    <int:ParagraphRange paragraphId="1286670096" textId="2004318071" start="202" length="5" invalidationStart="202" invalidationLength="5" id="dXoeOBdJ"/>
    <int:ParagraphRange paragraphId="500436395" textId="595264913" start="356" length="14" invalidationStart="356" invalidationLength="14" id="GV53D7lH"/>
    <int:ParagraphRange paragraphId="415026288" textId="764743987" start="50" length="46" invalidationStart="50" invalidationLength="46" id="nmhYG8g3"/>
    <int:ParagraphRange paragraphId="1576932235" textId="955502792" start="209" length="7" invalidationStart="209" invalidationLength="7" id="Wrclcf5A"/>
    <int:ParagraphRange paragraphId="933393854" textId="2004318071" start="62" length="8" invalidationStart="62" invalidationLength="8" id="ON3VJ1ap"/>
    <int:ParagraphRange paragraphId="681873970" textId="2004318071" start="57" length="12" invalidationStart="57" invalidationLength="12" id="M8JS3Rnf"/>
    <int:ParagraphRange paragraphId="1576335932" textId="1560975957" start="74" length="21" invalidationStart="74" invalidationLength="21" id="pPB5yi3r"/>
    <int:ParagraphRange paragraphId="243379770" textId="682380084" start="11" length="7" invalidationStart="11" invalidationLength="7" id="wGnsPdC0"/>
    <int:ParagraphRange paragraphId="119422803" textId="124438425" start="182" length="8" invalidationStart="182" invalidationLength="8" id="lzoJgUz6"/>
    <int:ParagraphRange paragraphId="1541253431" textId="2004318071" start="92" length="3" invalidationStart="92" invalidationLength="3" id="dzSvq0zI"/>
    <int:ParagraphRange paragraphId="1836357776" textId="1076679155" start="140" length="2" invalidationStart="140" invalidationLength="2" id="av8fiONf"/>
    <int:ParagraphRange paragraphId="1453371230" textId="2004318071" start="104" length="10" invalidationStart="104" invalidationLength="10" id="YOKxh2pA"/>
    <int:WordHash hashCode="GluGdmDhqwZUJ7" id="6oIQEgOz"/>
    <int:ParagraphRange paragraphId="1576932235" textId="294543413" start="210" length="7" invalidationStart="210" invalidationLength="7" id="rkW7XU5Z"/>
    <int:WordHash hashCode="FiNCzSReCiV7Qq" id="FJveesph"/>
  </int:Manifest>
  <int:Observations>
    <int:Content id="TTcDPqv5">
      <int:Rejection type="LegacyProofing"/>
    </int:Content>
    <int:Content id="4OPN3i1j">
      <int:Rejection type="LegacyProofing"/>
    </int:Content>
    <int:Content id="MqwDuO41">
      <int:Rejection type="LegacyProofing"/>
    </int:Content>
    <int:Content id="mUx2hHiY">
      <int:Rejection type="LegacyProofing"/>
    </int:Content>
    <int:Content id="xLSHs1s6">
      <int:Rejection type="LegacyProofing"/>
    </int:Content>
    <int:Content id="9lKOdZXG">
      <int:Rejection type="LegacyProofing"/>
    </int:Content>
    <int:Content id="VABxluxI">
      <int:Rejection type="LegacyProofing"/>
    </int:Content>
    <int:Content id="iSooDjQ1">
      <int:Rejection type="LegacyProofing"/>
    </int:Content>
    <int:Content id="Bj2BpEJr">
      <int:Rejection type="LegacyProofing"/>
    </int:Content>
    <int:Content id="u8cZqyOa">
      <int:Rejection type="LegacyProofing"/>
    </int:Content>
    <int:Content id="T1OnpucY">
      <int:Rejection type="LegacyProofing"/>
    </int:Content>
    <int:Content id="aiWf9RoC">
      <int:Rejection type="LegacyProofing"/>
    </int:Content>
    <int:Content id="gWlTN6KA">
      <int:Rejection type="LegacyProofing"/>
    </int:Content>
    <int:Content id="EHeR4Y70">
      <int:Rejection type="LegacyProofing"/>
    </int:Content>
    <int:Content id="ryExp9Pm">
      <int:Rejection type="LegacyProofing"/>
    </int:Content>
    <int:Content id="moHEdxfH">
      <int:Rejection type="LegacyProofing"/>
    </int:Content>
    <int:Content id="X2AgTqKZ">
      <int:Rejection type="LegacyProofing"/>
    </int:Content>
    <int:Content id="5kIpByn8">
      <int:Rejection type="LegacyProofing"/>
    </int:Content>
    <int:Content id="q7GXV5Ly">
      <int:Rejection type="LegacyProofing"/>
    </int:Content>
    <int:Content id="iEWk0f87">
      <int:Rejection type="LegacyProofing"/>
    </int:Content>
    <int:Content id="p4H8NGj8">
      <int:Rejection type="LegacyProofing"/>
    </int:Content>
    <int:Content id="a6CXhmgE">
      <int:Rejection type="LegacyProofing"/>
    </int:Content>
    <int:Content id="Zi877Ub0">
      <int:Rejection type="LegacyProofing"/>
    </int:Content>
    <int:Content id="fb0V0PYN">
      <int:Rejection type="LegacyProofing"/>
    </int:Content>
    <int:Content id="7DUyndGr">
      <int:Rejection type="LegacyProofing"/>
    </int:Content>
    <int:Content id="dXoeOBdJ">
      <int:Rejection type="LegacyProofing"/>
    </int:Content>
    <int:Content id="GV53D7lH">
      <int:Rejection type="LegacyProofing"/>
    </int:Content>
    <int:Content id="nmhYG8g3">
      <int:Rejection type="LegacyProofing"/>
    </int:Content>
    <int:Content id="Wrclcf5A">
      <int:Rejection type="LegacyProofing"/>
    </int:Content>
    <int:Content id="ON3VJ1ap">
      <int:Rejection type="LegacyProofing"/>
    </int:Content>
    <int:Content id="M8JS3Rnf">
      <int:Rejection type="LegacyProofing"/>
    </int:Content>
    <int:Content id="pPB5yi3r">
      <int:Rejection type="LegacyProofing"/>
    </int:Content>
    <int:Content id="wGnsPdC0">
      <int:Rejection type="LegacyProofing"/>
    </int:Content>
    <int:Content id="lzoJgUz6">
      <int:Rejection type="LegacyProofing"/>
    </int:Content>
    <int:Content id="dzSvq0zI">
      <int:Rejection type="LegacyProofing"/>
    </int:Content>
    <int:Content id="av8fiONf">
      <int:Rejection type="LegacyProofing"/>
    </int:Content>
    <int:Content id="YOKxh2pA">
      <int:Rejection type="LegacyProofing"/>
    </int:Content>
    <int:Content id="6oIQEgOz">
      <int:Rejection type="AugLoop_Text_Critique"/>
    </int:Content>
    <int:Content id="rkW7XU5Z">
      <int:Rejection type="LegacyProofing"/>
    </int:Content>
    <int:Content id="FJveesph">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4E4B114"/>
    <w:lvl w:ilvl="0">
      <w:start w:val="1"/>
      <w:numFmt w:val="decimal"/>
      <w:pStyle w:val="ListNumber4"/>
      <w:lvlText w:val="%1."/>
      <w:lvlJc w:val="left"/>
      <w:pPr>
        <w:tabs>
          <w:tab w:val="num" w:pos="360"/>
        </w:tabs>
        <w:ind w:left="360" w:hanging="360"/>
      </w:pPr>
    </w:lvl>
  </w:abstractNum>
  <w:abstractNum w:abstractNumId="1" w15:restartNumberingAfterBreak="0">
    <w:nsid w:val="FFFFFF89"/>
    <w:multiLevelType w:val="singleLevel"/>
    <w:tmpl w:val="D90667B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D92207"/>
    <w:multiLevelType w:val="multilevel"/>
    <w:tmpl w:val="C59A4F3C"/>
    <w:name w:val="Box Heading - Recommendation"/>
    <w:lvl w:ilvl="0">
      <w:start w:val="1"/>
      <w:numFmt w:val="decimal"/>
      <w:pStyle w:val="BoxHeading-Recommendation"/>
      <w:suff w:val="nothing"/>
      <w:lvlText w:val="Recommendation %1"/>
      <w:lvlJc w:val="left"/>
      <w:pPr>
        <w:ind w:left="2626" w:hanging="35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EEBC36"/>
    <w:multiLevelType w:val="multilevel"/>
    <w:tmpl w:val="18EA18E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3B0F5B"/>
    <w:multiLevelType w:val="hybridMultilevel"/>
    <w:tmpl w:val="74926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1321ED"/>
    <w:multiLevelType w:val="hybridMultilevel"/>
    <w:tmpl w:val="74A2C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3A16BB"/>
    <w:multiLevelType w:val="hybridMultilevel"/>
    <w:tmpl w:val="5B0E8A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6D00BDC"/>
    <w:multiLevelType w:val="hybridMultilevel"/>
    <w:tmpl w:val="2B327004"/>
    <w:lvl w:ilvl="0" w:tplc="98F0D548">
      <w:start w:val="1"/>
      <w:numFmt w:val="decimal"/>
      <w:lvlText w:val="%1."/>
      <w:lvlJc w:val="left"/>
      <w:pPr>
        <w:ind w:left="765" w:hanging="360"/>
      </w:pPr>
    </w:lvl>
    <w:lvl w:ilvl="1" w:tplc="CCA8BCCE">
      <w:start w:val="1"/>
      <w:numFmt w:val="lowerLetter"/>
      <w:lvlText w:val="%2."/>
      <w:lvlJc w:val="left"/>
      <w:pPr>
        <w:ind w:left="1485" w:hanging="360"/>
      </w:pPr>
    </w:lvl>
    <w:lvl w:ilvl="2" w:tplc="C7F44E3A">
      <w:start w:val="1"/>
      <w:numFmt w:val="lowerRoman"/>
      <w:lvlText w:val="%3."/>
      <w:lvlJc w:val="right"/>
      <w:pPr>
        <w:ind w:left="2205" w:hanging="180"/>
      </w:pPr>
    </w:lvl>
    <w:lvl w:ilvl="3" w:tplc="5C161558">
      <w:start w:val="1"/>
      <w:numFmt w:val="decimal"/>
      <w:lvlText w:val="%4."/>
      <w:lvlJc w:val="left"/>
      <w:pPr>
        <w:ind w:left="2925" w:hanging="360"/>
      </w:pPr>
    </w:lvl>
    <w:lvl w:ilvl="4" w:tplc="479EE8D2">
      <w:start w:val="1"/>
      <w:numFmt w:val="lowerLetter"/>
      <w:lvlText w:val="%5."/>
      <w:lvlJc w:val="left"/>
      <w:pPr>
        <w:ind w:left="3645" w:hanging="360"/>
      </w:pPr>
    </w:lvl>
    <w:lvl w:ilvl="5" w:tplc="7CD68FF0">
      <w:start w:val="1"/>
      <w:numFmt w:val="lowerRoman"/>
      <w:lvlText w:val="%6."/>
      <w:lvlJc w:val="right"/>
      <w:pPr>
        <w:ind w:left="4365" w:hanging="180"/>
      </w:pPr>
    </w:lvl>
    <w:lvl w:ilvl="6" w:tplc="6BAAE044">
      <w:start w:val="1"/>
      <w:numFmt w:val="decimal"/>
      <w:lvlText w:val="%7."/>
      <w:lvlJc w:val="left"/>
      <w:pPr>
        <w:ind w:left="5085" w:hanging="360"/>
      </w:pPr>
    </w:lvl>
    <w:lvl w:ilvl="7" w:tplc="3A2AB1C8">
      <w:start w:val="1"/>
      <w:numFmt w:val="lowerLetter"/>
      <w:lvlText w:val="%8."/>
      <w:lvlJc w:val="left"/>
      <w:pPr>
        <w:ind w:left="5805" w:hanging="360"/>
      </w:pPr>
    </w:lvl>
    <w:lvl w:ilvl="8" w:tplc="B5CCEB82">
      <w:start w:val="1"/>
      <w:numFmt w:val="lowerRoman"/>
      <w:lvlText w:val="%9."/>
      <w:lvlJc w:val="right"/>
      <w:pPr>
        <w:ind w:left="6525" w:hanging="180"/>
      </w:pPr>
    </w:lvl>
  </w:abstractNum>
  <w:abstractNum w:abstractNumId="8" w15:restartNumberingAfterBreak="0">
    <w:nsid w:val="36DA074F"/>
    <w:multiLevelType w:val="hybridMultilevel"/>
    <w:tmpl w:val="1910EF40"/>
    <w:lvl w:ilvl="0" w:tplc="6B6C69A2">
      <w:start w:val="1"/>
      <w:numFmt w:val="bullet"/>
      <w:lvlText w:val=""/>
      <w:lvlJc w:val="left"/>
      <w:pPr>
        <w:ind w:left="720" w:hanging="360"/>
      </w:pPr>
      <w:rPr>
        <w:rFonts w:ascii="Symbol" w:hAnsi="Symbol" w:hint="default"/>
      </w:rPr>
    </w:lvl>
    <w:lvl w:ilvl="1" w:tplc="EAAC6442">
      <w:start w:val="1"/>
      <w:numFmt w:val="bullet"/>
      <w:lvlText w:val="o"/>
      <w:lvlJc w:val="left"/>
      <w:pPr>
        <w:ind w:left="1440" w:hanging="360"/>
      </w:pPr>
      <w:rPr>
        <w:rFonts w:ascii="Courier New" w:hAnsi="Courier New" w:cs="Courier New" w:hint="default"/>
      </w:rPr>
    </w:lvl>
    <w:lvl w:ilvl="2" w:tplc="9EE2E688">
      <w:start w:val="1"/>
      <w:numFmt w:val="bullet"/>
      <w:lvlText w:val=""/>
      <w:lvlJc w:val="left"/>
      <w:pPr>
        <w:ind w:left="2160" w:hanging="360"/>
      </w:pPr>
      <w:rPr>
        <w:rFonts w:ascii="Wingdings" w:hAnsi="Wingdings" w:hint="default"/>
      </w:rPr>
    </w:lvl>
    <w:lvl w:ilvl="3" w:tplc="8F9E0C30">
      <w:start w:val="1"/>
      <w:numFmt w:val="bullet"/>
      <w:lvlText w:val=""/>
      <w:lvlJc w:val="left"/>
      <w:pPr>
        <w:ind w:left="2880" w:hanging="360"/>
      </w:pPr>
      <w:rPr>
        <w:rFonts w:ascii="Symbol" w:hAnsi="Symbol" w:hint="default"/>
      </w:rPr>
    </w:lvl>
    <w:lvl w:ilvl="4" w:tplc="D1E24DF2">
      <w:start w:val="1"/>
      <w:numFmt w:val="bullet"/>
      <w:lvlText w:val="o"/>
      <w:lvlJc w:val="left"/>
      <w:pPr>
        <w:ind w:left="3600" w:hanging="360"/>
      </w:pPr>
      <w:rPr>
        <w:rFonts w:ascii="Courier New" w:hAnsi="Courier New" w:cs="Courier New" w:hint="default"/>
      </w:rPr>
    </w:lvl>
    <w:lvl w:ilvl="5" w:tplc="8CA4F8DC">
      <w:start w:val="1"/>
      <w:numFmt w:val="bullet"/>
      <w:lvlText w:val=""/>
      <w:lvlJc w:val="left"/>
      <w:pPr>
        <w:ind w:left="4320" w:hanging="360"/>
      </w:pPr>
      <w:rPr>
        <w:rFonts w:ascii="Wingdings" w:hAnsi="Wingdings" w:hint="default"/>
      </w:rPr>
    </w:lvl>
    <w:lvl w:ilvl="6" w:tplc="C0EA7484">
      <w:start w:val="1"/>
      <w:numFmt w:val="bullet"/>
      <w:lvlText w:val=""/>
      <w:lvlJc w:val="left"/>
      <w:pPr>
        <w:ind w:left="5040" w:hanging="360"/>
      </w:pPr>
      <w:rPr>
        <w:rFonts w:ascii="Symbol" w:hAnsi="Symbol" w:hint="default"/>
      </w:rPr>
    </w:lvl>
    <w:lvl w:ilvl="7" w:tplc="78000EA0">
      <w:start w:val="1"/>
      <w:numFmt w:val="bullet"/>
      <w:lvlText w:val="o"/>
      <w:lvlJc w:val="left"/>
      <w:pPr>
        <w:ind w:left="5760" w:hanging="360"/>
      </w:pPr>
      <w:rPr>
        <w:rFonts w:ascii="Courier New" w:hAnsi="Courier New" w:cs="Courier New" w:hint="default"/>
      </w:rPr>
    </w:lvl>
    <w:lvl w:ilvl="8" w:tplc="4ECEC50A">
      <w:start w:val="1"/>
      <w:numFmt w:val="bullet"/>
      <w:lvlText w:val=""/>
      <w:lvlJc w:val="left"/>
      <w:pPr>
        <w:ind w:left="6480" w:hanging="360"/>
      </w:pPr>
      <w:rPr>
        <w:rFonts w:ascii="Wingdings" w:hAnsi="Wingdings" w:hint="default"/>
      </w:rPr>
    </w:lvl>
  </w:abstractNum>
  <w:abstractNum w:abstractNumId="9" w15:restartNumberingAfterBreak="0">
    <w:nsid w:val="3D2C7AA9"/>
    <w:multiLevelType w:val="multilevel"/>
    <w:tmpl w:val="4418D746"/>
    <w:name w:val="List Bullet"/>
    <w:lvl w:ilvl="0">
      <w:start w:val="1"/>
      <w:numFmt w:val="bullet"/>
      <w:lvlText w:val=""/>
      <w:lvlJc w:val="left"/>
      <w:pPr>
        <w:tabs>
          <w:tab w:val="num" w:pos="284"/>
        </w:tabs>
        <w:ind w:left="0" w:firstLine="284"/>
      </w:pPr>
      <w:rPr>
        <w:rFonts w:ascii="Symbol" w:hAnsi="Symbol" w:hint="default"/>
      </w:rPr>
    </w:lvl>
    <w:lvl w:ilvl="1">
      <w:start w:val="1"/>
      <w:numFmt w:val="bullet"/>
      <w:lvlText w:val="o"/>
      <w:lvlJc w:val="left"/>
      <w:pPr>
        <w:tabs>
          <w:tab w:val="num" w:pos="567"/>
        </w:tabs>
        <w:ind w:left="284" w:firstLine="283"/>
      </w:pPr>
      <w:rPr>
        <w:rFonts w:ascii="Courier New" w:hAnsi="Courier New" w:hint="default"/>
      </w:rPr>
    </w:lvl>
    <w:lvl w:ilvl="2">
      <w:start w:val="1"/>
      <w:numFmt w:val="bullet"/>
      <w:pStyle w:val="ListBullet3"/>
      <w:lvlText w:val=""/>
      <w:lvlJc w:val="left"/>
      <w:pPr>
        <w:tabs>
          <w:tab w:val="num" w:pos="851"/>
        </w:tabs>
        <w:ind w:left="567" w:firstLine="284"/>
      </w:pPr>
      <w:rPr>
        <w:rFonts w:ascii="Wingdings" w:hAnsi="Wingdings" w:hint="default"/>
      </w:rPr>
    </w:lvl>
    <w:lvl w:ilvl="3">
      <w:start w:val="1"/>
      <w:numFmt w:val="bullet"/>
      <w:lvlText w:val=""/>
      <w:lvlJc w:val="left"/>
      <w:pPr>
        <w:tabs>
          <w:tab w:val="num" w:pos="1134"/>
        </w:tabs>
        <w:ind w:left="851" w:firstLine="283"/>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F863C35"/>
    <w:multiLevelType w:val="hybridMultilevel"/>
    <w:tmpl w:val="5CD83020"/>
    <w:styleLink w:val="RSCBNumberList1"/>
    <w:lvl w:ilvl="0" w:tplc="CC9C0416">
      <w:start w:val="1"/>
      <w:numFmt w:val="bullet"/>
      <w:lvlText w:val=""/>
      <w:lvlJc w:val="left"/>
      <w:pPr>
        <w:ind w:left="720" w:hanging="360"/>
      </w:pPr>
      <w:rPr>
        <w:rFonts w:ascii="Symbol" w:hAnsi="Symbol" w:hint="default"/>
      </w:rPr>
    </w:lvl>
    <w:lvl w:ilvl="1" w:tplc="F8661F74">
      <w:start w:val="1"/>
      <w:numFmt w:val="bullet"/>
      <w:lvlText w:val="o"/>
      <w:lvlJc w:val="left"/>
      <w:pPr>
        <w:ind w:left="1440" w:hanging="360"/>
      </w:pPr>
      <w:rPr>
        <w:rFonts w:ascii="Courier New" w:hAnsi="Courier New" w:hint="default"/>
      </w:rPr>
    </w:lvl>
    <w:lvl w:ilvl="2" w:tplc="1E9CAAAA">
      <w:start w:val="1"/>
      <w:numFmt w:val="bullet"/>
      <w:lvlText w:val=""/>
      <w:lvlJc w:val="left"/>
      <w:pPr>
        <w:ind w:left="2160" w:hanging="360"/>
      </w:pPr>
      <w:rPr>
        <w:rFonts w:ascii="Wingdings" w:hAnsi="Wingdings" w:hint="default"/>
      </w:rPr>
    </w:lvl>
    <w:lvl w:ilvl="3" w:tplc="C428E670">
      <w:start w:val="1"/>
      <w:numFmt w:val="bullet"/>
      <w:lvlText w:val=""/>
      <w:lvlJc w:val="left"/>
      <w:pPr>
        <w:ind w:left="2880" w:hanging="360"/>
      </w:pPr>
      <w:rPr>
        <w:rFonts w:ascii="Symbol" w:hAnsi="Symbol" w:hint="default"/>
      </w:rPr>
    </w:lvl>
    <w:lvl w:ilvl="4" w:tplc="0B3AF4D2">
      <w:start w:val="1"/>
      <w:numFmt w:val="bullet"/>
      <w:lvlText w:val="o"/>
      <w:lvlJc w:val="left"/>
      <w:pPr>
        <w:ind w:left="3600" w:hanging="360"/>
      </w:pPr>
      <w:rPr>
        <w:rFonts w:ascii="Courier New" w:hAnsi="Courier New" w:hint="default"/>
      </w:rPr>
    </w:lvl>
    <w:lvl w:ilvl="5" w:tplc="A10CE730">
      <w:start w:val="1"/>
      <w:numFmt w:val="bullet"/>
      <w:lvlText w:val=""/>
      <w:lvlJc w:val="left"/>
      <w:pPr>
        <w:ind w:left="4320" w:hanging="360"/>
      </w:pPr>
      <w:rPr>
        <w:rFonts w:ascii="Wingdings" w:hAnsi="Wingdings" w:hint="default"/>
      </w:rPr>
    </w:lvl>
    <w:lvl w:ilvl="6" w:tplc="B8D8A7C2">
      <w:start w:val="1"/>
      <w:numFmt w:val="bullet"/>
      <w:lvlText w:val=""/>
      <w:lvlJc w:val="left"/>
      <w:pPr>
        <w:ind w:left="5040" w:hanging="360"/>
      </w:pPr>
      <w:rPr>
        <w:rFonts w:ascii="Symbol" w:hAnsi="Symbol" w:hint="default"/>
      </w:rPr>
    </w:lvl>
    <w:lvl w:ilvl="7" w:tplc="66845014">
      <w:start w:val="1"/>
      <w:numFmt w:val="bullet"/>
      <w:lvlText w:val="o"/>
      <w:lvlJc w:val="left"/>
      <w:pPr>
        <w:ind w:left="5760" w:hanging="360"/>
      </w:pPr>
      <w:rPr>
        <w:rFonts w:ascii="Courier New" w:hAnsi="Courier New" w:hint="default"/>
      </w:rPr>
    </w:lvl>
    <w:lvl w:ilvl="8" w:tplc="87B0D158">
      <w:start w:val="1"/>
      <w:numFmt w:val="bullet"/>
      <w:lvlText w:val=""/>
      <w:lvlJc w:val="left"/>
      <w:pPr>
        <w:ind w:left="6480" w:hanging="360"/>
      </w:pPr>
      <w:rPr>
        <w:rFonts w:ascii="Wingdings" w:hAnsi="Wingdings" w:hint="default"/>
      </w:rPr>
    </w:lvl>
  </w:abstractNum>
  <w:abstractNum w:abstractNumId="11" w15:restartNumberingAfterBreak="0">
    <w:nsid w:val="445BF980"/>
    <w:multiLevelType w:val="hybridMultilevel"/>
    <w:tmpl w:val="C2F6E516"/>
    <w:lvl w:ilvl="0" w:tplc="1CBE1A52">
      <w:start w:val="1"/>
      <w:numFmt w:val="bullet"/>
      <w:lvlText w:val=""/>
      <w:lvlJc w:val="left"/>
      <w:pPr>
        <w:ind w:left="720" w:hanging="360"/>
      </w:pPr>
      <w:rPr>
        <w:rFonts w:ascii="Symbol" w:hAnsi="Symbol" w:hint="default"/>
      </w:rPr>
    </w:lvl>
    <w:lvl w:ilvl="1" w:tplc="096E3126">
      <w:start w:val="1"/>
      <w:numFmt w:val="bullet"/>
      <w:lvlText w:val="o"/>
      <w:lvlJc w:val="left"/>
      <w:pPr>
        <w:ind w:left="1440" w:hanging="360"/>
      </w:pPr>
      <w:rPr>
        <w:rFonts w:ascii="Courier New" w:hAnsi="Courier New" w:hint="default"/>
      </w:rPr>
    </w:lvl>
    <w:lvl w:ilvl="2" w:tplc="EEFE31D2">
      <w:start w:val="1"/>
      <w:numFmt w:val="bullet"/>
      <w:lvlText w:val=""/>
      <w:lvlJc w:val="left"/>
      <w:pPr>
        <w:ind w:left="2160" w:hanging="360"/>
      </w:pPr>
      <w:rPr>
        <w:rFonts w:ascii="Wingdings" w:hAnsi="Wingdings" w:hint="default"/>
      </w:rPr>
    </w:lvl>
    <w:lvl w:ilvl="3" w:tplc="BA584956">
      <w:start w:val="1"/>
      <w:numFmt w:val="bullet"/>
      <w:lvlText w:val=""/>
      <w:lvlJc w:val="left"/>
      <w:pPr>
        <w:ind w:left="2880" w:hanging="360"/>
      </w:pPr>
      <w:rPr>
        <w:rFonts w:ascii="Symbol" w:hAnsi="Symbol" w:hint="default"/>
      </w:rPr>
    </w:lvl>
    <w:lvl w:ilvl="4" w:tplc="E85462E2">
      <w:start w:val="1"/>
      <w:numFmt w:val="bullet"/>
      <w:lvlText w:val="o"/>
      <w:lvlJc w:val="left"/>
      <w:pPr>
        <w:ind w:left="3600" w:hanging="360"/>
      </w:pPr>
      <w:rPr>
        <w:rFonts w:ascii="Courier New" w:hAnsi="Courier New" w:hint="default"/>
      </w:rPr>
    </w:lvl>
    <w:lvl w:ilvl="5" w:tplc="E21A8614">
      <w:start w:val="1"/>
      <w:numFmt w:val="bullet"/>
      <w:lvlText w:val=""/>
      <w:lvlJc w:val="left"/>
      <w:pPr>
        <w:ind w:left="4320" w:hanging="360"/>
      </w:pPr>
      <w:rPr>
        <w:rFonts w:ascii="Wingdings" w:hAnsi="Wingdings" w:hint="default"/>
      </w:rPr>
    </w:lvl>
    <w:lvl w:ilvl="6" w:tplc="578AAA9A">
      <w:start w:val="1"/>
      <w:numFmt w:val="bullet"/>
      <w:lvlText w:val=""/>
      <w:lvlJc w:val="left"/>
      <w:pPr>
        <w:ind w:left="5040" w:hanging="360"/>
      </w:pPr>
      <w:rPr>
        <w:rFonts w:ascii="Symbol" w:hAnsi="Symbol" w:hint="default"/>
      </w:rPr>
    </w:lvl>
    <w:lvl w:ilvl="7" w:tplc="5F6C50D6">
      <w:start w:val="1"/>
      <w:numFmt w:val="bullet"/>
      <w:lvlText w:val="o"/>
      <w:lvlJc w:val="left"/>
      <w:pPr>
        <w:ind w:left="5760" w:hanging="360"/>
      </w:pPr>
      <w:rPr>
        <w:rFonts w:ascii="Courier New" w:hAnsi="Courier New" w:hint="default"/>
      </w:rPr>
    </w:lvl>
    <w:lvl w:ilvl="8" w:tplc="B322A3C4">
      <w:start w:val="1"/>
      <w:numFmt w:val="bullet"/>
      <w:lvlText w:val=""/>
      <w:lvlJc w:val="left"/>
      <w:pPr>
        <w:ind w:left="6480" w:hanging="360"/>
      </w:pPr>
      <w:rPr>
        <w:rFonts w:ascii="Wingdings" w:hAnsi="Wingdings" w:hint="default"/>
      </w:rPr>
    </w:lvl>
  </w:abstractNum>
  <w:abstractNum w:abstractNumId="12" w15:restartNumberingAfterBreak="0">
    <w:nsid w:val="45A0444C"/>
    <w:multiLevelType w:val="hybridMultilevel"/>
    <w:tmpl w:val="9D0E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484598"/>
    <w:multiLevelType w:val="hybridMultilevel"/>
    <w:tmpl w:val="21181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8A2292"/>
    <w:multiLevelType w:val="hybridMultilevel"/>
    <w:tmpl w:val="E96C5ED4"/>
    <w:name w:val="List Bullet2"/>
    <w:lvl w:ilvl="0" w:tplc="F15013B6">
      <w:start w:val="1"/>
      <w:numFmt w:val="bullet"/>
      <w:pStyle w:val="ListBullet4"/>
      <w:lvlText w:val=""/>
      <w:lvlJc w:val="left"/>
      <w:pPr>
        <w:ind w:left="157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5" w15:restartNumberingAfterBreak="0">
    <w:nsid w:val="4B20547D"/>
    <w:multiLevelType w:val="hybridMultilevel"/>
    <w:tmpl w:val="D81AF99C"/>
    <w:name w:val="Findings"/>
    <w:lvl w:ilvl="0" w:tplc="0896D8E8">
      <w:start w:val="1"/>
      <w:numFmt w:val="decimal"/>
      <w:suff w:val="nothing"/>
      <w:lvlText w:val="Finding %1."/>
      <w:lvlJc w:val="left"/>
      <w:pPr>
        <w:ind w:left="357" w:hanging="35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ABC06">
      <w:start w:val="1"/>
      <w:numFmt w:val="lowerLetter"/>
      <w:lvlText w:val="%2)"/>
      <w:lvlJc w:val="left"/>
      <w:pPr>
        <w:ind w:left="720" w:hanging="360"/>
      </w:pPr>
      <w:rPr>
        <w:rFonts w:hint="default"/>
      </w:rPr>
    </w:lvl>
    <w:lvl w:ilvl="2" w:tplc="A1384FD6">
      <w:start w:val="1"/>
      <w:numFmt w:val="lowerRoman"/>
      <w:lvlText w:val="%3)"/>
      <w:lvlJc w:val="left"/>
      <w:pPr>
        <w:ind w:left="1080" w:hanging="360"/>
      </w:pPr>
      <w:rPr>
        <w:rFonts w:hint="default"/>
      </w:rPr>
    </w:lvl>
    <w:lvl w:ilvl="3" w:tplc="377AD0D8">
      <w:start w:val="1"/>
      <w:numFmt w:val="decimal"/>
      <w:lvlText w:val="(%4)"/>
      <w:lvlJc w:val="left"/>
      <w:pPr>
        <w:ind w:left="1440" w:hanging="360"/>
      </w:pPr>
      <w:rPr>
        <w:rFonts w:hint="default"/>
      </w:rPr>
    </w:lvl>
    <w:lvl w:ilvl="4" w:tplc="938A9FEC">
      <w:start w:val="1"/>
      <w:numFmt w:val="lowerLetter"/>
      <w:lvlText w:val="(%5)"/>
      <w:lvlJc w:val="left"/>
      <w:pPr>
        <w:ind w:left="1800" w:hanging="360"/>
      </w:pPr>
      <w:rPr>
        <w:rFonts w:hint="default"/>
      </w:rPr>
    </w:lvl>
    <w:lvl w:ilvl="5" w:tplc="8A405278">
      <w:start w:val="1"/>
      <w:numFmt w:val="lowerRoman"/>
      <w:lvlText w:val="(%6)"/>
      <w:lvlJc w:val="left"/>
      <w:pPr>
        <w:ind w:left="2160" w:hanging="360"/>
      </w:pPr>
      <w:rPr>
        <w:rFonts w:hint="default"/>
      </w:rPr>
    </w:lvl>
    <w:lvl w:ilvl="6" w:tplc="1728C2D6">
      <w:start w:val="1"/>
      <w:numFmt w:val="decimal"/>
      <w:lvlText w:val="%7."/>
      <w:lvlJc w:val="left"/>
      <w:pPr>
        <w:ind w:left="2520" w:hanging="360"/>
      </w:pPr>
      <w:rPr>
        <w:rFonts w:hint="default"/>
      </w:rPr>
    </w:lvl>
    <w:lvl w:ilvl="7" w:tplc="15443C94">
      <w:start w:val="1"/>
      <w:numFmt w:val="lowerLetter"/>
      <w:lvlText w:val="%8."/>
      <w:lvlJc w:val="left"/>
      <w:pPr>
        <w:ind w:left="2880" w:hanging="360"/>
      </w:pPr>
      <w:rPr>
        <w:rFonts w:hint="default"/>
      </w:rPr>
    </w:lvl>
    <w:lvl w:ilvl="8" w:tplc="560C692A">
      <w:start w:val="1"/>
      <w:numFmt w:val="lowerRoman"/>
      <w:lvlText w:val="%9."/>
      <w:lvlJc w:val="left"/>
      <w:pPr>
        <w:ind w:left="3240" w:hanging="360"/>
      </w:pPr>
      <w:rPr>
        <w:rFonts w:hint="default"/>
      </w:rPr>
    </w:lvl>
  </w:abstractNum>
  <w:abstractNum w:abstractNumId="16" w15:restartNumberingAfterBreak="0">
    <w:nsid w:val="520F57CF"/>
    <w:multiLevelType w:val="multilevel"/>
    <w:tmpl w:val="E4368570"/>
    <w:lvl w:ilvl="0">
      <w:start w:val="1"/>
      <w:numFmt w:val="decimal"/>
      <w:pStyle w:val="Heading1-Numbered"/>
      <w:suff w:val="space"/>
      <w:lvlText w:val="Part %1:"/>
      <w:lvlJc w:val="left"/>
      <w:pPr>
        <w:ind w:left="2359" w:hanging="2359"/>
      </w:pPr>
      <w:rPr>
        <w:rFonts w:hint="default"/>
      </w:rPr>
    </w:lvl>
    <w:lvl w:ilvl="1">
      <w:start w:val="1"/>
      <w:numFmt w:val="decimal"/>
      <w:pStyle w:val="Heading2-Numbered"/>
      <w:lvlText w:val="%1.%2"/>
      <w:lvlJc w:val="left"/>
      <w:pPr>
        <w:tabs>
          <w:tab w:val="num" w:pos="6260"/>
        </w:tabs>
        <w:ind w:left="6175" w:hanging="595"/>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59E86A4"/>
    <w:multiLevelType w:val="hybridMultilevel"/>
    <w:tmpl w:val="2E6C5D3A"/>
    <w:lvl w:ilvl="0" w:tplc="EBC4826E">
      <w:start w:val="1"/>
      <w:numFmt w:val="bullet"/>
      <w:lvlText w:val=""/>
      <w:lvlJc w:val="left"/>
      <w:pPr>
        <w:ind w:left="720" w:hanging="360"/>
      </w:pPr>
      <w:rPr>
        <w:rFonts w:ascii="Symbol" w:hAnsi="Symbol" w:hint="default"/>
      </w:rPr>
    </w:lvl>
    <w:lvl w:ilvl="1" w:tplc="4DC019F2">
      <w:start w:val="1"/>
      <w:numFmt w:val="bullet"/>
      <w:lvlText w:val="o"/>
      <w:lvlJc w:val="left"/>
      <w:pPr>
        <w:ind w:left="1440" w:hanging="360"/>
      </w:pPr>
      <w:rPr>
        <w:rFonts w:ascii="Courier New" w:hAnsi="Courier New" w:hint="default"/>
      </w:rPr>
    </w:lvl>
    <w:lvl w:ilvl="2" w:tplc="B03A2132">
      <w:start w:val="1"/>
      <w:numFmt w:val="bullet"/>
      <w:lvlText w:val=""/>
      <w:lvlJc w:val="left"/>
      <w:pPr>
        <w:ind w:left="2160" w:hanging="360"/>
      </w:pPr>
      <w:rPr>
        <w:rFonts w:ascii="Wingdings" w:hAnsi="Wingdings" w:hint="default"/>
      </w:rPr>
    </w:lvl>
    <w:lvl w:ilvl="3" w:tplc="FD52001E">
      <w:start w:val="1"/>
      <w:numFmt w:val="bullet"/>
      <w:lvlText w:val=""/>
      <w:lvlJc w:val="left"/>
      <w:pPr>
        <w:ind w:left="2880" w:hanging="360"/>
      </w:pPr>
      <w:rPr>
        <w:rFonts w:ascii="Symbol" w:hAnsi="Symbol" w:hint="default"/>
      </w:rPr>
    </w:lvl>
    <w:lvl w:ilvl="4" w:tplc="E698DA70">
      <w:start w:val="1"/>
      <w:numFmt w:val="bullet"/>
      <w:lvlText w:val="o"/>
      <w:lvlJc w:val="left"/>
      <w:pPr>
        <w:ind w:left="3600" w:hanging="360"/>
      </w:pPr>
      <w:rPr>
        <w:rFonts w:ascii="Courier New" w:hAnsi="Courier New" w:hint="default"/>
      </w:rPr>
    </w:lvl>
    <w:lvl w:ilvl="5" w:tplc="B454B158">
      <w:start w:val="1"/>
      <w:numFmt w:val="bullet"/>
      <w:lvlText w:val=""/>
      <w:lvlJc w:val="left"/>
      <w:pPr>
        <w:ind w:left="4320" w:hanging="360"/>
      </w:pPr>
      <w:rPr>
        <w:rFonts w:ascii="Wingdings" w:hAnsi="Wingdings" w:hint="default"/>
      </w:rPr>
    </w:lvl>
    <w:lvl w:ilvl="6" w:tplc="1D42DC8E">
      <w:start w:val="1"/>
      <w:numFmt w:val="bullet"/>
      <w:lvlText w:val=""/>
      <w:lvlJc w:val="left"/>
      <w:pPr>
        <w:ind w:left="5040" w:hanging="360"/>
      </w:pPr>
      <w:rPr>
        <w:rFonts w:ascii="Symbol" w:hAnsi="Symbol" w:hint="default"/>
      </w:rPr>
    </w:lvl>
    <w:lvl w:ilvl="7" w:tplc="B3D465A6">
      <w:start w:val="1"/>
      <w:numFmt w:val="bullet"/>
      <w:lvlText w:val="o"/>
      <w:lvlJc w:val="left"/>
      <w:pPr>
        <w:ind w:left="5760" w:hanging="360"/>
      </w:pPr>
      <w:rPr>
        <w:rFonts w:ascii="Courier New" w:hAnsi="Courier New" w:hint="default"/>
      </w:rPr>
    </w:lvl>
    <w:lvl w:ilvl="8" w:tplc="051409D6">
      <w:start w:val="1"/>
      <w:numFmt w:val="bullet"/>
      <w:lvlText w:val=""/>
      <w:lvlJc w:val="left"/>
      <w:pPr>
        <w:ind w:left="6480" w:hanging="360"/>
      </w:pPr>
      <w:rPr>
        <w:rFonts w:ascii="Wingdings" w:hAnsi="Wingdings" w:hint="default"/>
      </w:rPr>
    </w:lvl>
  </w:abstractNum>
  <w:abstractNum w:abstractNumId="18" w15:restartNumberingAfterBreak="0">
    <w:nsid w:val="5BCB486C"/>
    <w:multiLevelType w:val="hybridMultilevel"/>
    <w:tmpl w:val="14BE0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7C40D8"/>
    <w:multiLevelType w:val="hybridMultilevel"/>
    <w:tmpl w:val="A0A66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FC38E6"/>
    <w:multiLevelType w:val="hybridMultilevel"/>
    <w:tmpl w:val="D3982BE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6E215D"/>
    <w:multiLevelType w:val="hybridMultilevel"/>
    <w:tmpl w:val="EA0C727E"/>
    <w:name w:val="List Bullet3"/>
    <w:lvl w:ilvl="0" w:tplc="B79E96F8">
      <w:start w:val="1"/>
      <w:numFmt w:val="bullet"/>
      <w:pStyle w:val="ListBullet2"/>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2" w15:restartNumberingAfterBreak="0">
    <w:nsid w:val="69C447DD"/>
    <w:multiLevelType w:val="hybridMultilevel"/>
    <w:tmpl w:val="F2CAD1FA"/>
    <w:styleLink w:val="Style1"/>
    <w:lvl w:ilvl="0" w:tplc="1A5CC422">
      <w:start w:val="1"/>
      <w:numFmt w:val="bullet"/>
      <w:lvlText w:val="·"/>
      <w:lvlJc w:val="left"/>
      <w:pPr>
        <w:ind w:left="720" w:hanging="360"/>
      </w:pPr>
      <w:rPr>
        <w:rFonts w:ascii="Symbol" w:hAnsi="Symbol" w:hint="default"/>
      </w:rPr>
    </w:lvl>
    <w:lvl w:ilvl="1" w:tplc="DA0468A0">
      <w:start w:val="1"/>
      <w:numFmt w:val="bullet"/>
      <w:lvlText w:val="o"/>
      <w:lvlJc w:val="left"/>
      <w:pPr>
        <w:ind w:left="1440" w:hanging="360"/>
      </w:pPr>
      <w:rPr>
        <w:rFonts w:ascii="&quot;Courier New&quot;" w:hAnsi="&quot;Courier New&quot;" w:hint="default"/>
      </w:rPr>
    </w:lvl>
    <w:lvl w:ilvl="2" w:tplc="38928126">
      <w:start w:val="1"/>
      <w:numFmt w:val="bullet"/>
      <w:lvlText w:val=""/>
      <w:lvlJc w:val="left"/>
      <w:pPr>
        <w:ind w:left="2160" w:hanging="360"/>
      </w:pPr>
      <w:rPr>
        <w:rFonts w:ascii="Wingdings" w:hAnsi="Wingdings" w:hint="default"/>
      </w:rPr>
    </w:lvl>
    <w:lvl w:ilvl="3" w:tplc="0ABE641E">
      <w:start w:val="1"/>
      <w:numFmt w:val="bullet"/>
      <w:lvlText w:val=""/>
      <w:lvlJc w:val="left"/>
      <w:pPr>
        <w:ind w:left="2880" w:hanging="360"/>
      </w:pPr>
      <w:rPr>
        <w:rFonts w:ascii="Symbol" w:hAnsi="Symbol" w:hint="default"/>
      </w:rPr>
    </w:lvl>
    <w:lvl w:ilvl="4" w:tplc="69ECFEDC">
      <w:start w:val="1"/>
      <w:numFmt w:val="bullet"/>
      <w:lvlText w:val="o"/>
      <w:lvlJc w:val="left"/>
      <w:pPr>
        <w:ind w:left="3600" w:hanging="360"/>
      </w:pPr>
      <w:rPr>
        <w:rFonts w:ascii="Courier New" w:hAnsi="Courier New" w:hint="default"/>
      </w:rPr>
    </w:lvl>
    <w:lvl w:ilvl="5" w:tplc="0128B574">
      <w:start w:val="1"/>
      <w:numFmt w:val="bullet"/>
      <w:lvlText w:val=""/>
      <w:lvlJc w:val="left"/>
      <w:pPr>
        <w:ind w:left="4320" w:hanging="360"/>
      </w:pPr>
      <w:rPr>
        <w:rFonts w:ascii="Wingdings" w:hAnsi="Wingdings" w:hint="default"/>
      </w:rPr>
    </w:lvl>
    <w:lvl w:ilvl="6" w:tplc="A2448FF0">
      <w:start w:val="1"/>
      <w:numFmt w:val="bullet"/>
      <w:lvlText w:val=""/>
      <w:lvlJc w:val="left"/>
      <w:pPr>
        <w:ind w:left="5040" w:hanging="360"/>
      </w:pPr>
      <w:rPr>
        <w:rFonts w:ascii="Symbol" w:hAnsi="Symbol" w:hint="default"/>
      </w:rPr>
    </w:lvl>
    <w:lvl w:ilvl="7" w:tplc="89B68EAE">
      <w:start w:val="1"/>
      <w:numFmt w:val="bullet"/>
      <w:lvlText w:val="o"/>
      <w:lvlJc w:val="left"/>
      <w:pPr>
        <w:ind w:left="5760" w:hanging="360"/>
      </w:pPr>
      <w:rPr>
        <w:rFonts w:ascii="Courier New" w:hAnsi="Courier New" w:hint="default"/>
      </w:rPr>
    </w:lvl>
    <w:lvl w:ilvl="8" w:tplc="1BE2ED4E">
      <w:start w:val="1"/>
      <w:numFmt w:val="bullet"/>
      <w:lvlText w:val=""/>
      <w:lvlJc w:val="left"/>
      <w:pPr>
        <w:ind w:left="6480" w:hanging="360"/>
      </w:pPr>
      <w:rPr>
        <w:rFonts w:ascii="Wingdings" w:hAnsi="Wingdings" w:hint="default"/>
      </w:rPr>
    </w:lvl>
  </w:abstractNum>
  <w:abstractNum w:abstractNumId="23" w15:restartNumberingAfterBreak="0">
    <w:nsid w:val="6DC43AC1"/>
    <w:multiLevelType w:val="hybridMultilevel"/>
    <w:tmpl w:val="8E70E3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1761546"/>
    <w:multiLevelType w:val="hybridMultilevel"/>
    <w:tmpl w:val="2F38F05A"/>
    <w:lvl w:ilvl="0" w:tplc="55CCFDBE">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92749728">
    <w:abstractNumId w:val="3"/>
  </w:num>
  <w:num w:numId="2" w16cid:durableId="1453479560">
    <w:abstractNumId w:val="11"/>
  </w:num>
  <w:num w:numId="3" w16cid:durableId="2076007129">
    <w:abstractNumId w:val="17"/>
  </w:num>
  <w:num w:numId="4" w16cid:durableId="852650604">
    <w:abstractNumId w:val="10"/>
  </w:num>
  <w:num w:numId="5" w16cid:durableId="1679120602">
    <w:abstractNumId w:val="22"/>
  </w:num>
  <w:num w:numId="6" w16cid:durableId="1712148981">
    <w:abstractNumId w:val="16"/>
  </w:num>
  <w:num w:numId="7" w16cid:durableId="1323696237">
    <w:abstractNumId w:val="0"/>
  </w:num>
  <w:num w:numId="8" w16cid:durableId="369233700">
    <w:abstractNumId w:val="2"/>
  </w:num>
  <w:num w:numId="9" w16cid:durableId="1466586822">
    <w:abstractNumId w:val="9"/>
  </w:num>
  <w:num w:numId="10" w16cid:durableId="1633168944">
    <w:abstractNumId w:val="14"/>
  </w:num>
  <w:num w:numId="11" w16cid:durableId="1862013602">
    <w:abstractNumId w:val="21"/>
  </w:num>
  <w:num w:numId="12" w16cid:durableId="341707984">
    <w:abstractNumId w:val="0"/>
    <w:lvlOverride w:ilvl="0">
      <w:startOverride w:val="1"/>
    </w:lvlOverride>
  </w:num>
  <w:num w:numId="13" w16cid:durableId="2099524016">
    <w:abstractNumId w:val="24"/>
  </w:num>
  <w:num w:numId="14" w16cid:durableId="1569418268">
    <w:abstractNumId w:val="13"/>
  </w:num>
  <w:num w:numId="15" w16cid:durableId="462116445">
    <w:abstractNumId w:val="8"/>
  </w:num>
  <w:num w:numId="16" w16cid:durableId="667488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9973645">
    <w:abstractNumId w:val="1"/>
  </w:num>
  <w:num w:numId="18" w16cid:durableId="665789466">
    <w:abstractNumId w:val="0"/>
  </w:num>
  <w:num w:numId="19" w16cid:durableId="603344017">
    <w:abstractNumId w:val="16"/>
  </w:num>
  <w:num w:numId="20" w16cid:durableId="1056315467">
    <w:abstractNumId w:val="16"/>
  </w:num>
  <w:num w:numId="21" w16cid:durableId="998312236">
    <w:abstractNumId w:val="4"/>
  </w:num>
  <w:num w:numId="22" w16cid:durableId="2104300841">
    <w:abstractNumId w:val="24"/>
  </w:num>
  <w:num w:numId="23" w16cid:durableId="2037196180">
    <w:abstractNumId w:val="18"/>
  </w:num>
  <w:num w:numId="24" w16cid:durableId="570623143">
    <w:abstractNumId w:val="5"/>
  </w:num>
  <w:num w:numId="25" w16cid:durableId="1894660770">
    <w:abstractNumId w:val="6"/>
  </w:num>
  <w:num w:numId="26" w16cid:durableId="2103715848">
    <w:abstractNumId w:val="20"/>
  </w:num>
  <w:num w:numId="27" w16cid:durableId="1358971292">
    <w:abstractNumId w:val="24"/>
  </w:num>
  <w:num w:numId="28" w16cid:durableId="133378596">
    <w:abstractNumId w:val="12"/>
  </w:num>
  <w:num w:numId="29" w16cid:durableId="1492914859">
    <w:abstractNumId w:val="19"/>
  </w:num>
  <w:num w:numId="30" w16cid:durableId="1633097865">
    <w:abstractNumId w:val="16"/>
  </w:num>
  <w:num w:numId="31" w16cid:durableId="1402559375">
    <w:abstractNumId w:val="24"/>
  </w:num>
  <w:num w:numId="32" w16cid:durableId="1113787261">
    <w:abstractNumId w:val="24"/>
  </w:num>
  <w:num w:numId="33" w16cid:durableId="1790856078">
    <w:abstractNumId w:val="24"/>
  </w:num>
  <w:num w:numId="34" w16cid:durableId="8915888">
    <w:abstractNumId w:val="24"/>
  </w:num>
  <w:num w:numId="35" w16cid:durableId="2019386298">
    <w:abstractNumId w:val="24"/>
  </w:num>
  <w:num w:numId="36" w16cid:durableId="1253321240">
    <w:abstractNumId w:val="16"/>
  </w:num>
  <w:num w:numId="37" w16cid:durableId="2065323608">
    <w:abstractNumId w:val="16"/>
  </w:num>
  <w:num w:numId="38" w16cid:durableId="1610160628">
    <w:abstractNumId w:val="23"/>
  </w:num>
  <w:num w:numId="39" w16cid:durableId="59317293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5B8"/>
    <w:rsid w:val="0000056F"/>
    <w:rsid w:val="0000077F"/>
    <w:rsid w:val="00000810"/>
    <w:rsid w:val="000008B9"/>
    <w:rsid w:val="00001004"/>
    <w:rsid w:val="00001086"/>
    <w:rsid w:val="000014D5"/>
    <w:rsid w:val="000016A9"/>
    <w:rsid w:val="0000170C"/>
    <w:rsid w:val="00001924"/>
    <w:rsid w:val="0000194C"/>
    <w:rsid w:val="00001DA5"/>
    <w:rsid w:val="00001FBC"/>
    <w:rsid w:val="0000213F"/>
    <w:rsid w:val="000023CC"/>
    <w:rsid w:val="000024A2"/>
    <w:rsid w:val="000026CE"/>
    <w:rsid w:val="0000274B"/>
    <w:rsid w:val="000029BF"/>
    <w:rsid w:val="00002D11"/>
    <w:rsid w:val="00002D1D"/>
    <w:rsid w:val="0000308B"/>
    <w:rsid w:val="0000315F"/>
    <w:rsid w:val="000037FA"/>
    <w:rsid w:val="00003963"/>
    <w:rsid w:val="00003B35"/>
    <w:rsid w:val="00003ED6"/>
    <w:rsid w:val="000043B1"/>
    <w:rsid w:val="00004881"/>
    <w:rsid w:val="00004C20"/>
    <w:rsid w:val="00004D6E"/>
    <w:rsid w:val="00004DBD"/>
    <w:rsid w:val="0000526B"/>
    <w:rsid w:val="000057C5"/>
    <w:rsid w:val="0000591B"/>
    <w:rsid w:val="00005A5A"/>
    <w:rsid w:val="00005AFA"/>
    <w:rsid w:val="00005D23"/>
    <w:rsid w:val="00005F8D"/>
    <w:rsid w:val="0000651D"/>
    <w:rsid w:val="000065D7"/>
    <w:rsid w:val="00006716"/>
    <w:rsid w:val="000069B1"/>
    <w:rsid w:val="00006CC6"/>
    <w:rsid w:val="00007136"/>
    <w:rsid w:val="000071CF"/>
    <w:rsid w:val="00007339"/>
    <w:rsid w:val="00007462"/>
    <w:rsid w:val="00007559"/>
    <w:rsid w:val="000076B2"/>
    <w:rsid w:val="00007ABF"/>
    <w:rsid w:val="00007B99"/>
    <w:rsid w:val="00007BF1"/>
    <w:rsid w:val="00007E3B"/>
    <w:rsid w:val="00010010"/>
    <w:rsid w:val="0001002F"/>
    <w:rsid w:val="000103DC"/>
    <w:rsid w:val="00010443"/>
    <w:rsid w:val="000104FE"/>
    <w:rsid w:val="00010ABA"/>
    <w:rsid w:val="00010B2B"/>
    <w:rsid w:val="00010C7E"/>
    <w:rsid w:val="0001134C"/>
    <w:rsid w:val="00011444"/>
    <w:rsid w:val="00011787"/>
    <w:rsid w:val="000118B2"/>
    <w:rsid w:val="00011927"/>
    <w:rsid w:val="00011941"/>
    <w:rsid w:val="0001197D"/>
    <w:rsid w:val="00011CFA"/>
    <w:rsid w:val="00011F8E"/>
    <w:rsid w:val="00011F92"/>
    <w:rsid w:val="0001263F"/>
    <w:rsid w:val="0001267D"/>
    <w:rsid w:val="00012719"/>
    <w:rsid w:val="00012749"/>
    <w:rsid w:val="00012EBC"/>
    <w:rsid w:val="00012F97"/>
    <w:rsid w:val="0001310F"/>
    <w:rsid w:val="00013441"/>
    <w:rsid w:val="0001362A"/>
    <w:rsid w:val="00013646"/>
    <w:rsid w:val="00013980"/>
    <w:rsid w:val="00013C2A"/>
    <w:rsid w:val="00013CCA"/>
    <w:rsid w:val="0001467C"/>
    <w:rsid w:val="000146DD"/>
    <w:rsid w:val="00014720"/>
    <w:rsid w:val="000148D7"/>
    <w:rsid w:val="000149C0"/>
    <w:rsid w:val="00014A45"/>
    <w:rsid w:val="00014F2A"/>
    <w:rsid w:val="00014F7F"/>
    <w:rsid w:val="00015003"/>
    <w:rsid w:val="0001534F"/>
    <w:rsid w:val="000155F7"/>
    <w:rsid w:val="000156C5"/>
    <w:rsid w:val="0001573B"/>
    <w:rsid w:val="00015772"/>
    <w:rsid w:val="000157DC"/>
    <w:rsid w:val="000159C4"/>
    <w:rsid w:val="00015A3B"/>
    <w:rsid w:val="00015DA7"/>
    <w:rsid w:val="00016E1D"/>
    <w:rsid w:val="00016EE4"/>
    <w:rsid w:val="00017073"/>
    <w:rsid w:val="0001709B"/>
    <w:rsid w:val="000171B6"/>
    <w:rsid w:val="000173ED"/>
    <w:rsid w:val="00017541"/>
    <w:rsid w:val="000179DD"/>
    <w:rsid w:val="000200AF"/>
    <w:rsid w:val="000200B3"/>
    <w:rsid w:val="00020954"/>
    <w:rsid w:val="000209CB"/>
    <w:rsid w:val="00020EF1"/>
    <w:rsid w:val="00020F24"/>
    <w:rsid w:val="000210BA"/>
    <w:rsid w:val="000210EA"/>
    <w:rsid w:val="00021536"/>
    <w:rsid w:val="00021689"/>
    <w:rsid w:val="00021AC5"/>
    <w:rsid w:val="00021BE6"/>
    <w:rsid w:val="00022003"/>
    <w:rsid w:val="00022118"/>
    <w:rsid w:val="000222FB"/>
    <w:rsid w:val="000227C7"/>
    <w:rsid w:val="00022858"/>
    <w:rsid w:val="00022940"/>
    <w:rsid w:val="00022AF2"/>
    <w:rsid w:val="00022BAF"/>
    <w:rsid w:val="0002308F"/>
    <w:rsid w:val="000230B7"/>
    <w:rsid w:val="000230E0"/>
    <w:rsid w:val="000234A3"/>
    <w:rsid w:val="000234C9"/>
    <w:rsid w:val="00023A61"/>
    <w:rsid w:val="00023DA5"/>
    <w:rsid w:val="00024071"/>
    <w:rsid w:val="0002419A"/>
    <w:rsid w:val="0002450C"/>
    <w:rsid w:val="00024B2B"/>
    <w:rsid w:val="00025169"/>
    <w:rsid w:val="0002523D"/>
    <w:rsid w:val="000252FE"/>
    <w:rsid w:val="00025CEC"/>
    <w:rsid w:val="00025DDB"/>
    <w:rsid w:val="00026169"/>
    <w:rsid w:val="0002638E"/>
    <w:rsid w:val="00026506"/>
    <w:rsid w:val="00026ABF"/>
    <w:rsid w:val="00026BAA"/>
    <w:rsid w:val="00026D30"/>
    <w:rsid w:val="00026D88"/>
    <w:rsid w:val="000271BC"/>
    <w:rsid w:val="0002738C"/>
    <w:rsid w:val="0002761E"/>
    <w:rsid w:val="00027784"/>
    <w:rsid w:val="000278C6"/>
    <w:rsid w:val="00027958"/>
    <w:rsid w:val="00027BD7"/>
    <w:rsid w:val="00027C12"/>
    <w:rsid w:val="00027E41"/>
    <w:rsid w:val="0003009E"/>
    <w:rsid w:val="000300C7"/>
    <w:rsid w:val="00030229"/>
    <w:rsid w:val="0003034E"/>
    <w:rsid w:val="000303AB"/>
    <w:rsid w:val="0003072E"/>
    <w:rsid w:val="00030957"/>
    <w:rsid w:val="00030EC1"/>
    <w:rsid w:val="00030F8F"/>
    <w:rsid w:val="00031017"/>
    <w:rsid w:val="000310C6"/>
    <w:rsid w:val="00031A25"/>
    <w:rsid w:val="00031BB7"/>
    <w:rsid w:val="00031E5E"/>
    <w:rsid w:val="00032177"/>
    <w:rsid w:val="000326B1"/>
    <w:rsid w:val="00032862"/>
    <w:rsid w:val="00032981"/>
    <w:rsid w:val="00032D08"/>
    <w:rsid w:val="00032F3E"/>
    <w:rsid w:val="00033611"/>
    <w:rsid w:val="000338FF"/>
    <w:rsid w:val="00033A65"/>
    <w:rsid w:val="00033E20"/>
    <w:rsid w:val="0003407C"/>
    <w:rsid w:val="00034112"/>
    <w:rsid w:val="0003439F"/>
    <w:rsid w:val="000344D0"/>
    <w:rsid w:val="0003467D"/>
    <w:rsid w:val="00034977"/>
    <w:rsid w:val="00034A16"/>
    <w:rsid w:val="00034DD9"/>
    <w:rsid w:val="0003540F"/>
    <w:rsid w:val="0003580B"/>
    <w:rsid w:val="00035CF7"/>
    <w:rsid w:val="00035E17"/>
    <w:rsid w:val="000366AA"/>
    <w:rsid w:val="00036955"/>
    <w:rsid w:val="000369A7"/>
    <w:rsid w:val="000369AA"/>
    <w:rsid w:val="00036B62"/>
    <w:rsid w:val="00036C25"/>
    <w:rsid w:val="00036C47"/>
    <w:rsid w:val="00036DE6"/>
    <w:rsid w:val="00036E93"/>
    <w:rsid w:val="00036F8E"/>
    <w:rsid w:val="0003723E"/>
    <w:rsid w:val="000375BF"/>
    <w:rsid w:val="000376DC"/>
    <w:rsid w:val="00037765"/>
    <w:rsid w:val="00037A85"/>
    <w:rsid w:val="00037CB2"/>
    <w:rsid w:val="00037CB7"/>
    <w:rsid w:val="00037F41"/>
    <w:rsid w:val="000403AC"/>
    <w:rsid w:val="00040581"/>
    <w:rsid w:val="00040888"/>
    <w:rsid w:val="000409A3"/>
    <w:rsid w:val="000409CA"/>
    <w:rsid w:val="00040C70"/>
    <w:rsid w:val="00040D6B"/>
    <w:rsid w:val="00040F30"/>
    <w:rsid w:val="000413AB"/>
    <w:rsid w:val="0004156C"/>
    <w:rsid w:val="0004181A"/>
    <w:rsid w:val="00041960"/>
    <w:rsid w:val="00041BA7"/>
    <w:rsid w:val="00041D09"/>
    <w:rsid w:val="00041D29"/>
    <w:rsid w:val="00041DE0"/>
    <w:rsid w:val="00041E96"/>
    <w:rsid w:val="000421E5"/>
    <w:rsid w:val="000423FC"/>
    <w:rsid w:val="0004243D"/>
    <w:rsid w:val="00042630"/>
    <w:rsid w:val="000429C9"/>
    <w:rsid w:val="00042ACC"/>
    <w:rsid w:val="00042C0F"/>
    <w:rsid w:val="00042C2D"/>
    <w:rsid w:val="00042CED"/>
    <w:rsid w:val="00042FEC"/>
    <w:rsid w:val="000431D4"/>
    <w:rsid w:val="00043337"/>
    <w:rsid w:val="0004342C"/>
    <w:rsid w:val="00044260"/>
    <w:rsid w:val="000444B9"/>
    <w:rsid w:val="00044807"/>
    <w:rsid w:val="00044BA7"/>
    <w:rsid w:val="00044E82"/>
    <w:rsid w:val="00044EC0"/>
    <w:rsid w:val="00044F01"/>
    <w:rsid w:val="00045064"/>
    <w:rsid w:val="00045291"/>
    <w:rsid w:val="000452F0"/>
    <w:rsid w:val="0004546C"/>
    <w:rsid w:val="0004554E"/>
    <w:rsid w:val="00045945"/>
    <w:rsid w:val="0004598E"/>
    <w:rsid w:val="00045A39"/>
    <w:rsid w:val="00045A8E"/>
    <w:rsid w:val="00045D1C"/>
    <w:rsid w:val="00045D93"/>
    <w:rsid w:val="00045F0A"/>
    <w:rsid w:val="00046069"/>
    <w:rsid w:val="0004609D"/>
    <w:rsid w:val="000462CB"/>
    <w:rsid w:val="000463AB"/>
    <w:rsid w:val="000466C7"/>
    <w:rsid w:val="000467B6"/>
    <w:rsid w:val="00046BC3"/>
    <w:rsid w:val="00046FE2"/>
    <w:rsid w:val="0004713B"/>
    <w:rsid w:val="000471D5"/>
    <w:rsid w:val="0004732F"/>
    <w:rsid w:val="0004739F"/>
    <w:rsid w:val="0004753E"/>
    <w:rsid w:val="0004784A"/>
    <w:rsid w:val="00047878"/>
    <w:rsid w:val="000479AB"/>
    <w:rsid w:val="00047B9A"/>
    <w:rsid w:val="00047D6C"/>
    <w:rsid w:val="00047F77"/>
    <w:rsid w:val="00047FC5"/>
    <w:rsid w:val="0005029E"/>
    <w:rsid w:val="000507BA"/>
    <w:rsid w:val="0005089A"/>
    <w:rsid w:val="000508E2"/>
    <w:rsid w:val="000509C7"/>
    <w:rsid w:val="00050A95"/>
    <w:rsid w:val="00050AB5"/>
    <w:rsid w:val="00050D28"/>
    <w:rsid w:val="00050D94"/>
    <w:rsid w:val="00051210"/>
    <w:rsid w:val="00051322"/>
    <w:rsid w:val="0005183E"/>
    <w:rsid w:val="00051B54"/>
    <w:rsid w:val="00051C3A"/>
    <w:rsid w:val="00052225"/>
    <w:rsid w:val="0005240D"/>
    <w:rsid w:val="000526E9"/>
    <w:rsid w:val="0005274A"/>
    <w:rsid w:val="00052881"/>
    <w:rsid w:val="00052A05"/>
    <w:rsid w:val="00052ABA"/>
    <w:rsid w:val="00052B73"/>
    <w:rsid w:val="00052BD0"/>
    <w:rsid w:val="00052C5F"/>
    <w:rsid w:val="00052D40"/>
    <w:rsid w:val="00052E19"/>
    <w:rsid w:val="00052E25"/>
    <w:rsid w:val="00053902"/>
    <w:rsid w:val="00053AD4"/>
    <w:rsid w:val="00053CC8"/>
    <w:rsid w:val="00053D8F"/>
    <w:rsid w:val="00053E63"/>
    <w:rsid w:val="00053FE9"/>
    <w:rsid w:val="0005407A"/>
    <w:rsid w:val="00054136"/>
    <w:rsid w:val="000542C3"/>
    <w:rsid w:val="000542F1"/>
    <w:rsid w:val="00054383"/>
    <w:rsid w:val="0005438B"/>
    <w:rsid w:val="0005438F"/>
    <w:rsid w:val="000543C0"/>
    <w:rsid w:val="000546FE"/>
    <w:rsid w:val="00054735"/>
    <w:rsid w:val="0005483A"/>
    <w:rsid w:val="00054906"/>
    <w:rsid w:val="00054A68"/>
    <w:rsid w:val="00054C8B"/>
    <w:rsid w:val="00054D64"/>
    <w:rsid w:val="000550D8"/>
    <w:rsid w:val="0005511F"/>
    <w:rsid w:val="00055138"/>
    <w:rsid w:val="0005541A"/>
    <w:rsid w:val="00055542"/>
    <w:rsid w:val="00055ACB"/>
    <w:rsid w:val="00055BFC"/>
    <w:rsid w:val="00055C72"/>
    <w:rsid w:val="00055DB3"/>
    <w:rsid w:val="00056251"/>
    <w:rsid w:val="000563A8"/>
    <w:rsid w:val="00056422"/>
    <w:rsid w:val="00056819"/>
    <w:rsid w:val="000569E1"/>
    <w:rsid w:val="00056B7B"/>
    <w:rsid w:val="00056D18"/>
    <w:rsid w:val="000570C0"/>
    <w:rsid w:val="00057587"/>
    <w:rsid w:val="00057769"/>
    <w:rsid w:val="00057ED4"/>
    <w:rsid w:val="00060596"/>
    <w:rsid w:val="000605D5"/>
    <w:rsid w:val="00060850"/>
    <w:rsid w:val="00060B63"/>
    <w:rsid w:val="00060E9E"/>
    <w:rsid w:val="00060F7B"/>
    <w:rsid w:val="00060F91"/>
    <w:rsid w:val="00060FFC"/>
    <w:rsid w:val="0006102B"/>
    <w:rsid w:val="0006112D"/>
    <w:rsid w:val="0006119E"/>
    <w:rsid w:val="0006186C"/>
    <w:rsid w:val="0006192A"/>
    <w:rsid w:val="00061E87"/>
    <w:rsid w:val="0006213B"/>
    <w:rsid w:val="000622CA"/>
    <w:rsid w:val="0006286E"/>
    <w:rsid w:val="00062C55"/>
    <w:rsid w:val="00063233"/>
    <w:rsid w:val="00063303"/>
    <w:rsid w:val="00063819"/>
    <w:rsid w:val="000639D7"/>
    <w:rsid w:val="000639E3"/>
    <w:rsid w:val="00063A37"/>
    <w:rsid w:val="00063BAC"/>
    <w:rsid w:val="0006407E"/>
    <w:rsid w:val="000643FC"/>
    <w:rsid w:val="00064810"/>
    <w:rsid w:val="00064A6A"/>
    <w:rsid w:val="000654D4"/>
    <w:rsid w:val="00065EB8"/>
    <w:rsid w:val="00066078"/>
    <w:rsid w:val="00066198"/>
    <w:rsid w:val="00066251"/>
    <w:rsid w:val="000662CB"/>
    <w:rsid w:val="000664D3"/>
    <w:rsid w:val="0006651B"/>
    <w:rsid w:val="000668C0"/>
    <w:rsid w:val="00066985"/>
    <w:rsid w:val="00066D9A"/>
    <w:rsid w:val="00066DCD"/>
    <w:rsid w:val="000670CF"/>
    <w:rsid w:val="000673BF"/>
    <w:rsid w:val="0006774B"/>
    <w:rsid w:val="00067DC5"/>
    <w:rsid w:val="0006A430"/>
    <w:rsid w:val="00070030"/>
    <w:rsid w:val="0007007D"/>
    <w:rsid w:val="00070192"/>
    <w:rsid w:val="0007029B"/>
    <w:rsid w:val="00070664"/>
    <w:rsid w:val="00070685"/>
    <w:rsid w:val="0007071F"/>
    <w:rsid w:val="0007099A"/>
    <w:rsid w:val="00070E56"/>
    <w:rsid w:val="00070F5A"/>
    <w:rsid w:val="0007117B"/>
    <w:rsid w:val="0007137A"/>
    <w:rsid w:val="00071599"/>
    <w:rsid w:val="0007161E"/>
    <w:rsid w:val="00071624"/>
    <w:rsid w:val="00071679"/>
    <w:rsid w:val="00071A30"/>
    <w:rsid w:val="00071F28"/>
    <w:rsid w:val="000724D8"/>
    <w:rsid w:val="0007264C"/>
    <w:rsid w:val="00072907"/>
    <w:rsid w:val="000729C1"/>
    <w:rsid w:val="000729CC"/>
    <w:rsid w:val="00072A04"/>
    <w:rsid w:val="00072CD7"/>
    <w:rsid w:val="00072E01"/>
    <w:rsid w:val="00072FC5"/>
    <w:rsid w:val="000730D7"/>
    <w:rsid w:val="00073101"/>
    <w:rsid w:val="00073129"/>
    <w:rsid w:val="00073385"/>
    <w:rsid w:val="000735D1"/>
    <w:rsid w:val="000736F5"/>
    <w:rsid w:val="0007386D"/>
    <w:rsid w:val="00073A2D"/>
    <w:rsid w:val="000742AC"/>
    <w:rsid w:val="000744A5"/>
    <w:rsid w:val="0007472A"/>
    <w:rsid w:val="00074A58"/>
    <w:rsid w:val="00074A7D"/>
    <w:rsid w:val="00074F9D"/>
    <w:rsid w:val="000755D8"/>
    <w:rsid w:val="0007585A"/>
    <w:rsid w:val="00075BE5"/>
    <w:rsid w:val="00075C46"/>
    <w:rsid w:val="00075CF7"/>
    <w:rsid w:val="00075D70"/>
    <w:rsid w:val="00075DA9"/>
    <w:rsid w:val="00076049"/>
    <w:rsid w:val="000763AD"/>
    <w:rsid w:val="00076413"/>
    <w:rsid w:val="00076533"/>
    <w:rsid w:val="0007655F"/>
    <w:rsid w:val="00076816"/>
    <w:rsid w:val="00076979"/>
    <w:rsid w:val="000769DF"/>
    <w:rsid w:val="00076BF1"/>
    <w:rsid w:val="00077904"/>
    <w:rsid w:val="0007795F"/>
    <w:rsid w:val="00077B43"/>
    <w:rsid w:val="00077D5B"/>
    <w:rsid w:val="00077FE1"/>
    <w:rsid w:val="00077FE9"/>
    <w:rsid w:val="000801C6"/>
    <w:rsid w:val="000801EA"/>
    <w:rsid w:val="000801F0"/>
    <w:rsid w:val="0008024F"/>
    <w:rsid w:val="000802AE"/>
    <w:rsid w:val="000802F2"/>
    <w:rsid w:val="000809CF"/>
    <w:rsid w:val="00080D82"/>
    <w:rsid w:val="00080DD8"/>
    <w:rsid w:val="00080EC7"/>
    <w:rsid w:val="00081227"/>
    <w:rsid w:val="0008177D"/>
    <w:rsid w:val="00081847"/>
    <w:rsid w:val="00081981"/>
    <w:rsid w:val="00081DCE"/>
    <w:rsid w:val="00081E31"/>
    <w:rsid w:val="0008225B"/>
    <w:rsid w:val="000824C7"/>
    <w:rsid w:val="000824C9"/>
    <w:rsid w:val="00082C75"/>
    <w:rsid w:val="00082FDC"/>
    <w:rsid w:val="00083144"/>
    <w:rsid w:val="00083239"/>
    <w:rsid w:val="00083345"/>
    <w:rsid w:val="00083723"/>
    <w:rsid w:val="00083857"/>
    <w:rsid w:val="00084863"/>
    <w:rsid w:val="000848C8"/>
    <w:rsid w:val="000849CB"/>
    <w:rsid w:val="00084D6E"/>
    <w:rsid w:val="00085108"/>
    <w:rsid w:val="000853E9"/>
    <w:rsid w:val="0008547C"/>
    <w:rsid w:val="000855E4"/>
    <w:rsid w:val="00085684"/>
    <w:rsid w:val="000859A6"/>
    <w:rsid w:val="00085E2F"/>
    <w:rsid w:val="00085F24"/>
    <w:rsid w:val="0008606D"/>
    <w:rsid w:val="0008612A"/>
    <w:rsid w:val="00086152"/>
    <w:rsid w:val="000867D6"/>
    <w:rsid w:val="000867F5"/>
    <w:rsid w:val="00086840"/>
    <w:rsid w:val="000868E2"/>
    <w:rsid w:val="00086AC4"/>
    <w:rsid w:val="00086C32"/>
    <w:rsid w:val="00086C70"/>
    <w:rsid w:val="00086CEC"/>
    <w:rsid w:val="00086EAA"/>
    <w:rsid w:val="00086F41"/>
    <w:rsid w:val="000874C5"/>
    <w:rsid w:val="000875EF"/>
    <w:rsid w:val="00087777"/>
    <w:rsid w:val="00087BC8"/>
    <w:rsid w:val="00087E5E"/>
    <w:rsid w:val="000902F2"/>
    <w:rsid w:val="000903BB"/>
    <w:rsid w:val="0009060A"/>
    <w:rsid w:val="000906E7"/>
    <w:rsid w:val="00090710"/>
    <w:rsid w:val="00090DD8"/>
    <w:rsid w:val="00090FEC"/>
    <w:rsid w:val="0009105E"/>
    <w:rsid w:val="0009130D"/>
    <w:rsid w:val="000913F2"/>
    <w:rsid w:val="000914B6"/>
    <w:rsid w:val="00091A29"/>
    <w:rsid w:val="00091B1B"/>
    <w:rsid w:val="00091CE8"/>
    <w:rsid w:val="00091D4B"/>
    <w:rsid w:val="00091EF9"/>
    <w:rsid w:val="00091F81"/>
    <w:rsid w:val="00092400"/>
    <w:rsid w:val="000926AD"/>
    <w:rsid w:val="000932AF"/>
    <w:rsid w:val="0009366D"/>
    <w:rsid w:val="000936DC"/>
    <w:rsid w:val="00093770"/>
    <w:rsid w:val="00093C02"/>
    <w:rsid w:val="00093D93"/>
    <w:rsid w:val="000940A7"/>
    <w:rsid w:val="000940C7"/>
    <w:rsid w:val="000940FD"/>
    <w:rsid w:val="0009457F"/>
    <w:rsid w:val="000946D4"/>
    <w:rsid w:val="00094DBB"/>
    <w:rsid w:val="00094E6F"/>
    <w:rsid w:val="00094F7B"/>
    <w:rsid w:val="000950AB"/>
    <w:rsid w:val="0009535A"/>
    <w:rsid w:val="00095379"/>
    <w:rsid w:val="0009541A"/>
    <w:rsid w:val="000956E6"/>
    <w:rsid w:val="000957CC"/>
    <w:rsid w:val="00095D31"/>
    <w:rsid w:val="0009659F"/>
    <w:rsid w:val="000965C0"/>
    <w:rsid w:val="00096C64"/>
    <w:rsid w:val="00096FBC"/>
    <w:rsid w:val="0009750B"/>
    <w:rsid w:val="000978B6"/>
    <w:rsid w:val="000A04F2"/>
    <w:rsid w:val="000A0688"/>
    <w:rsid w:val="000A0C19"/>
    <w:rsid w:val="000A0CDE"/>
    <w:rsid w:val="000A1094"/>
    <w:rsid w:val="000A1326"/>
    <w:rsid w:val="000A1449"/>
    <w:rsid w:val="000A1627"/>
    <w:rsid w:val="000A16B0"/>
    <w:rsid w:val="000A17DA"/>
    <w:rsid w:val="000A1A62"/>
    <w:rsid w:val="000A1E7D"/>
    <w:rsid w:val="000A2358"/>
    <w:rsid w:val="000A2505"/>
    <w:rsid w:val="000A2926"/>
    <w:rsid w:val="000A292A"/>
    <w:rsid w:val="000A2A55"/>
    <w:rsid w:val="000A2A9B"/>
    <w:rsid w:val="000A2B99"/>
    <w:rsid w:val="000A329E"/>
    <w:rsid w:val="000A3340"/>
    <w:rsid w:val="000A334B"/>
    <w:rsid w:val="000A3351"/>
    <w:rsid w:val="000A33B8"/>
    <w:rsid w:val="000A3910"/>
    <w:rsid w:val="000A3DF8"/>
    <w:rsid w:val="000A3E37"/>
    <w:rsid w:val="000A4113"/>
    <w:rsid w:val="000A4B6B"/>
    <w:rsid w:val="000A4C18"/>
    <w:rsid w:val="000A4E9F"/>
    <w:rsid w:val="000A54A5"/>
    <w:rsid w:val="000A54B6"/>
    <w:rsid w:val="000A56A9"/>
    <w:rsid w:val="000A5BD1"/>
    <w:rsid w:val="000A5EE2"/>
    <w:rsid w:val="000A6076"/>
    <w:rsid w:val="000A6109"/>
    <w:rsid w:val="000A6151"/>
    <w:rsid w:val="000A6326"/>
    <w:rsid w:val="000A674E"/>
    <w:rsid w:val="000A697F"/>
    <w:rsid w:val="000A6B09"/>
    <w:rsid w:val="000A7367"/>
    <w:rsid w:val="000A7736"/>
    <w:rsid w:val="000A7ADA"/>
    <w:rsid w:val="000A7E9E"/>
    <w:rsid w:val="000AB676"/>
    <w:rsid w:val="000B01F6"/>
    <w:rsid w:val="000B04E2"/>
    <w:rsid w:val="000B06B7"/>
    <w:rsid w:val="000B079C"/>
    <w:rsid w:val="000B092B"/>
    <w:rsid w:val="000B0A1F"/>
    <w:rsid w:val="000B0B26"/>
    <w:rsid w:val="000B0DC7"/>
    <w:rsid w:val="000B0E98"/>
    <w:rsid w:val="000B100B"/>
    <w:rsid w:val="000B10D0"/>
    <w:rsid w:val="000B10DE"/>
    <w:rsid w:val="000B1319"/>
    <w:rsid w:val="000B134B"/>
    <w:rsid w:val="000B17EE"/>
    <w:rsid w:val="000B1AE2"/>
    <w:rsid w:val="000B1E6B"/>
    <w:rsid w:val="000B1FB3"/>
    <w:rsid w:val="000B21BC"/>
    <w:rsid w:val="000B2201"/>
    <w:rsid w:val="000B242D"/>
    <w:rsid w:val="000B2913"/>
    <w:rsid w:val="000B293A"/>
    <w:rsid w:val="000B2A5F"/>
    <w:rsid w:val="000B34AC"/>
    <w:rsid w:val="000B36A8"/>
    <w:rsid w:val="000B36FB"/>
    <w:rsid w:val="000B393F"/>
    <w:rsid w:val="000B3F4D"/>
    <w:rsid w:val="000B4003"/>
    <w:rsid w:val="000B4160"/>
    <w:rsid w:val="000B41DD"/>
    <w:rsid w:val="000B4372"/>
    <w:rsid w:val="000B4FB1"/>
    <w:rsid w:val="000B526A"/>
    <w:rsid w:val="000B54D2"/>
    <w:rsid w:val="000B568A"/>
    <w:rsid w:val="000B5783"/>
    <w:rsid w:val="000B5965"/>
    <w:rsid w:val="000B5A28"/>
    <w:rsid w:val="000B5A99"/>
    <w:rsid w:val="000B5B45"/>
    <w:rsid w:val="000B5B8F"/>
    <w:rsid w:val="000B5BAF"/>
    <w:rsid w:val="000B66D3"/>
    <w:rsid w:val="000B670E"/>
    <w:rsid w:val="000B6AEC"/>
    <w:rsid w:val="000B6D92"/>
    <w:rsid w:val="000B7533"/>
    <w:rsid w:val="000B7714"/>
    <w:rsid w:val="000B7908"/>
    <w:rsid w:val="000B7A56"/>
    <w:rsid w:val="000B7AC2"/>
    <w:rsid w:val="000B7C3B"/>
    <w:rsid w:val="000C0634"/>
    <w:rsid w:val="000C091C"/>
    <w:rsid w:val="000C0DEA"/>
    <w:rsid w:val="000C0E3C"/>
    <w:rsid w:val="000C0F19"/>
    <w:rsid w:val="000C177E"/>
    <w:rsid w:val="000C1854"/>
    <w:rsid w:val="000C190F"/>
    <w:rsid w:val="000C199C"/>
    <w:rsid w:val="000C19E2"/>
    <w:rsid w:val="000C1A4A"/>
    <w:rsid w:val="000C223B"/>
    <w:rsid w:val="000C242C"/>
    <w:rsid w:val="000C24DC"/>
    <w:rsid w:val="000C260B"/>
    <w:rsid w:val="000C272B"/>
    <w:rsid w:val="000C28EE"/>
    <w:rsid w:val="000C2914"/>
    <w:rsid w:val="000C29EC"/>
    <w:rsid w:val="000C2AEB"/>
    <w:rsid w:val="000C2B47"/>
    <w:rsid w:val="000C2E97"/>
    <w:rsid w:val="000C303D"/>
    <w:rsid w:val="000C34C6"/>
    <w:rsid w:val="000C3504"/>
    <w:rsid w:val="000C3880"/>
    <w:rsid w:val="000C3931"/>
    <w:rsid w:val="000C3E23"/>
    <w:rsid w:val="000C44CC"/>
    <w:rsid w:val="000C4568"/>
    <w:rsid w:val="000C46C2"/>
    <w:rsid w:val="000C490B"/>
    <w:rsid w:val="000C543B"/>
    <w:rsid w:val="000C5509"/>
    <w:rsid w:val="000C5658"/>
    <w:rsid w:val="000C56FE"/>
    <w:rsid w:val="000C579C"/>
    <w:rsid w:val="000C591D"/>
    <w:rsid w:val="000C596C"/>
    <w:rsid w:val="000C59E4"/>
    <w:rsid w:val="000C5AFC"/>
    <w:rsid w:val="000C5F78"/>
    <w:rsid w:val="000C600C"/>
    <w:rsid w:val="000C6041"/>
    <w:rsid w:val="000C61B7"/>
    <w:rsid w:val="000C67DC"/>
    <w:rsid w:val="000C6848"/>
    <w:rsid w:val="000C6992"/>
    <w:rsid w:val="000C6B34"/>
    <w:rsid w:val="000C6B62"/>
    <w:rsid w:val="000C6C06"/>
    <w:rsid w:val="000C6E2E"/>
    <w:rsid w:val="000C708B"/>
    <w:rsid w:val="000C7161"/>
    <w:rsid w:val="000C73D7"/>
    <w:rsid w:val="000C7413"/>
    <w:rsid w:val="000C742D"/>
    <w:rsid w:val="000C7817"/>
    <w:rsid w:val="000C783D"/>
    <w:rsid w:val="000C7841"/>
    <w:rsid w:val="000C7986"/>
    <w:rsid w:val="000C7A34"/>
    <w:rsid w:val="000C7AC5"/>
    <w:rsid w:val="000C7F07"/>
    <w:rsid w:val="000D0243"/>
    <w:rsid w:val="000D0662"/>
    <w:rsid w:val="000D0B63"/>
    <w:rsid w:val="000D0EB0"/>
    <w:rsid w:val="000D12C2"/>
    <w:rsid w:val="000D13C5"/>
    <w:rsid w:val="000D1640"/>
    <w:rsid w:val="000D16F7"/>
    <w:rsid w:val="000D175C"/>
    <w:rsid w:val="000D1EE2"/>
    <w:rsid w:val="000D2620"/>
    <w:rsid w:val="000D2659"/>
    <w:rsid w:val="000D2AB0"/>
    <w:rsid w:val="000D2BEC"/>
    <w:rsid w:val="000D2C39"/>
    <w:rsid w:val="000D2DF7"/>
    <w:rsid w:val="000D3022"/>
    <w:rsid w:val="000D312C"/>
    <w:rsid w:val="000D3338"/>
    <w:rsid w:val="000D34B6"/>
    <w:rsid w:val="000D34D3"/>
    <w:rsid w:val="000D38B2"/>
    <w:rsid w:val="000D3AE8"/>
    <w:rsid w:val="000D3C61"/>
    <w:rsid w:val="000D3E07"/>
    <w:rsid w:val="000D3E9F"/>
    <w:rsid w:val="000D4027"/>
    <w:rsid w:val="000D451E"/>
    <w:rsid w:val="000D4AA2"/>
    <w:rsid w:val="000D4CC8"/>
    <w:rsid w:val="000D4D95"/>
    <w:rsid w:val="000D4FC9"/>
    <w:rsid w:val="000D50B5"/>
    <w:rsid w:val="000D528F"/>
    <w:rsid w:val="000D5297"/>
    <w:rsid w:val="000D5C6C"/>
    <w:rsid w:val="000D5EA1"/>
    <w:rsid w:val="000D5F62"/>
    <w:rsid w:val="000D6136"/>
    <w:rsid w:val="000D62A5"/>
    <w:rsid w:val="000D673A"/>
    <w:rsid w:val="000D69DB"/>
    <w:rsid w:val="000D6B0E"/>
    <w:rsid w:val="000D6B71"/>
    <w:rsid w:val="000D6B88"/>
    <w:rsid w:val="000D6C37"/>
    <w:rsid w:val="000D6C66"/>
    <w:rsid w:val="000D705C"/>
    <w:rsid w:val="000D7279"/>
    <w:rsid w:val="000D72EA"/>
    <w:rsid w:val="000D72FB"/>
    <w:rsid w:val="000D749F"/>
    <w:rsid w:val="000D75A4"/>
    <w:rsid w:val="000D78FC"/>
    <w:rsid w:val="000D7AC1"/>
    <w:rsid w:val="000D7BD1"/>
    <w:rsid w:val="000E0426"/>
    <w:rsid w:val="000E0737"/>
    <w:rsid w:val="000E07AE"/>
    <w:rsid w:val="000E0923"/>
    <w:rsid w:val="000E16FC"/>
    <w:rsid w:val="000E1CB6"/>
    <w:rsid w:val="000E1D81"/>
    <w:rsid w:val="000E1FD4"/>
    <w:rsid w:val="000E233E"/>
    <w:rsid w:val="000E2628"/>
    <w:rsid w:val="000E28D7"/>
    <w:rsid w:val="000E292E"/>
    <w:rsid w:val="000E2B5F"/>
    <w:rsid w:val="000E2B67"/>
    <w:rsid w:val="000E2DC9"/>
    <w:rsid w:val="000E2EDE"/>
    <w:rsid w:val="000E30E3"/>
    <w:rsid w:val="000E3124"/>
    <w:rsid w:val="000E3172"/>
    <w:rsid w:val="000E3683"/>
    <w:rsid w:val="000E3755"/>
    <w:rsid w:val="000E39E0"/>
    <w:rsid w:val="000E3A47"/>
    <w:rsid w:val="000E3C28"/>
    <w:rsid w:val="000E3CF8"/>
    <w:rsid w:val="000E3DBC"/>
    <w:rsid w:val="000E3DE8"/>
    <w:rsid w:val="000E3E64"/>
    <w:rsid w:val="000E3EB8"/>
    <w:rsid w:val="000E3F9A"/>
    <w:rsid w:val="000E4098"/>
    <w:rsid w:val="000E46D9"/>
    <w:rsid w:val="000E4D50"/>
    <w:rsid w:val="000E4E74"/>
    <w:rsid w:val="000E51C7"/>
    <w:rsid w:val="000E53E4"/>
    <w:rsid w:val="000E58DC"/>
    <w:rsid w:val="000E58FA"/>
    <w:rsid w:val="000E5EBF"/>
    <w:rsid w:val="000E5F48"/>
    <w:rsid w:val="000E614F"/>
    <w:rsid w:val="000E6767"/>
    <w:rsid w:val="000E697C"/>
    <w:rsid w:val="000E6CCA"/>
    <w:rsid w:val="000E6D5E"/>
    <w:rsid w:val="000E6FA3"/>
    <w:rsid w:val="000E756C"/>
    <w:rsid w:val="000E7686"/>
    <w:rsid w:val="000E76D4"/>
    <w:rsid w:val="000E76EE"/>
    <w:rsid w:val="000E7C7F"/>
    <w:rsid w:val="000E7E1C"/>
    <w:rsid w:val="000EAC82"/>
    <w:rsid w:val="000F0145"/>
    <w:rsid w:val="000F016C"/>
    <w:rsid w:val="000F03B2"/>
    <w:rsid w:val="000F0A54"/>
    <w:rsid w:val="000F0E50"/>
    <w:rsid w:val="000F0F9C"/>
    <w:rsid w:val="000F124D"/>
    <w:rsid w:val="000F175E"/>
    <w:rsid w:val="000F19AD"/>
    <w:rsid w:val="000F1B5D"/>
    <w:rsid w:val="000F1BA5"/>
    <w:rsid w:val="000F1D32"/>
    <w:rsid w:val="000F1DC6"/>
    <w:rsid w:val="000F227B"/>
    <w:rsid w:val="000F237B"/>
    <w:rsid w:val="000F2562"/>
    <w:rsid w:val="000F26A9"/>
    <w:rsid w:val="000F273D"/>
    <w:rsid w:val="000F275D"/>
    <w:rsid w:val="000F276B"/>
    <w:rsid w:val="000F2A87"/>
    <w:rsid w:val="000F2AA3"/>
    <w:rsid w:val="000F2DA5"/>
    <w:rsid w:val="000F2FC6"/>
    <w:rsid w:val="000F3065"/>
    <w:rsid w:val="000F30E4"/>
    <w:rsid w:val="000F3AD5"/>
    <w:rsid w:val="000F3F58"/>
    <w:rsid w:val="000F4537"/>
    <w:rsid w:val="000F45AE"/>
    <w:rsid w:val="000F45B8"/>
    <w:rsid w:val="000F4745"/>
    <w:rsid w:val="000F4928"/>
    <w:rsid w:val="000F4E3A"/>
    <w:rsid w:val="000F4F0C"/>
    <w:rsid w:val="000F502B"/>
    <w:rsid w:val="000F53BF"/>
    <w:rsid w:val="000F5673"/>
    <w:rsid w:val="000F5983"/>
    <w:rsid w:val="000F5AA3"/>
    <w:rsid w:val="000F5D2D"/>
    <w:rsid w:val="000F5F9D"/>
    <w:rsid w:val="000F6151"/>
    <w:rsid w:val="000F643B"/>
    <w:rsid w:val="000F64DE"/>
    <w:rsid w:val="000F6FC6"/>
    <w:rsid w:val="000F739F"/>
    <w:rsid w:val="000F75B2"/>
    <w:rsid w:val="000F7831"/>
    <w:rsid w:val="000F7D3A"/>
    <w:rsid w:val="000F7F77"/>
    <w:rsid w:val="0010027F"/>
    <w:rsid w:val="0010038C"/>
    <w:rsid w:val="0010043C"/>
    <w:rsid w:val="00100592"/>
    <w:rsid w:val="0010072F"/>
    <w:rsid w:val="00100B25"/>
    <w:rsid w:val="00100D44"/>
    <w:rsid w:val="0010102A"/>
    <w:rsid w:val="001011DF"/>
    <w:rsid w:val="001012CE"/>
    <w:rsid w:val="0010147D"/>
    <w:rsid w:val="00101545"/>
    <w:rsid w:val="001017AC"/>
    <w:rsid w:val="0010180A"/>
    <w:rsid w:val="00101C86"/>
    <w:rsid w:val="00101D48"/>
    <w:rsid w:val="001021BF"/>
    <w:rsid w:val="00102571"/>
    <w:rsid w:val="00102688"/>
    <w:rsid w:val="00102B7C"/>
    <w:rsid w:val="00102D57"/>
    <w:rsid w:val="00102F29"/>
    <w:rsid w:val="00102FB5"/>
    <w:rsid w:val="00103183"/>
    <w:rsid w:val="00103330"/>
    <w:rsid w:val="0010333A"/>
    <w:rsid w:val="00103388"/>
    <w:rsid w:val="00103668"/>
    <w:rsid w:val="0010383F"/>
    <w:rsid w:val="00103A21"/>
    <w:rsid w:val="00103B14"/>
    <w:rsid w:val="00103DC3"/>
    <w:rsid w:val="0010418A"/>
    <w:rsid w:val="0010431B"/>
    <w:rsid w:val="0010469B"/>
    <w:rsid w:val="001047A3"/>
    <w:rsid w:val="00104999"/>
    <w:rsid w:val="001049BE"/>
    <w:rsid w:val="00104A8F"/>
    <w:rsid w:val="00104AA3"/>
    <w:rsid w:val="00104E37"/>
    <w:rsid w:val="00104EEB"/>
    <w:rsid w:val="00105015"/>
    <w:rsid w:val="001054AF"/>
    <w:rsid w:val="00105547"/>
    <w:rsid w:val="001056B2"/>
    <w:rsid w:val="0010576E"/>
    <w:rsid w:val="00105D64"/>
    <w:rsid w:val="00105FA0"/>
    <w:rsid w:val="00106019"/>
    <w:rsid w:val="00106038"/>
    <w:rsid w:val="001060DC"/>
    <w:rsid w:val="00106111"/>
    <w:rsid w:val="001061B6"/>
    <w:rsid w:val="001061DA"/>
    <w:rsid w:val="0010634B"/>
    <w:rsid w:val="0010642B"/>
    <w:rsid w:val="00106472"/>
    <w:rsid w:val="0010667A"/>
    <w:rsid w:val="001068FC"/>
    <w:rsid w:val="00106980"/>
    <w:rsid w:val="00106C54"/>
    <w:rsid w:val="00106C89"/>
    <w:rsid w:val="00106DD9"/>
    <w:rsid w:val="00106EFD"/>
    <w:rsid w:val="00106F75"/>
    <w:rsid w:val="0010726E"/>
    <w:rsid w:val="0010738E"/>
    <w:rsid w:val="0010762D"/>
    <w:rsid w:val="001077E3"/>
    <w:rsid w:val="001077F0"/>
    <w:rsid w:val="00107919"/>
    <w:rsid w:val="00107998"/>
    <w:rsid w:val="00107CAA"/>
    <w:rsid w:val="00110134"/>
    <w:rsid w:val="00110209"/>
    <w:rsid w:val="001102E2"/>
    <w:rsid w:val="00110E83"/>
    <w:rsid w:val="00110EEB"/>
    <w:rsid w:val="0011103E"/>
    <w:rsid w:val="0011179B"/>
    <w:rsid w:val="001118ED"/>
    <w:rsid w:val="001118F3"/>
    <w:rsid w:val="00111BE8"/>
    <w:rsid w:val="00111DBF"/>
    <w:rsid w:val="00111EA0"/>
    <w:rsid w:val="001124E8"/>
    <w:rsid w:val="00112824"/>
    <w:rsid w:val="001128ED"/>
    <w:rsid w:val="00112CCD"/>
    <w:rsid w:val="00112CF0"/>
    <w:rsid w:val="00113052"/>
    <w:rsid w:val="00113301"/>
    <w:rsid w:val="00113756"/>
    <w:rsid w:val="00113880"/>
    <w:rsid w:val="001138AA"/>
    <w:rsid w:val="0011457F"/>
    <w:rsid w:val="00114C94"/>
    <w:rsid w:val="00114D38"/>
    <w:rsid w:val="0011546A"/>
    <w:rsid w:val="001156D6"/>
    <w:rsid w:val="00115724"/>
    <w:rsid w:val="001157C2"/>
    <w:rsid w:val="001159A4"/>
    <w:rsid w:val="00115BC6"/>
    <w:rsid w:val="001162BB"/>
    <w:rsid w:val="001162D6"/>
    <w:rsid w:val="001163C3"/>
    <w:rsid w:val="001165AF"/>
    <w:rsid w:val="00116C47"/>
    <w:rsid w:val="00116F26"/>
    <w:rsid w:val="0011702E"/>
    <w:rsid w:val="00117559"/>
    <w:rsid w:val="00117682"/>
    <w:rsid w:val="0011775C"/>
    <w:rsid w:val="00117985"/>
    <w:rsid w:val="00120013"/>
    <w:rsid w:val="00120041"/>
    <w:rsid w:val="00120090"/>
    <w:rsid w:val="00120274"/>
    <w:rsid w:val="001202B5"/>
    <w:rsid w:val="00120454"/>
    <w:rsid w:val="0012071F"/>
    <w:rsid w:val="001207E7"/>
    <w:rsid w:val="001208A6"/>
    <w:rsid w:val="00120DA5"/>
    <w:rsid w:val="00121126"/>
    <w:rsid w:val="001212B7"/>
    <w:rsid w:val="00121550"/>
    <w:rsid w:val="00121AD9"/>
    <w:rsid w:val="00121CB4"/>
    <w:rsid w:val="00121D01"/>
    <w:rsid w:val="00121DB0"/>
    <w:rsid w:val="00121DE1"/>
    <w:rsid w:val="00121FC4"/>
    <w:rsid w:val="00122111"/>
    <w:rsid w:val="00122695"/>
    <w:rsid w:val="001226A7"/>
    <w:rsid w:val="0012273B"/>
    <w:rsid w:val="0012279C"/>
    <w:rsid w:val="00122914"/>
    <w:rsid w:val="00122928"/>
    <w:rsid w:val="00122A51"/>
    <w:rsid w:val="00122B59"/>
    <w:rsid w:val="00122C99"/>
    <w:rsid w:val="001230CC"/>
    <w:rsid w:val="001230FB"/>
    <w:rsid w:val="0012333B"/>
    <w:rsid w:val="001233C5"/>
    <w:rsid w:val="001233DA"/>
    <w:rsid w:val="0012346A"/>
    <w:rsid w:val="001234E8"/>
    <w:rsid w:val="001235AD"/>
    <w:rsid w:val="0012388A"/>
    <w:rsid w:val="0012392C"/>
    <w:rsid w:val="00123A4F"/>
    <w:rsid w:val="00123B6C"/>
    <w:rsid w:val="00123CD5"/>
    <w:rsid w:val="00123D9F"/>
    <w:rsid w:val="00123EC3"/>
    <w:rsid w:val="0012432F"/>
    <w:rsid w:val="00124399"/>
    <w:rsid w:val="001247E3"/>
    <w:rsid w:val="00124928"/>
    <w:rsid w:val="00124CC5"/>
    <w:rsid w:val="00124D2B"/>
    <w:rsid w:val="0012547F"/>
    <w:rsid w:val="001255AA"/>
    <w:rsid w:val="001256B3"/>
    <w:rsid w:val="00125824"/>
    <w:rsid w:val="00125D80"/>
    <w:rsid w:val="00126240"/>
    <w:rsid w:val="0012631C"/>
    <w:rsid w:val="001267EA"/>
    <w:rsid w:val="00126E8A"/>
    <w:rsid w:val="00126FA2"/>
    <w:rsid w:val="00127069"/>
    <w:rsid w:val="00127274"/>
    <w:rsid w:val="001272F7"/>
    <w:rsid w:val="0012764A"/>
    <w:rsid w:val="001276E3"/>
    <w:rsid w:val="00127915"/>
    <w:rsid w:val="00127D27"/>
    <w:rsid w:val="00127E23"/>
    <w:rsid w:val="00127FAE"/>
    <w:rsid w:val="0013014D"/>
    <w:rsid w:val="0013016D"/>
    <w:rsid w:val="0013081B"/>
    <w:rsid w:val="00130963"/>
    <w:rsid w:val="00130A3D"/>
    <w:rsid w:val="00130B15"/>
    <w:rsid w:val="00130E02"/>
    <w:rsid w:val="00131014"/>
    <w:rsid w:val="0013106A"/>
    <w:rsid w:val="0013106D"/>
    <w:rsid w:val="001316A7"/>
    <w:rsid w:val="001319A2"/>
    <w:rsid w:val="00131A0A"/>
    <w:rsid w:val="00131C23"/>
    <w:rsid w:val="00131CD1"/>
    <w:rsid w:val="00131D67"/>
    <w:rsid w:val="00131F3B"/>
    <w:rsid w:val="00132342"/>
    <w:rsid w:val="001324AD"/>
    <w:rsid w:val="001325F2"/>
    <w:rsid w:val="00132998"/>
    <w:rsid w:val="00132BA5"/>
    <w:rsid w:val="00132DA9"/>
    <w:rsid w:val="00132FA3"/>
    <w:rsid w:val="00133007"/>
    <w:rsid w:val="00133055"/>
    <w:rsid w:val="00133FE7"/>
    <w:rsid w:val="0013409C"/>
    <w:rsid w:val="0013430F"/>
    <w:rsid w:val="001344C1"/>
    <w:rsid w:val="001347F7"/>
    <w:rsid w:val="00134A0B"/>
    <w:rsid w:val="00134AB0"/>
    <w:rsid w:val="001350B5"/>
    <w:rsid w:val="001351F8"/>
    <w:rsid w:val="001352A5"/>
    <w:rsid w:val="00135522"/>
    <w:rsid w:val="0013558D"/>
    <w:rsid w:val="00135663"/>
    <w:rsid w:val="001358D9"/>
    <w:rsid w:val="0013624F"/>
    <w:rsid w:val="00136506"/>
    <w:rsid w:val="0013657F"/>
    <w:rsid w:val="001366BF"/>
    <w:rsid w:val="001367A7"/>
    <w:rsid w:val="00136A7B"/>
    <w:rsid w:val="00136D43"/>
    <w:rsid w:val="001371E0"/>
    <w:rsid w:val="00137205"/>
    <w:rsid w:val="001379C3"/>
    <w:rsid w:val="001379FA"/>
    <w:rsid w:val="00137B81"/>
    <w:rsid w:val="00137CAD"/>
    <w:rsid w:val="00137DD5"/>
    <w:rsid w:val="00140AC3"/>
    <w:rsid w:val="00140AD4"/>
    <w:rsid w:val="0014102E"/>
    <w:rsid w:val="001410C1"/>
    <w:rsid w:val="0014125B"/>
    <w:rsid w:val="00141549"/>
    <w:rsid w:val="001416C7"/>
    <w:rsid w:val="001417FB"/>
    <w:rsid w:val="00141861"/>
    <w:rsid w:val="00141B48"/>
    <w:rsid w:val="00141CA6"/>
    <w:rsid w:val="00142515"/>
    <w:rsid w:val="001425AD"/>
    <w:rsid w:val="001426B7"/>
    <w:rsid w:val="001426D0"/>
    <w:rsid w:val="00142B11"/>
    <w:rsid w:val="00142B3F"/>
    <w:rsid w:val="00142E70"/>
    <w:rsid w:val="00142E8D"/>
    <w:rsid w:val="00143557"/>
    <w:rsid w:val="00144016"/>
    <w:rsid w:val="00144104"/>
    <w:rsid w:val="00144163"/>
    <w:rsid w:val="001441A7"/>
    <w:rsid w:val="001442F6"/>
    <w:rsid w:val="00144B89"/>
    <w:rsid w:val="00144D16"/>
    <w:rsid w:val="00144E72"/>
    <w:rsid w:val="00144EB9"/>
    <w:rsid w:val="001451C6"/>
    <w:rsid w:val="001451EB"/>
    <w:rsid w:val="00145657"/>
    <w:rsid w:val="00145735"/>
    <w:rsid w:val="0014575A"/>
    <w:rsid w:val="00145A35"/>
    <w:rsid w:val="00145CB3"/>
    <w:rsid w:val="00145E88"/>
    <w:rsid w:val="00145EB1"/>
    <w:rsid w:val="0014639C"/>
    <w:rsid w:val="00146593"/>
    <w:rsid w:val="00146722"/>
    <w:rsid w:val="001467BC"/>
    <w:rsid w:val="00146C91"/>
    <w:rsid w:val="00147097"/>
    <w:rsid w:val="001476F4"/>
    <w:rsid w:val="0015004D"/>
    <w:rsid w:val="001500AE"/>
    <w:rsid w:val="001503C3"/>
    <w:rsid w:val="00150505"/>
    <w:rsid w:val="00150615"/>
    <w:rsid w:val="001508B9"/>
    <w:rsid w:val="00150E4B"/>
    <w:rsid w:val="0015101C"/>
    <w:rsid w:val="001512A3"/>
    <w:rsid w:val="001513BC"/>
    <w:rsid w:val="001514AD"/>
    <w:rsid w:val="00151574"/>
    <w:rsid w:val="001517BD"/>
    <w:rsid w:val="00151E60"/>
    <w:rsid w:val="00151E7D"/>
    <w:rsid w:val="00152181"/>
    <w:rsid w:val="00152417"/>
    <w:rsid w:val="00152441"/>
    <w:rsid w:val="001528E3"/>
    <w:rsid w:val="00152A07"/>
    <w:rsid w:val="00152A77"/>
    <w:rsid w:val="00152BC0"/>
    <w:rsid w:val="00152D01"/>
    <w:rsid w:val="00152E9B"/>
    <w:rsid w:val="001530B8"/>
    <w:rsid w:val="001531AA"/>
    <w:rsid w:val="001532F2"/>
    <w:rsid w:val="0015333C"/>
    <w:rsid w:val="00153347"/>
    <w:rsid w:val="001534A4"/>
    <w:rsid w:val="001537F7"/>
    <w:rsid w:val="001538CE"/>
    <w:rsid w:val="00153A9D"/>
    <w:rsid w:val="00153F31"/>
    <w:rsid w:val="00153F83"/>
    <w:rsid w:val="00154126"/>
    <w:rsid w:val="001541FF"/>
    <w:rsid w:val="00154768"/>
    <w:rsid w:val="00154A66"/>
    <w:rsid w:val="0015530E"/>
    <w:rsid w:val="0015554E"/>
    <w:rsid w:val="00155611"/>
    <w:rsid w:val="001557A6"/>
    <w:rsid w:val="0015584B"/>
    <w:rsid w:val="001558A9"/>
    <w:rsid w:val="0015599A"/>
    <w:rsid w:val="00155AFF"/>
    <w:rsid w:val="00155F64"/>
    <w:rsid w:val="00156330"/>
    <w:rsid w:val="0015641A"/>
    <w:rsid w:val="001566C0"/>
    <w:rsid w:val="001567AF"/>
    <w:rsid w:val="001567CD"/>
    <w:rsid w:val="0015685E"/>
    <w:rsid w:val="001569EC"/>
    <w:rsid w:val="00156BA8"/>
    <w:rsid w:val="00156C86"/>
    <w:rsid w:val="001571F4"/>
    <w:rsid w:val="001574C1"/>
    <w:rsid w:val="001577B6"/>
    <w:rsid w:val="00157930"/>
    <w:rsid w:val="00157B48"/>
    <w:rsid w:val="00157C32"/>
    <w:rsid w:val="00157D1A"/>
    <w:rsid w:val="00160278"/>
    <w:rsid w:val="0016027C"/>
    <w:rsid w:val="00160300"/>
    <w:rsid w:val="00160590"/>
    <w:rsid w:val="00160A78"/>
    <w:rsid w:val="00160D0B"/>
    <w:rsid w:val="00161216"/>
    <w:rsid w:val="00161518"/>
    <w:rsid w:val="001615C6"/>
    <w:rsid w:val="0016182D"/>
    <w:rsid w:val="00161950"/>
    <w:rsid w:val="00161F06"/>
    <w:rsid w:val="0016222A"/>
    <w:rsid w:val="00162597"/>
    <w:rsid w:val="001626CC"/>
    <w:rsid w:val="00162920"/>
    <w:rsid w:val="001629AD"/>
    <w:rsid w:val="00162ABA"/>
    <w:rsid w:val="00162B00"/>
    <w:rsid w:val="00162B33"/>
    <w:rsid w:val="0016301B"/>
    <w:rsid w:val="00163129"/>
    <w:rsid w:val="001631D0"/>
    <w:rsid w:val="00163313"/>
    <w:rsid w:val="001633DA"/>
    <w:rsid w:val="0016346F"/>
    <w:rsid w:val="001634BB"/>
    <w:rsid w:val="001636ED"/>
    <w:rsid w:val="00163777"/>
    <w:rsid w:val="00163788"/>
    <w:rsid w:val="00163A29"/>
    <w:rsid w:val="00163B84"/>
    <w:rsid w:val="00163B9C"/>
    <w:rsid w:val="00163CDE"/>
    <w:rsid w:val="00164092"/>
    <w:rsid w:val="0016420C"/>
    <w:rsid w:val="0016427A"/>
    <w:rsid w:val="001646DC"/>
    <w:rsid w:val="00164AB4"/>
    <w:rsid w:val="00164EB6"/>
    <w:rsid w:val="00165004"/>
    <w:rsid w:val="0016510A"/>
    <w:rsid w:val="00165509"/>
    <w:rsid w:val="00165566"/>
    <w:rsid w:val="00165728"/>
    <w:rsid w:val="00165A96"/>
    <w:rsid w:val="00165B03"/>
    <w:rsid w:val="00165F40"/>
    <w:rsid w:val="0016625C"/>
    <w:rsid w:val="0016630D"/>
    <w:rsid w:val="001669CE"/>
    <w:rsid w:val="00166F35"/>
    <w:rsid w:val="001675C2"/>
    <w:rsid w:val="00167F69"/>
    <w:rsid w:val="00170071"/>
    <w:rsid w:val="001702E4"/>
    <w:rsid w:val="00170361"/>
    <w:rsid w:val="001703E1"/>
    <w:rsid w:val="0017045C"/>
    <w:rsid w:val="00170484"/>
    <w:rsid w:val="00170E0C"/>
    <w:rsid w:val="00171345"/>
    <w:rsid w:val="00171541"/>
    <w:rsid w:val="00171904"/>
    <w:rsid w:val="00171A58"/>
    <w:rsid w:val="00171DB5"/>
    <w:rsid w:val="00171E44"/>
    <w:rsid w:val="00171FBD"/>
    <w:rsid w:val="00172084"/>
    <w:rsid w:val="001721C1"/>
    <w:rsid w:val="00172531"/>
    <w:rsid w:val="0017272B"/>
    <w:rsid w:val="00172F29"/>
    <w:rsid w:val="0017315B"/>
    <w:rsid w:val="0017316C"/>
    <w:rsid w:val="001732A7"/>
    <w:rsid w:val="00173792"/>
    <w:rsid w:val="00173916"/>
    <w:rsid w:val="00173A34"/>
    <w:rsid w:val="00173A62"/>
    <w:rsid w:val="00173B01"/>
    <w:rsid w:val="00173B1D"/>
    <w:rsid w:val="00173E5D"/>
    <w:rsid w:val="00174154"/>
    <w:rsid w:val="001743BA"/>
    <w:rsid w:val="001746AA"/>
    <w:rsid w:val="001747D4"/>
    <w:rsid w:val="0017499F"/>
    <w:rsid w:val="00174C4D"/>
    <w:rsid w:val="00174F18"/>
    <w:rsid w:val="00174F49"/>
    <w:rsid w:val="001754C0"/>
    <w:rsid w:val="001756A5"/>
    <w:rsid w:val="00175932"/>
    <w:rsid w:val="00176385"/>
    <w:rsid w:val="00177013"/>
    <w:rsid w:val="00177271"/>
    <w:rsid w:val="0017793C"/>
    <w:rsid w:val="001779C9"/>
    <w:rsid w:val="00177D30"/>
    <w:rsid w:val="00177EE6"/>
    <w:rsid w:val="00177EEA"/>
    <w:rsid w:val="00180196"/>
    <w:rsid w:val="001802D7"/>
    <w:rsid w:val="0018044E"/>
    <w:rsid w:val="00180752"/>
    <w:rsid w:val="00180AE6"/>
    <w:rsid w:val="00180CE0"/>
    <w:rsid w:val="001815BB"/>
    <w:rsid w:val="00181A6B"/>
    <w:rsid w:val="00181BAE"/>
    <w:rsid w:val="00181C24"/>
    <w:rsid w:val="001820F7"/>
    <w:rsid w:val="001823B2"/>
    <w:rsid w:val="00182834"/>
    <w:rsid w:val="00182873"/>
    <w:rsid w:val="00182DB2"/>
    <w:rsid w:val="00182E2D"/>
    <w:rsid w:val="00183312"/>
    <w:rsid w:val="001833FD"/>
    <w:rsid w:val="00183516"/>
    <w:rsid w:val="00183602"/>
    <w:rsid w:val="00183636"/>
    <w:rsid w:val="00183D0D"/>
    <w:rsid w:val="0018401C"/>
    <w:rsid w:val="00184205"/>
    <w:rsid w:val="00184259"/>
    <w:rsid w:val="00184613"/>
    <w:rsid w:val="0018463E"/>
    <w:rsid w:val="00184708"/>
    <w:rsid w:val="0018470F"/>
    <w:rsid w:val="0018527F"/>
    <w:rsid w:val="00185A90"/>
    <w:rsid w:val="00185C1D"/>
    <w:rsid w:val="00185DA3"/>
    <w:rsid w:val="0018621E"/>
    <w:rsid w:val="001866BD"/>
    <w:rsid w:val="001867EF"/>
    <w:rsid w:val="00186868"/>
    <w:rsid w:val="00186D1C"/>
    <w:rsid w:val="00186E27"/>
    <w:rsid w:val="00186F42"/>
    <w:rsid w:val="001872F1"/>
    <w:rsid w:val="00187302"/>
    <w:rsid w:val="00187384"/>
    <w:rsid w:val="001874D1"/>
    <w:rsid w:val="0018750F"/>
    <w:rsid w:val="00187732"/>
    <w:rsid w:val="00187808"/>
    <w:rsid w:val="00187A21"/>
    <w:rsid w:val="00187CAE"/>
    <w:rsid w:val="00187CCA"/>
    <w:rsid w:val="0019087A"/>
    <w:rsid w:val="0019097F"/>
    <w:rsid w:val="00190A45"/>
    <w:rsid w:val="00190C2A"/>
    <w:rsid w:val="00190D19"/>
    <w:rsid w:val="00191083"/>
    <w:rsid w:val="00191116"/>
    <w:rsid w:val="001911EE"/>
    <w:rsid w:val="0019128D"/>
    <w:rsid w:val="0019155E"/>
    <w:rsid w:val="001915A4"/>
    <w:rsid w:val="00191694"/>
    <w:rsid w:val="00191B4B"/>
    <w:rsid w:val="00191D93"/>
    <w:rsid w:val="00191E67"/>
    <w:rsid w:val="00192368"/>
    <w:rsid w:val="0019239B"/>
    <w:rsid w:val="00192671"/>
    <w:rsid w:val="00192B14"/>
    <w:rsid w:val="00192E32"/>
    <w:rsid w:val="00193108"/>
    <w:rsid w:val="00193318"/>
    <w:rsid w:val="001933B7"/>
    <w:rsid w:val="001933D2"/>
    <w:rsid w:val="001936DA"/>
    <w:rsid w:val="0019370B"/>
    <w:rsid w:val="00193716"/>
    <w:rsid w:val="00193894"/>
    <w:rsid w:val="00193A79"/>
    <w:rsid w:val="00193E27"/>
    <w:rsid w:val="00193EAF"/>
    <w:rsid w:val="00194568"/>
    <w:rsid w:val="00194AFD"/>
    <w:rsid w:val="00194D3D"/>
    <w:rsid w:val="0019521E"/>
    <w:rsid w:val="00195272"/>
    <w:rsid w:val="001952C0"/>
    <w:rsid w:val="0019530F"/>
    <w:rsid w:val="00195548"/>
    <w:rsid w:val="001956B5"/>
    <w:rsid w:val="0019581D"/>
    <w:rsid w:val="00195909"/>
    <w:rsid w:val="00195A1A"/>
    <w:rsid w:val="00195B6D"/>
    <w:rsid w:val="00195BD3"/>
    <w:rsid w:val="00195E35"/>
    <w:rsid w:val="00195EF0"/>
    <w:rsid w:val="001963B7"/>
    <w:rsid w:val="00196457"/>
    <w:rsid w:val="00196946"/>
    <w:rsid w:val="00196A9C"/>
    <w:rsid w:val="00196FA0"/>
    <w:rsid w:val="001971DA"/>
    <w:rsid w:val="0019742A"/>
    <w:rsid w:val="001974D8"/>
    <w:rsid w:val="00197954"/>
    <w:rsid w:val="001A005E"/>
    <w:rsid w:val="001A0195"/>
    <w:rsid w:val="001A0241"/>
    <w:rsid w:val="001A0389"/>
    <w:rsid w:val="001A046D"/>
    <w:rsid w:val="001A0584"/>
    <w:rsid w:val="001A05DF"/>
    <w:rsid w:val="001A05F9"/>
    <w:rsid w:val="001A0BE8"/>
    <w:rsid w:val="001A0D7A"/>
    <w:rsid w:val="001A0EDE"/>
    <w:rsid w:val="001A0F8A"/>
    <w:rsid w:val="001A0FB3"/>
    <w:rsid w:val="001A100E"/>
    <w:rsid w:val="001A10D8"/>
    <w:rsid w:val="001A1191"/>
    <w:rsid w:val="001A12D0"/>
    <w:rsid w:val="001A158B"/>
    <w:rsid w:val="001A1B68"/>
    <w:rsid w:val="001A1BF8"/>
    <w:rsid w:val="001A1D2A"/>
    <w:rsid w:val="001A25E0"/>
    <w:rsid w:val="001A25E3"/>
    <w:rsid w:val="001A2756"/>
    <w:rsid w:val="001A27FF"/>
    <w:rsid w:val="001A2F9F"/>
    <w:rsid w:val="001A3028"/>
    <w:rsid w:val="001A347B"/>
    <w:rsid w:val="001A39B5"/>
    <w:rsid w:val="001A3C21"/>
    <w:rsid w:val="001A4189"/>
    <w:rsid w:val="001A45D0"/>
    <w:rsid w:val="001A472B"/>
    <w:rsid w:val="001A476C"/>
    <w:rsid w:val="001A48BD"/>
    <w:rsid w:val="001A4DBD"/>
    <w:rsid w:val="001A4E19"/>
    <w:rsid w:val="001A54A8"/>
    <w:rsid w:val="001A55BA"/>
    <w:rsid w:val="001A566B"/>
    <w:rsid w:val="001A594D"/>
    <w:rsid w:val="001A5C44"/>
    <w:rsid w:val="001A5CB0"/>
    <w:rsid w:val="001A65A3"/>
    <w:rsid w:val="001A691B"/>
    <w:rsid w:val="001A6A57"/>
    <w:rsid w:val="001A6AF5"/>
    <w:rsid w:val="001A6BB6"/>
    <w:rsid w:val="001A6C43"/>
    <w:rsid w:val="001A70F6"/>
    <w:rsid w:val="001A71DC"/>
    <w:rsid w:val="001A71F7"/>
    <w:rsid w:val="001A7204"/>
    <w:rsid w:val="001A72BF"/>
    <w:rsid w:val="001A77E3"/>
    <w:rsid w:val="001A78AE"/>
    <w:rsid w:val="001A78E9"/>
    <w:rsid w:val="001A7D91"/>
    <w:rsid w:val="001B021E"/>
    <w:rsid w:val="001B07A5"/>
    <w:rsid w:val="001B0A82"/>
    <w:rsid w:val="001B0CFE"/>
    <w:rsid w:val="001B0E9E"/>
    <w:rsid w:val="001B0EEC"/>
    <w:rsid w:val="001B124A"/>
    <w:rsid w:val="001B12CC"/>
    <w:rsid w:val="001B1314"/>
    <w:rsid w:val="001B1341"/>
    <w:rsid w:val="001B13BF"/>
    <w:rsid w:val="001B1988"/>
    <w:rsid w:val="001B1A10"/>
    <w:rsid w:val="001B1CBC"/>
    <w:rsid w:val="001B1F2D"/>
    <w:rsid w:val="001B1F8B"/>
    <w:rsid w:val="001B2133"/>
    <w:rsid w:val="001B2396"/>
    <w:rsid w:val="001B23DE"/>
    <w:rsid w:val="001B2862"/>
    <w:rsid w:val="001B2890"/>
    <w:rsid w:val="001B2BD9"/>
    <w:rsid w:val="001B2DAF"/>
    <w:rsid w:val="001B2DB0"/>
    <w:rsid w:val="001B2F02"/>
    <w:rsid w:val="001B2F9A"/>
    <w:rsid w:val="001B32F6"/>
    <w:rsid w:val="001B354C"/>
    <w:rsid w:val="001B3829"/>
    <w:rsid w:val="001B3991"/>
    <w:rsid w:val="001B3CF5"/>
    <w:rsid w:val="001B3ED6"/>
    <w:rsid w:val="001B401D"/>
    <w:rsid w:val="001B419C"/>
    <w:rsid w:val="001B453E"/>
    <w:rsid w:val="001B4698"/>
    <w:rsid w:val="001B47B9"/>
    <w:rsid w:val="001B47F4"/>
    <w:rsid w:val="001B495F"/>
    <w:rsid w:val="001B49FA"/>
    <w:rsid w:val="001B4B06"/>
    <w:rsid w:val="001B4B8D"/>
    <w:rsid w:val="001B4C07"/>
    <w:rsid w:val="001B4E6E"/>
    <w:rsid w:val="001B4F9E"/>
    <w:rsid w:val="001B5169"/>
    <w:rsid w:val="001B5466"/>
    <w:rsid w:val="001B5533"/>
    <w:rsid w:val="001B561B"/>
    <w:rsid w:val="001B5711"/>
    <w:rsid w:val="001B58BF"/>
    <w:rsid w:val="001B5A41"/>
    <w:rsid w:val="001B5ABD"/>
    <w:rsid w:val="001B5B61"/>
    <w:rsid w:val="001B5D09"/>
    <w:rsid w:val="001B6337"/>
    <w:rsid w:val="001B6B26"/>
    <w:rsid w:val="001B6D04"/>
    <w:rsid w:val="001B6D43"/>
    <w:rsid w:val="001B6E01"/>
    <w:rsid w:val="001B729B"/>
    <w:rsid w:val="001B73B2"/>
    <w:rsid w:val="001B73BF"/>
    <w:rsid w:val="001B749E"/>
    <w:rsid w:val="001B7658"/>
    <w:rsid w:val="001B7A19"/>
    <w:rsid w:val="001B7AD5"/>
    <w:rsid w:val="001B7DDD"/>
    <w:rsid w:val="001B7E25"/>
    <w:rsid w:val="001B7F42"/>
    <w:rsid w:val="001C075A"/>
    <w:rsid w:val="001C09A8"/>
    <w:rsid w:val="001C0B80"/>
    <w:rsid w:val="001C0C97"/>
    <w:rsid w:val="001C1429"/>
    <w:rsid w:val="001C1CAF"/>
    <w:rsid w:val="001C1D83"/>
    <w:rsid w:val="001C20BF"/>
    <w:rsid w:val="001C21DF"/>
    <w:rsid w:val="001C2539"/>
    <w:rsid w:val="001C266E"/>
    <w:rsid w:val="001C30EF"/>
    <w:rsid w:val="001C323C"/>
    <w:rsid w:val="001C3449"/>
    <w:rsid w:val="001C371F"/>
    <w:rsid w:val="001C372D"/>
    <w:rsid w:val="001C3792"/>
    <w:rsid w:val="001C3E9B"/>
    <w:rsid w:val="001C3F94"/>
    <w:rsid w:val="001C3FD6"/>
    <w:rsid w:val="001C42C3"/>
    <w:rsid w:val="001C44E2"/>
    <w:rsid w:val="001C4580"/>
    <w:rsid w:val="001C4808"/>
    <w:rsid w:val="001C497B"/>
    <w:rsid w:val="001C499C"/>
    <w:rsid w:val="001C4D92"/>
    <w:rsid w:val="001C5569"/>
    <w:rsid w:val="001C574E"/>
    <w:rsid w:val="001C5812"/>
    <w:rsid w:val="001C5DD0"/>
    <w:rsid w:val="001C5DD6"/>
    <w:rsid w:val="001C5DEF"/>
    <w:rsid w:val="001C60F6"/>
    <w:rsid w:val="001C61CD"/>
    <w:rsid w:val="001C62BF"/>
    <w:rsid w:val="001C6347"/>
    <w:rsid w:val="001C679B"/>
    <w:rsid w:val="001C6C85"/>
    <w:rsid w:val="001C7032"/>
    <w:rsid w:val="001C740E"/>
    <w:rsid w:val="001C742B"/>
    <w:rsid w:val="001C7451"/>
    <w:rsid w:val="001C752B"/>
    <w:rsid w:val="001C7609"/>
    <w:rsid w:val="001C7654"/>
    <w:rsid w:val="001C76B2"/>
    <w:rsid w:val="001C76C1"/>
    <w:rsid w:val="001C7702"/>
    <w:rsid w:val="001C7D88"/>
    <w:rsid w:val="001C7F59"/>
    <w:rsid w:val="001D02D5"/>
    <w:rsid w:val="001D0B02"/>
    <w:rsid w:val="001D0B73"/>
    <w:rsid w:val="001D0C78"/>
    <w:rsid w:val="001D0DB1"/>
    <w:rsid w:val="001D0E1A"/>
    <w:rsid w:val="001D0E89"/>
    <w:rsid w:val="001D0E9D"/>
    <w:rsid w:val="001D0FD4"/>
    <w:rsid w:val="001D10BB"/>
    <w:rsid w:val="001D12CE"/>
    <w:rsid w:val="001D137B"/>
    <w:rsid w:val="001D1485"/>
    <w:rsid w:val="001D15A1"/>
    <w:rsid w:val="001D1C56"/>
    <w:rsid w:val="001D1C62"/>
    <w:rsid w:val="001D1C7A"/>
    <w:rsid w:val="001D1CA3"/>
    <w:rsid w:val="001D1E94"/>
    <w:rsid w:val="001D1FBE"/>
    <w:rsid w:val="001D239D"/>
    <w:rsid w:val="001D27F3"/>
    <w:rsid w:val="001D29D1"/>
    <w:rsid w:val="001D2CE2"/>
    <w:rsid w:val="001D2D75"/>
    <w:rsid w:val="001D2E64"/>
    <w:rsid w:val="001D34D5"/>
    <w:rsid w:val="001D36E8"/>
    <w:rsid w:val="001D3899"/>
    <w:rsid w:val="001D408F"/>
    <w:rsid w:val="001D40A6"/>
    <w:rsid w:val="001D40C3"/>
    <w:rsid w:val="001D417A"/>
    <w:rsid w:val="001D424C"/>
    <w:rsid w:val="001D4270"/>
    <w:rsid w:val="001D4C9C"/>
    <w:rsid w:val="001D50CE"/>
    <w:rsid w:val="001D50FB"/>
    <w:rsid w:val="001D51D3"/>
    <w:rsid w:val="001D5218"/>
    <w:rsid w:val="001D52BA"/>
    <w:rsid w:val="001D5328"/>
    <w:rsid w:val="001D551C"/>
    <w:rsid w:val="001D5670"/>
    <w:rsid w:val="001D58F9"/>
    <w:rsid w:val="001D591A"/>
    <w:rsid w:val="001D5986"/>
    <w:rsid w:val="001D5B02"/>
    <w:rsid w:val="001D5B56"/>
    <w:rsid w:val="001D5C6E"/>
    <w:rsid w:val="001D5D46"/>
    <w:rsid w:val="001D60FB"/>
    <w:rsid w:val="001D6251"/>
    <w:rsid w:val="001D62E9"/>
    <w:rsid w:val="001D6FEF"/>
    <w:rsid w:val="001D72A7"/>
    <w:rsid w:val="001D76E0"/>
    <w:rsid w:val="001D77A4"/>
    <w:rsid w:val="001D7F2E"/>
    <w:rsid w:val="001E0026"/>
    <w:rsid w:val="001E0248"/>
    <w:rsid w:val="001E0435"/>
    <w:rsid w:val="001E0B53"/>
    <w:rsid w:val="001E0EB4"/>
    <w:rsid w:val="001E0F6E"/>
    <w:rsid w:val="001E11B5"/>
    <w:rsid w:val="001E14DF"/>
    <w:rsid w:val="001E1651"/>
    <w:rsid w:val="001E1A36"/>
    <w:rsid w:val="001E1DDB"/>
    <w:rsid w:val="001E1ECB"/>
    <w:rsid w:val="001E211C"/>
    <w:rsid w:val="001E229A"/>
    <w:rsid w:val="001E2BC9"/>
    <w:rsid w:val="001E2F84"/>
    <w:rsid w:val="001E3039"/>
    <w:rsid w:val="001E3095"/>
    <w:rsid w:val="001E3A12"/>
    <w:rsid w:val="001E3CBD"/>
    <w:rsid w:val="001E4120"/>
    <w:rsid w:val="001E43E7"/>
    <w:rsid w:val="001E4480"/>
    <w:rsid w:val="001E4559"/>
    <w:rsid w:val="001E4C91"/>
    <w:rsid w:val="001E4D6B"/>
    <w:rsid w:val="001E4FD3"/>
    <w:rsid w:val="001E50FD"/>
    <w:rsid w:val="001E51F8"/>
    <w:rsid w:val="001E53C4"/>
    <w:rsid w:val="001E5427"/>
    <w:rsid w:val="001E54AC"/>
    <w:rsid w:val="001E55AA"/>
    <w:rsid w:val="001E5625"/>
    <w:rsid w:val="001E56AC"/>
    <w:rsid w:val="001E5758"/>
    <w:rsid w:val="001E59E2"/>
    <w:rsid w:val="001E5A32"/>
    <w:rsid w:val="001E5BC7"/>
    <w:rsid w:val="001E5BCA"/>
    <w:rsid w:val="001E5F85"/>
    <w:rsid w:val="001E5F89"/>
    <w:rsid w:val="001E60C7"/>
    <w:rsid w:val="001E6197"/>
    <w:rsid w:val="001E620F"/>
    <w:rsid w:val="001E6852"/>
    <w:rsid w:val="001E693E"/>
    <w:rsid w:val="001E6B53"/>
    <w:rsid w:val="001E6CC4"/>
    <w:rsid w:val="001E73C2"/>
    <w:rsid w:val="001E74B3"/>
    <w:rsid w:val="001E7512"/>
    <w:rsid w:val="001E756C"/>
    <w:rsid w:val="001E7618"/>
    <w:rsid w:val="001E7ACB"/>
    <w:rsid w:val="001E7ADB"/>
    <w:rsid w:val="001E7D4F"/>
    <w:rsid w:val="001F015A"/>
    <w:rsid w:val="001F0181"/>
    <w:rsid w:val="001F0248"/>
    <w:rsid w:val="001F02BD"/>
    <w:rsid w:val="001F06C7"/>
    <w:rsid w:val="001F072D"/>
    <w:rsid w:val="001F07B4"/>
    <w:rsid w:val="001F0A67"/>
    <w:rsid w:val="001F0B76"/>
    <w:rsid w:val="001F1151"/>
    <w:rsid w:val="001F18D9"/>
    <w:rsid w:val="001F2151"/>
    <w:rsid w:val="001F2479"/>
    <w:rsid w:val="001F25D4"/>
    <w:rsid w:val="001F261E"/>
    <w:rsid w:val="001F27F7"/>
    <w:rsid w:val="001F28C4"/>
    <w:rsid w:val="001F29C7"/>
    <w:rsid w:val="001F2A39"/>
    <w:rsid w:val="001F2C04"/>
    <w:rsid w:val="001F2E31"/>
    <w:rsid w:val="001F30D2"/>
    <w:rsid w:val="001F342E"/>
    <w:rsid w:val="001F352A"/>
    <w:rsid w:val="001F3740"/>
    <w:rsid w:val="001F38E0"/>
    <w:rsid w:val="001F3D25"/>
    <w:rsid w:val="001F3F81"/>
    <w:rsid w:val="001F40B6"/>
    <w:rsid w:val="001F435B"/>
    <w:rsid w:val="001F4388"/>
    <w:rsid w:val="001F444A"/>
    <w:rsid w:val="001F4918"/>
    <w:rsid w:val="001F4BA5"/>
    <w:rsid w:val="001F4CE0"/>
    <w:rsid w:val="001F4D6C"/>
    <w:rsid w:val="001F4E44"/>
    <w:rsid w:val="001F5209"/>
    <w:rsid w:val="001F5377"/>
    <w:rsid w:val="001F552C"/>
    <w:rsid w:val="001F5B80"/>
    <w:rsid w:val="001F5EA2"/>
    <w:rsid w:val="001F5F9B"/>
    <w:rsid w:val="001F6090"/>
    <w:rsid w:val="001F651F"/>
    <w:rsid w:val="001F67CB"/>
    <w:rsid w:val="001F6AA7"/>
    <w:rsid w:val="001F6BB3"/>
    <w:rsid w:val="001F6BF9"/>
    <w:rsid w:val="001F6D68"/>
    <w:rsid w:val="001F6D6D"/>
    <w:rsid w:val="001F70B1"/>
    <w:rsid w:val="001F72E8"/>
    <w:rsid w:val="001F7332"/>
    <w:rsid w:val="001F733A"/>
    <w:rsid w:val="001F75EA"/>
    <w:rsid w:val="001F7785"/>
    <w:rsid w:val="001F7B94"/>
    <w:rsid w:val="001F7D2D"/>
    <w:rsid w:val="001FD0A8"/>
    <w:rsid w:val="00200164"/>
    <w:rsid w:val="002001B7"/>
    <w:rsid w:val="00200360"/>
    <w:rsid w:val="0020060F"/>
    <w:rsid w:val="00200852"/>
    <w:rsid w:val="0020096C"/>
    <w:rsid w:val="0020097C"/>
    <w:rsid w:val="00200A3E"/>
    <w:rsid w:val="00200B03"/>
    <w:rsid w:val="00200FEF"/>
    <w:rsid w:val="002013CD"/>
    <w:rsid w:val="0020151B"/>
    <w:rsid w:val="002015E0"/>
    <w:rsid w:val="00201633"/>
    <w:rsid w:val="0020191A"/>
    <w:rsid w:val="00201A9B"/>
    <w:rsid w:val="00201AC0"/>
    <w:rsid w:val="00201BBC"/>
    <w:rsid w:val="00201D64"/>
    <w:rsid w:val="00201F20"/>
    <w:rsid w:val="00202007"/>
    <w:rsid w:val="00202291"/>
    <w:rsid w:val="002023DC"/>
    <w:rsid w:val="00202805"/>
    <w:rsid w:val="00202BF9"/>
    <w:rsid w:val="00202FD5"/>
    <w:rsid w:val="002032DB"/>
    <w:rsid w:val="002034A8"/>
    <w:rsid w:val="002038A8"/>
    <w:rsid w:val="0020392B"/>
    <w:rsid w:val="002039A4"/>
    <w:rsid w:val="00203A83"/>
    <w:rsid w:val="002040B9"/>
    <w:rsid w:val="002044D2"/>
    <w:rsid w:val="0020458F"/>
    <w:rsid w:val="00204B00"/>
    <w:rsid w:val="00204BDC"/>
    <w:rsid w:val="00204E59"/>
    <w:rsid w:val="0020500F"/>
    <w:rsid w:val="0020549B"/>
    <w:rsid w:val="00205757"/>
    <w:rsid w:val="00205766"/>
    <w:rsid w:val="00205B3F"/>
    <w:rsid w:val="00205C72"/>
    <w:rsid w:val="00206387"/>
    <w:rsid w:val="002065D0"/>
    <w:rsid w:val="002066C6"/>
    <w:rsid w:val="002067B1"/>
    <w:rsid w:val="002068B5"/>
    <w:rsid w:val="002070C9"/>
    <w:rsid w:val="00207113"/>
    <w:rsid w:val="00207277"/>
    <w:rsid w:val="002072FC"/>
    <w:rsid w:val="0020752A"/>
    <w:rsid w:val="0020760D"/>
    <w:rsid w:val="002076A4"/>
    <w:rsid w:val="0020785D"/>
    <w:rsid w:val="00207B1F"/>
    <w:rsid w:val="00207CAA"/>
    <w:rsid w:val="00207E7F"/>
    <w:rsid w:val="00207E8D"/>
    <w:rsid w:val="0021015C"/>
    <w:rsid w:val="00210267"/>
    <w:rsid w:val="00210278"/>
    <w:rsid w:val="002107C7"/>
    <w:rsid w:val="0021084D"/>
    <w:rsid w:val="00210E99"/>
    <w:rsid w:val="00210F6B"/>
    <w:rsid w:val="00211012"/>
    <w:rsid w:val="002112E2"/>
    <w:rsid w:val="00211321"/>
    <w:rsid w:val="0021141B"/>
    <w:rsid w:val="00211519"/>
    <w:rsid w:val="002116AA"/>
    <w:rsid w:val="002119B9"/>
    <w:rsid w:val="00211B06"/>
    <w:rsid w:val="00211BFB"/>
    <w:rsid w:val="00211E71"/>
    <w:rsid w:val="0021207A"/>
    <w:rsid w:val="0021237D"/>
    <w:rsid w:val="0021238D"/>
    <w:rsid w:val="002123FE"/>
    <w:rsid w:val="00212486"/>
    <w:rsid w:val="002124A4"/>
    <w:rsid w:val="00212DC3"/>
    <w:rsid w:val="00213368"/>
    <w:rsid w:val="0021337C"/>
    <w:rsid w:val="0021340C"/>
    <w:rsid w:val="00213667"/>
    <w:rsid w:val="00213715"/>
    <w:rsid w:val="00213776"/>
    <w:rsid w:val="002138D3"/>
    <w:rsid w:val="00213912"/>
    <w:rsid w:val="00213C2F"/>
    <w:rsid w:val="00213CAB"/>
    <w:rsid w:val="0021433B"/>
    <w:rsid w:val="002143FD"/>
    <w:rsid w:val="0021443C"/>
    <w:rsid w:val="0021492A"/>
    <w:rsid w:val="00214D84"/>
    <w:rsid w:val="00214F2D"/>
    <w:rsid w:val="00214F61"/>
    <w:rsid w:val="00215669"/>
    <w:rsid w:val="00215765"/>
    <w:rsid w:val="0021598D"/>
    <w:rsid w:val="002159E1"/>
    <w:rsid w:val="00215F4A"/>
    <w:rsid w:val="00216067"/>
    <w:rsid w:val="0021654B"/>
    <w:rsid w:val="00216572"/>
    <w:rsid w:val="002167F0"/>
    <w:rsid w:val="00216892"/>
    <w:rsid w:val="00216DA1"/>
    <w:rsid w:val="00216DE4"/>
    <w:rsid w:val="002172B0"/>
    <w:rsid w:val="00217386"/>
    <w:rsid w:val="00217482"/>
    <w:rsid w:val="002174E0"/>
    <w:rsid w:val="002179A8"/>
    <w:rsid w:val="00217A7B"/>
    <w:rsid w:val="00217B80"/>
    <w:rsid w:val="00217C84"/>
    <w:rsid w:val="00217E1C"/>
    <w:rsid w:val="002202CD"/>
    <w:rsid w:val="00221146"/>
    <w:rsid w:val="00221244"/>
    <w:rsid w:val="00221444"/>
    <w:rsid w:val="00221533"/>
    <w:rsid w:val="00221605"/>
    <w:rsid w:val="002217B0"/>
    <w:rsid w:val="00221844"/>
    <w:rsid w:val="00221E44"/>
    <w:rsid w:val="00221F36"/>
    <w:rsid w:val="00221F3D"/>
    <w:rsid w:val="00222692"/>
    <w:rsid w:val="002228D3"/>
    <w:rsid w:val="00222988"/>
    <w:rsid w:val="00222B06"/>
    <w:rsid w:val="00222E69"/>
    <w:rsid w:val="00222F38"/>
    <w:rsid w:val="0022306B"/>
    <w:rsid w:val="0022348F"/>
    <w:rsid w:val="00223590"/>
    <w:rsid w:val="002235D6"/>
    <w:rsid w:val="0022363B"/>
    <w:rsid w:val="002239B0"/>
    <w:rsid w:val="00223C49"/>
    <w:rsid w:val="002244D9"/>
    <w:rsid w:val="00224536"/>
    <w:rsid w:val="0022476C"/>
    <w:rsid w:val="00224870"/>
    <w:rsid w:val="00224915"/>
    <w:rsid w:val="00224999"/>
    <w:rsid w:val="00224B19"/>
    <w:rsid w:val="00224E14"/>
    <w:rsid w:val="00224E9C"/>
    <w:rsid w:val="0022521C"/>
    <w:rsid w:val="0022543A"/>
    <w:rsid w:val="00225576"/>
    <w:rsid w:val="0022574D"/>
    <w:rsid w:val="00225770"/>
    <w:rsid w:val="00225B83"/>
    <w:rsid w:val="00225CF6"/>
    <w:rsid w:val="00225D1B"/>
    <w:rsid w:val="00225DB0"/>
    <w:rsid w:val="00225F8F"/>
    <w:rsid w:val="002261C9"/>
    <w:rsid w:val="002264BB"/>
    <w:rsid w:val="00226BA4"/>
    <w:rsid w:val="00226C54"/>
    <w:rsid w:val="00226CFA"/>
    <w:rsid w:val="00226E6F"/>
    <w:rsid w:val="002270AA"/>
    <w:rsid w:val="002274F0"/>
    <w:rsid w:val="00227E94"/>
    <w:rsid w:val="002307DF"/>
    <w:rsid w:val="002307EB"/>
    <w:rsid w:val="0023089F"/>
    <w:rsid w:val="00230AEB"/>
    <w:rsid w:val="00230EAF"/>
    <w:rsid w:val="002317BB"/>
    <w:rsid w:val="0023192B"/>
    <w:rsid w:val="00231C0A"/>
    <w:rsid w:val="00231CC2"/>
    <w:rsid w:val="00231DD6"/>
    <w:rsid w:val="0023254A"/>
    <w:rsid w:val="00232604"/>
    <w:rsid w:val="00232AF4"/>
    <w:rsid w:val="00232B04"/>
    <w:rsid w:val="00232EF7"/>
    <w:rsid w:val="00233307"/>
    <w:rsid w:val="00233499"/>
    <w:rsid w:val="00233548"/>
    <w:rsid w:val="00233593"/>
    <w:rsid w:val="002335EC"/>
    <w:rsid w:val="0023363F"/>
    <w:rsid w:val="002336A1"/>
    <w:rsid w:val="00233881"/>
    <w:rsid w:val="00233BA9"/>
    <w:rsid w:val="00233C2A"/>
    <w:rsid w:val="00233EB9"/>
    <w:rsid w:val="0023438C"/>
    <w:rsid w:val="00234485"/>
    <w:rsid w:val="002344C4"/>
    <w:rsid w:val="0023471A"/>
    <w:rsid w:val="00234851"/>
    <w:rsid w:val="00234932"/>
    <w:rsid w:val="00234CC6"/>
    <w:rsid w:val="00234D5E"/>
    <w:rsid w:val="00234E79"/>
    <w:rsid w:val="00235281"/>
    <w:rsid w:val="0023559F"/>
    <w:rsid w:val="00235733"/>
    <w:rsid w:val="002357BC"/>
    <w:rsid w:val="00235E06"/>
    <w:rsid w:val="00236086"/>
    <w:rsid w:val="002363E8"/>
    <w:rsid w:val="002366F6"/>
    <w:rsid w:val="00236A08"/>
    <w:rsid w:val="00236E52"/>
    <w:rsid w:val="0023719B"/>
    <w:rsid w:val="002373BB"/>
    <w:rsid w:val="002375CD"/>
    <w:rsid w:val="00237677"/>
    <w:rsid w:val="002376FA"/>
    <w:rsid w:val="00237720"/>
    <w:rsid w:val="00237B8D"/>
    <w:rsid w:val="00237BA1"/>
    <w:rsid w:val="00237C5C"/>
    <w:rsid w:val="002400B4"/>
    <w:rsid w:val="002400C7"/>
    <w:rsid w:val="0024018B"/>
    <w:rsid w:val="002402F9"/>
    <w:rsid w:val="0024049D"/>
    <w:rsid w:val="00240922"/>
    <w:rsid w:val="00240D00"/>
    <w:rsid w:val="00240E00"/>
    <w:rsid w:val="00240F34"/>
    <w:rsid w:val="0024127C"/>
    <w:rsid w:val="0024135D"/>
    <w:rsid w:val="0024138D"/>
    <w:rsid w:val="00241796"/>
    <w:rsid w:val="002418D7"/>
    <w:rsid w:val="00241EF7"/>
    <w:rsid w:val="00241F94"/>
    <w:rsid w:val="00242168"/>
    <w:rsid w:val="0024223F"/>
    <w:rsid w:val="0024229A"/>
    <w:rsid w:val="0024248A"/>
    <w:rsid w:val="00242AD0"/>
    <w:rsid w:val="002431B0"/>
    <w:rsid w:val="002432F1"/>
    <w:rsid w:val="0024330F"/>
    <w:rsid w:val="00243463"/>
    <w:rsid w:val="002435BA"/>
    <w:rsid w:val="00243653"/>
    <w:rsid w:val="00243BDD"/>
    <w:rsid w:val="00243BE9"/>
    <w:rsid w:val="00243D4F"/>
    <w:rsid w:val="00243D8E"/>
    <w:rsid w:val="002446B8"/>
    <w:rsid w:val="002447A0"/>
    <w:rsid w:val="00244822"/>
    <w:rsid w:val="00244E75"/>
    <w:rsid w:val="00244E83"/>
    <w:rsid w:val="00245128"/>
    <w:rsid w:val="00245443"/>
    <w:rsid w:val="00245631"/>
    <w:rsid w:val="002456EF"/>
    <w:rsid w:val="002459ED"/>
    <w:rsid w:val="00245B7A"/>
    <w:rsid w:val="00245D00"/>
    <w:rsid w:val="00245F48"/>
    <w:rsid w:val="00246161"/>
    <w:rsid w:val="0024653F"/>
    <w:rsid w:val="0024685E"/>
    <w:rsid w:val="002470FA"/>
    <w:rsid w:val="00247CFF"/>
    <w:rsid w:val="002500B4"/>
    <w:rsid w:val="00250450"/>
    <w:rsid w:val="002504C7"/>
    <w:rsid w:val="0025058F"/>
    <w:rsid w:val="002505A2"/>
    <w:rsid w:val="00250609"/>
    <w:rsid w:val="00250B5D"/>
    <w:rsid w:val="00250D38"/>
    <w:rsid w:val="00250DF6"/>
    <w:rsid w:val="00251100"/>
    <w:rsid w:val="00251228"/>
    <w:rsid w:val="00251369"/>
    <w:rsid w:val="00251377"/>
    <w:rsid w:val="002513F1"/>
    <w:rsid w:val="002514E1"/>
    <w:rsid w:val="00251DFE"/>
    <w:rsid w:val="00251E53"/>
    <w:rsid w:val="00252392"/>
    <w:rsid w:val="0025258E"/>
    <w:rsid w:val="002525BB"/>
    <w:rsid w:val="00252724"/>
    <w:rsid w:val="002527DD"/>
    <w:rsid w:val="00252C4E"/>
    <w:rsid w:val="00252EF2"/>
    <w:rsid w:val="0025301B"/>
    <w:rsid w:val="00253119"/>
    <w:rsid w:val="00253961"/>
    <w:rsid w:val="00253D26"/>
    <w:rsid w:val="00253D63"/>
    <w:rsid w:val="00253D6C"/>
    <w:rsid w:val="00254AC5"/>
    <w:rsid w:val="002551E1"/>
    <w:rsid w:val="0025530B"/>
    <w:rsid w:val="00255872"/>
    <w:rsid w:val="00255A31"/>
    <w:rsid w:val="0025621C"/>
    <w:rsid w:val="0025636F"/>
    <w:rsid w:val="00256502"/>
    <w:rsid w:val="00256551"/>
    <w:rsid w:val="002567ED"/>
    <w:rsid w:val="0025680B"/>
    <w:rsid w:val="0025698F"/>
    <w:rsid w:val="00256E54"/>
    <w:rsid w:val="00257065"/>
    <w:rsid w:val="002570CB"/>
    <w:rsid w:val="002571DD"/>
    <w:rsid w:val="002574C4"/>
    <w:rsid w:val="00257669"/>
    <w:rsid w:val="0025767C"/>
    <w:rsid w:val="002578A8"/>
    <w:rsid w:val="00257AC3"/>
    <w:rsid w:val="00257B1B"/>
    <w:rsid w:val="00257DD8"/>
    <w:rsid w:val="00260350"/>
    <w:rsid w:val="0026059C"/>
    <w:rsid w:val="0026063A"/>
    <w:rsid w:val="002607AD"/>
    <w:rsid w:val="002608E7"/>
    <w:rsid w:val="00260933"/>
    <w:rsid w:val="00260942"/>
    <w:rsid w:val="00260B16"/>
    <w:rsid w:val="00260C6E"/>
    <w:rsid w:val="00260D7B"/>
    <w:rsid w:val="00260F48"/>
    <w:rsid w:val="0026100B"/>
    <w:rsid w:val="00261052"/>
    <w:rsid w:val="00261261"/>
    <w:rsid w:val="00261804"/>
    <w:rsid w:val="002619B1"/>
    <w:rsid w:val="00261A7F"/>
    <w:rsid w:val="00261BB5"/>
    <w:rsid w:val="00261C40"/>
    <w:rsid w:val="00261CC7"/>
    <w:rsid w:val="00262197"/>
    <w:rsid w:val="002621E3"/>
    <w:rsid w:val="002624F2"/>
    <w:rsid w:val="00262622"/>
    <w:rsid w:val="00262680"/>
    <w:rsid w:val="00262842"/>
    <w:rsid w:val="002628FB"/>
    <w:rsid w:val="00262B25"/>
    <w:rsid w:val="00262C39"/>
    <w:rsid w:val="00262CE8"/>
    <w:rsid w:val="00262D8D"/>
    <w:rsid w:val="00262DBF"/>
    <w:rsid w:val="00262EB9"/>
    <w:rsid w:val="00262FFE"/>
    <w:rsid w:val="00263156"/>
    <w:rsid w:val="002631A7"/>
    <w:rsid w:val="002631AA"/>
    <w:rsid w:val="0026340D"/>
    <w:rsid w:val="002636ED"/>
    <w:rsid w:val="00263747"/>
    <w:rsid w:val="00263CF1"/>
    <w:rsid w:val="00263DCB"/>
    <w:rsid w:val="00264305"/>
    <w:rsid w:val="002643E3"/>
    <w:rsid w:val="002646A0"/>
    <w:rsid w:val="00264ACE"/>
    <w:rsid w:val="00264B94"/>
    <w:rsid w:val="00264BD7"/>
    <w:rsid w:val="00264D81"/>
    <w:rsid w:val="00264FE2"/>
    <w:rsid w:val="0026536B"/>
    <w:rsid w:val="0026552B"/>
    <w:rsid w:val="00265A7D"/>
    <w:rsid w:val="00265B23"/>
    <w:rsid w:val="00265B97"/>
    <w:rsid w:val="002663DC"/>
    <w:rsid w:val="0026657C"/>
    <w:rsid w:val="002666D9"/>
    <w:rsid w:val="00266808"/>
    <w:rsid w:val="00266D05"/>
    <w:rsid w:val="00266D6C"/>
    <w:rsid w:val="00266D99"/>
    <w:rsid w:val="00266ED0"/>
    <w:rsid w:val="00266EE7"/>
    <w:rsid w:val="002670D7"/>
    <w:rsid w:val="00267510"/>
    <w:rsid w:val="002675F5"/>
    <w:rsid w:val="002678F4"/>
    <w:rsid w:val="00267C05"/>
    <w:rsid w:val="00267CD3"/>
    <w:rsid w:val="00267D0F"/>
    <w:rsid w:val="002702DA"/>
    <w:rsid w:val="002703C7"/>
    <w:rsid w:val="002709F8"/>
    <w:rsid w:val="00270CA0"/>
    <w:rsid w:val="0027105F"/>
    <w:rsid w:val="0027151D"/>
    <w:rsid w:val="00271528"/>
    <w:rsid w:val="00271581"/>
    <w:rsid w:val="00271C4C"/>
    <w:rsid w:val="00271E75"/>
    <w:rsid w:val="0027202C"/>
    <w:rsid w:val="00272045"/>
    <w:rsid w:val="002722BC"/>
    <w:rsid w:val="002722E4"/>
    <w:rsid w:val="002723C2"/>
    <w:rsid w:val="002723D5"/>
    <w:rsid w:val="002729D8"/>
    <w:rsid w:val="00272A0D"/>
    <w:rsid w:val="00272BBD"/>
    <w:rsid w:val="00272BBE"/>
    <w:rsid w:val="00272E5D"/>
    <w:rsid w:val="00272FBB"/>
    <w:rsid w:val="00272FE3"/>
    <w:rsid w:val="00273331"/>
    <w:rsid w:val="00273498"/>
    <w:rsid w:val="002735B8"/>
    <w:rsid w:val="00273AA3"/>
    <w:rsid w:val="00273ADA"/>
    <w:rsid w:val="00273D5B"/>
    <w:rsid w:val="00273D96"/>
    <w:rsid w:val="00274330"/>
    <w:rsid w:val="00274402"/>
    <w:rsid w:val="00274510"/>
    <w:rsid w:val="002746AB"/>
    <w:rsid w:val="002749A8"/>
    <w:rsid w:val="00274B69"/>
    <w:rsid w:val="00274D29"/>
    <w:rsid w:val="00274E40"/>
    <w:rsid w:val="0027501B"/>
    <w:rsid w:val="0027518B"/>
    <w:rsid w:val="0027523D"/>
    <w:rsid w:val="00275399"/>
    <w:rsid w:val="00275785"/>
    <w:rsid w:val="002758E9"/>
    <w:rsid w:val="00275971"/>
    <w:rsid w:val="00275B91"/>
    <w:rsid w:val="00275D23"/>
    <w:rsid w:val="00275E46"/>
    <w:rsid w:val="00276627"/>
    <w:rsid w:val="0027720D"/>
    <w:rsid w:val="0027765B"/>
    <w:rsid w:val="002777C6"/>
    <w:rsid w:val="00277B59"/>
    <w:rsid w:val="0028014C"/>
    <w:rsid w:val="0028058C"/>
    <w:rsid w:val="0028090C"/>
    <w:rsid w:val="00280A5D"/>
    <w:rsid w:val="00280AB1"/>
    <w:rsid w:val="002812F3"/>
    <w:rsid w:val="002814F5"/>
    <w:rsid w:val="00281D4D"/>
    <w:rsid w:val="002820FD"/>
    <w:rsid w:val="0028224B"/>
    <w:rsid w:val="002825D5"/>
    <w:rsid w:val="0028266B"/>
    <w:rsid w:val="00282697"/>
    <w:rsid w:val="00282852"/>
    <w:rsid w:val="00282867"/>
    <w:rsid w:val="002828BF"/>
    <w:rsid w:val="00282E2C"/>
    <w:rsid w:val="0028300B"/>
    <w:rsid w:val="00283150"/>
    <w:rsid w:val="00283188"/>
    <w:rsid w:val="002833D9"/>
    <w:rsid w:val="00283710"/>
    <w:rsid w:val="00283CE8"/>
    <w:rsid w:val="00283D28"/>
    <w:rsid w:val="00283D96"/>
    <w:rsid w:val="00283E4E"/>
    <w:rsid w:val="00283EDE"/>
    <w:rsid w:val="00283F41"/>
    <w:rsid w:val="00283F89"/>
    <w:rsid w:val="002841C8"/>
    <w:rsid w:val="002842E3"/>
    <w:rsid w:val="0028445D"/>
    <w:rsid w:val="0028468F"/>
    <w:rsid w:val="00284899"/>
    <w:rsid w:val="002848E4"/>
    <w:rsid w:val="00284A09"/>
    <w:rsid w:val="00284CF1"/>
    <w:rsid w:val="00284DE0"/>
    <w:rsid w:val="002850AD"/>
    <w:rsid w:val="002850FE"/>
    <w:rsid w:val="0028560F"/>
    <w:rsid w:val="0028563C"/>
    <w:rsid w:val="00285A32"/>
    <w:rsid w:val="00285D15"/>
    <w:rsid w:val="0028600A"/>
    <w:rsid w:val="002863C4"/>
    <w:rsid w:val="00286423"/>
    <w:rsid w:val="002868C3"/>
    <w:rsid w:val="002869C5"/>
    <w:rsid w:val="00286A15"/>
    <w:rsid w:val="002871E9"/>
    <w:rsid w:val="0028739E"/>
    <w:rsid w:val="002876EF"/>
    <w:rsid w:val="00287714"/>
    <w:rsid w:val="00287B48"/>
    <w:rsid w:val="00287F7D"/>
    <w:rsid w:val="00287FA2"/>
    <w:rsid w:val="00287FCB"/>
    <w:rsid w:val="00287FE8"/>
    <w:rsid w:val="0029000E"/>
    <w:rsid w:val="0029004A"/>
    <w:rsid w:val="00290187"/>
    <w:rsid w:val="0029046D"/>
    <w:rsid w:val="002907DC"/>
    <w:rsid w:val="00290986"/>
    <w:rsid w:val="00290DC0"/>
    <w:rsid w:val="00290F0B"/>
    <w:rsid w:val="0029105D"/>
    <w:rsid w:val="002914C8"/>
    <w:rsid w:val="0029157B"/>
    <w:rsid w:val="00291737"/>
    <w:rsid w:val="00291ED5"/>
    <w:rsid w:val="00292006"/>
    <w:rsid w:val="002929D0"/>
    <w:rsid w:val="00292AD0"/>
    <w:rsid w:val="00292CA0"/>
    <w:rsid w:val="00292EDF"/>
    <w:rsid w:val="00293338"/>
    <w:rsid w:val="0029336C"/>
    <w:rsid w:val="00293584"/>
    <w:rsid w:val="002936D5"/>
    <w:rsid w:val="00293842"/>
    <w:rsid w:val="00293875"/>
    <w:rsid w:val="00293BFD"/>
    <w:rsid w:val="00293EAD"/>
    <w:rsid w:val="00293EB5"/>
    <w:rsid w:val="0029416C"/>
    <w:rsid w:val="00294274"/>
    <w:rsid w:val="0029545D"/>
    <w:rsid w:val="00295631"/>
    <w:rsid w:val="00295A7D"/>
    <w:rsid w:val="00295B95"/>
    <w:rsid w:val="00296101"/>
    <w:rsid w:val="00296194"/>
    <w:rsid w:val="002961B2"/>
    <w:rsid w:val="0029663E"/>
    <w:rsid w:val="002967E1"/>
    <w:rsid w:val="00296953"/>
    <w:rsid w:val="00296CAB"/>
    <w:rsid w:val="00296E20"/>
    <w:rsid w:val="00297233"/>
    <w:rsid w:val="002972A3"/>
    <w:rsid w:val="00297334"/>
    <w:rsid w:val="002976FD"/>
    <w:rsid w:val="00297852"/>
    <w:rsid w:val="00297BE8"/>
    <w:rsid w:val="00297EF5"/>
    <w:rsid w:val="002A00C7"/>
    <w:rsid w:val="002A0652"/>
    <w:rsid w:val="002A0667"/>
    <w:rsid w:val="002A06DC"/>
    <w:rsid w:val="002A08D7"/>
    <w:rsid w:val="002A0D77"/>
    <w:rsid w:val="002A0E98"/>
    <w:rsid w:val="002A0ED1"/>
    <w:rsid w:val="002A154B"/>
    <w:rsid w:val="002A189B"/>
    <w:rsid w:val="002A18CD"/>
    <w:rsid w:val="002A18DB"/>
    <w:rsid w:val="002A18EA"/>
    <w:rsid w:val="002A1F7F"/>
    <w:rsid w:val="002A1F8A"/>
    <w:rsid w:val="002A2403"/>
    <w:rsid w:val="002A25AB"/>
    <w:rsid w:val="002A2836"/>
    <w:rsid w:val="002A28AD"/>
    <w:rsid w:val="002A297B"/>
    <w:rsid w:val="002A2CF2"/>
    <w:rsid w:val="002A2D06"/>
    <w:rsid w:val="002A2D74"/>
    <w:rsid w:val="002A2DB2"/>
    <w:rsid w:val="002A2EEE"/>
    <w:rsid w:val="002A3035"/>
    <w:rsid w:val="002A307E"/>
    <w:rsid w:val="002A3162"/>
    <w:rsid w:val="002A31FD"/>
    <w:rsid w:val="002A33F6"/>
    <w:rsid w:val="002A3671"/>
    <w:rsid w:val="002A3721"/>
    <w:rsid w:val="002A3B86"/>
    <w:rsid w:val="002A3C57"/>
    <w:rsid w:val="002A3ECC"/>
    <w:rsid w:val="002A42EE"/>
    <w:rsid w:val="002A42F9"/>
    <w:rsid w:val="002A4969"/>
    <w:rsid w:val="002A4B2E"/>
    <w:rsid w:val="002A4BA6"/>
    <w:rsid w:val="002A4BFE"/>
    <w:rsid w:val="002A4F38"/>
    <w:rsid w:val="002A4F77"/>
    <w:rsid w:val="002A5059"/>
    <w:rsid w:val="002A5538"/>
    <w:rsid w:val="002A5552"/>
    <w:rsid w:val="002A5573"/>
    <w:rsid w:val="002A5610"/>
    <w:rsid w:val="002A5E11"/>
    <w:rsid w:val="002A5FAB"/>
    <w:rsid w:val="002A6085"/>
    <w:rsid w:val="002A6296"/>
    <w:rsid w:val="002A653D"/>
    <w:rsid w:val="002A65F4"/>
    <w:rsid w:val="002A6792"/>
    <w:rsid w:val="002A6965"/>
    <w:rsid w:val="002A6C29"/>
    <w:rsid w:val="002A6E09"/>
    <w:rsid w:val="002A71C2"/>
    <w:rsid w:val="002A75B8"/>
    <w:rsid w:val="002A7880"/>
    <w:rsid w:val="002A7B7E"/>
    <w:rsid w:val="002A7C9F"/>
    <w:rsid w:val="002A7DB5"/>
    <w:rsid w:val="002A7FDE"/>
    <w:rsid w:val="002B08C7"/>
    <w:rsid w:val="002B10FD"/>
    <w:rsid w:val="002B165E"/>
    <w:rsid w:val="002B1869"/>
    <w:rsid w:val="002B1914"/>
    <w:rsid w:val="002B1A89"/>
    <w:rsid w:val="002B2288"/>
    <w:rsid w:val="002B233D"/>
    <w:rsid w:val="002B26E4"/>
    <w:rsid w:val="002B27A3"/>
    <w:rsid w:val="002B282A"/>
    <w:rsid w:val="002B2A72"/>
    <w:rsid w:val="002B2C2C"/>
    <w:rsid w:val="002B2F18"/>
    <w:rsid w:val="002B30B9"/>
    <w:rsid w:val="002B377A"/>
    <w:rsid w:val="002B37EF"/>
    <w:rsid w:val="002B39D4"/>
    <w:rsid w:val="002B3CE5"/>
    <w:rsid w:val="002B41BD"/>
    <w:rsid w:val="002B44E5"/>
    <w:rsid w:val="002B4542"/>
    <w:rsid w:val="002B484C"/>
    <w:rsid w:val="002B49E5"/>
    <w:rsid w:val="002B4D1B"/>
    <w:rsid w:val="002B5248"/>
    <w:rsid w:val="002B5325"/>
    <w:rsid w:val="002B55E5"/>
    <w:rsid w:val="002B5632"/>
    <w:rsid w:val="002B5718"/>
    <w:rsid w:val="002B5DE4"/>
    <w:rsid w:val="002B5F80"/>
    <w:rsid w:val="002B6080"/>
    <w:rsid w:val="002B63B7"/>
    <w:rsid w:val="002B659E"/>
    <w:rsid w:val="002B663E"/>
    <w:rsid w:val="002B6745"/>
    <w:rsid w:val="002B68E6"/>
    <w:rsid w:val="002B6B2C"/>
    <w:rsid w:val="002B6BD5"/>
    <w:rsid w:val="002B6F35"/>
    <w:rsid w:val="002B7159"/>
    <w:rsid w:val="002B73E4"/>
    <w:rsid w:val="002B7879"/>
    <w:rsid w:val="002B7A2B"/>
    <w:rsid w:val="002B7F75"/>
    <w:rsid w:val="002C06F4"/>
    <w:rsid w:val="002C070D"/>
    <w:rsid w:val="002C08A0"/>
    <w:rsid w:val="002C091A"/>
    <w:rsid w:val="002C0942"/>
    <w:rsid w:val="002C0A97"/>
    <w:rsid w:val="002C0AF7"/>
    <w:rsid w:val="002C0B34"/>
    <w:rsid w:val="002C0E3D"/>
    <w:rsid w:val="002C1470"/>
    <w:rsid w:val="002C1548"/>
    <w:rsid w:val="002C1681"/>
    <w:rsid w:val="002C173C"/>
    <w:rsid w:val="002C188C"/>
    <w:rsid w:val="002C1AAC"/>
    <w:rsid w:val="002C1D24"/>
    <w:rsid w:val="002C1E05"/>
    <w:rsid w:val="002C1ECF"/>
    <w:rsid w:val="002C2254"/>
    <w:rsid w:val="002C24A3"/>
    <w:rsid w:val="002C299B"/>
    <w:rsid w:val="002C2BB8"/>
    <w:rsid w:val="002C2C0D"/>
    <w:rsid w:val="002C2C8A"/>
    <w:rsid w:val="002C2DEB"/>
    <w:rsid w:val="002C3393"/>
    <w:rsid w:val="002C344E"/>
    <w:rsid w:val="002C34FB"/>
    <w:rsid w:val="002C350E"/>
    <w:rsid w:val="002C35DB"/>
    <w:rsid w:val="002C366D"/>
    <w:rsid w:val="002C3C17"/>
    <w:rsid w:val="002C3C77"/>
    <w:rsid w:val="002C3D0E"/>
    <w:rsid w:val="002C3D88"/>
    <w:rsid w:val="002C3D91"/>
    <w:rsid w:val="002C3E89"/>
    <w:rsid w:val="002C40AD"/>
    <w:rsid w:val="002C41F3"/>
    <w:rsid w:val="002C47AF"/>
    <w:rsid w:val="002C4859"/>
    <w:rsid w:val="002C486A"/>
    <w:rsid w:val="002C4C22"/>
    <w:rsid w:val="002C4D2B"/>
    <w:rsid w:val="002C51E6"/>
    <w:rsid w:val="002C51ED"/>
    <w:rsid w:val="002C536A"/>
    <w:rsid w:val="002C56AE"/>
    <w:rsid w:val="002C57B7"/>
    <w:rsid w:val="002C57F0"/>
    <w:rsid w:val="002C5B97"/>
    <w:rsid w:val="002C5BC6"/>
    <w:rsid w:val="002C5E4A"/>
    <w:rsid w:val="002C5F9C"/>
    <w:rsid w:val="002C649D"/>
    <w:rsid w:val="002C651A"/>
    <w:rsid w:val="002C65BC"/>
    <w:rsid w:val="002C688A"/>
    <w:rsid w:val="002C6FFC"/>
    <w:rsid w:val="002C710B"/>
    <w:rsid w:val="002C71C6"/>
    <w:rsid w:val="002C72C2"/>
    <w:rsid w:val="002C7433"/>
    <w:rsid w:val="002C7AC7"/>
    <w:rsid w:val="002C7B8C"/>
    <w:rsid w:val="002D00A9"/>
    <w:rsid w:val="002D00AA"/>
    <w:rsid w:val="002D01F9"/>
    <w:rsid w:val="002D05C5"/>
    <w:rsid w:val="002D090F"/>
    <w:rsid w:val="002D1066"/>
    <w:rsid w:val="002D115F"/>
    <w:rsid w:val="002D1377"/>
    <w:rsid w:val="002D1587"/>
    <w:rsid w:val="002D185C"/>
    <w:rsid w:val="002D18BE"/>
    <w:rsid w:val="002D19D1"/>
    <w:rsid w:val="002D255D"/>
    <w:rsid w:val="002D258C"/>
    <w:rsid w:val="002D28D4"/>
    <w:rsid w:val="002D2D21"/>
    <w:rsid w:val="002D2F1E"/>
    <w:rsid w:val="002D2FCF"/>
    <w:rsid w:val="002D3018"/>
    <w:rsid w:val="002D3195"/>
    <w:rsid w:val="002D31FC"/>
    <w:rsid w:val="002D32E4"/>
    <w:rsid w:val="002D368D"/>
    <w:rsid w:val="002D37F7"/>
    <w:rsid w:val="002D387C"/>
    <w:rsid w:val="002D3962"/>
    <w:rsid w:val="002D3D02"/>
    <w:rsid w:val="002D3D0F"/>
    <w:rsid w:val="002D3EF2"/>
    <w:rsid w:val="002D40E4"/>
    <w:rsid w:val="002D4400"/>
    <w:rsid w:val="002D4433"/>
    <w:rsid w:val="002D46F4"/>
    <w:rsid w:val="002D4798"/>
    <w:rsid w:val="002D4972"/>
    <w:rsid w:val="002D4FB9"/>
    <w:rsid w:val="002D524A"/>
    <w:rsid w:val="002D5716"/>
    <w:rsid w:val="002D5847"/>
    <w:rsid w:val="002D59B0"/>
    <w:rsid w:val="002D5A3A"/>
    <w:rsid w:val="002D5A68"/>
    <w:rsid w:val="002D5F53"/>
    <w:rsid w:val="002D61AE"/>
    <w:rsid w:val="002D6400"/>
    <w:rsid w:val="002D6525"/>
    <w:rsid w:val="002D68C3"/>
    <w:rsid w:val="002D6934"/>
    <w:rsid w:val="002D6B18"/>
    <w:rsid w:val="002D6B6B"/>
    <w:rsid w:val="002D6BDE"/>
    <w:rsid w:val="002D6C9C"/>
    <w:rsid w:val="002D72F7"/>
    <w:rsid w:val="002D73FF"/>
    <w:rsid w:val="002D7E88"/>
    <w:rsid w:val="002D7F89"/>
    <w:rsid w:val="002E003F"/>
    <w:rsid w:val="002E0C21"/>
    <w:rsid w:val="002E0C51"/>
    <w:rsid w:val="002E0D0B"/>
    <w:rsid w:val="002E1157"/>
    <w:rsid w:val="002E1440"/>
    <w:rsid w:val="002E1591"/>
    <w:rsid w:val="002E165E"/>
    <w:rsid w:val="002E169C"/>
    <w:rsid w:val="002E17F6"/>
    <w:rsid w:val="002E18D3"/>
    <w:rsid w:val="002E1EDD"/>
    <w:rsid w:val="002E1F6C"/>
    <w:rsid w:val="002E201D"/>
    <w:rsid w:val="002E2076"/>
    <w:rsid w:val="002E2289"/>
    <w:rsid w:val="002E26D6"/>
    <w:rsid w:val="002E27A1"/>
    <w:rsid w:val="002E2B70"/>
    <w:rsid w:val="002E2D68"/>
    <w:rsid w:val="002E3129"/>
    <w:rsid w:val="002E3223"/>
    <w:rsid w:val="002E33FF"/>
    <w:rsid w:val="002E3537"/>
    <w:rsid w:val="002E3706"/>
    <w:rsid w:val="002E3873"/>
    <w:rsid w:val="002E38B8"/>
    <w:rsid w:val="002E39F7"/>
    <w:rsid w:val="002E3C52"/>
    <w:rsid w:val="002E41BC"/>
    <w:rsid w:val="002E4522"/>
    <w:rsid w:val="002E488E"/>
    <w:rsid w:val="002E492F"/>
    <w:rsid w:val="002E4AF7"/>
    <w:rsid w:val="002E4DF5"/>
    <w:rsid w:val="002E5018"/>
    <w:rsid w:val="002E50CE"/>
    <w:rsid w:val="002E51DB"/>
    <w:rsid w:val="002E51DE"/>
    <w:rsid w:val="002E569A"/>
    <w:rsid w:val="002E574F"/>
    <w:rsid w:val="002E579B"/>
    <w:rsid w:val="002E5EBF"/>
    <w:rsid w:val="002E6623"/>
    <w:rsid w:val="002E6796"/>
    <w:rsid w:val="002E689B"/>
    <w:rsid w:val="002E6C2F"/>
    <w:rsid w:val="002E6D04"/>
    <w:rsid w:val="002E6DA0"/>
    <w:rsid w:val="002E7327"/>
    <w:rsid w:val="002E7852"/>
    <w:rsid w:val="002E7B7E"/>
    <w:rsid w:val="002F0024"/>
    <w:rsid w:val="002F012D"/>
    <w:rsid w:val="002F02AD"/>
    <w:rsid w:val="002F0369"/>
    <w:rsid w:val="002F0701"/>
    <w:rsid w:val="002F0A11"/>
    <w:rsid w:val="002F0D20"/>
    <w:rsid w:val="002F0D97"/>
    <w:rsid w:val="002F0F9C"/>
    <w:rsid w:val="002F1113"/>
    <w:rsid w:val="002F12A5"/>
    <w:rsid w:val="002F1718"/>
    <w:rsid w:val="002F1E7A"/>
    <w:rsid w:val="002F1EBB"/>
    <w:rsid w:val="002F24E3"/>
    <w:rsid w:val="002F252E"/>
    <w:rsid w:val="002F29D2"/>
    <w:rsid w:val="002F2F00"/>
    <w:rsid w:val="002F2F24"/>
    <w:rsid w:val="002F2F69"/>
    <w:rsid w:val="002F2FC2"/>
    <w:rsid w:val="002F3242"/>
    <w:rsid w:val="002F330D"/>
    <w:rsid w:val="002F352F"/>
    <w:rsid w:val="002F3BFD"/>
    <w:rsid w:val="002F40A0"/>
    <w:rsid w:val="002F4191"/>
    <w:rsid w:val="002F4702"/>
    <w:rsid w:val="002F474B"/>
    <w:rsid w:val="002F4887"/>
    <w:rsid w:val="002F48A5"/>
    <w:rsid w:val="002F4943"/>
    <w:rsid w:val="002F4AC0"/>
    <w:rsid w:val="002F4E92"/>
    <w:rsid w:val="002F5060"/>
    <w:rsid w:val="002F5339"/>
    <w:rsid w:val="002F5467"/>
    <w:rsid w:val="002F54AC"/>
    <w:rsid w:val="002F5AFD"/>
    <w:rsid w:val="002F5CEF"/>
    <w:rsid w:val="002F5E1E"/>
    <w:rsid w:val="002F5FE7"/>
    <w:rsid w:val="002F64E1"/>
    <w:rsid w:val="002F6674"/>
    <w:rsid w:val="002F66A9"/>
    <w:rsid w:val="002F6A98"/>
    <w:rsid w:val="002F6C26"/>
    <w:rsid w:val="002F7002"/>
    <w:rsid w:val="002F7112"/>
    <w:rsid w:val="002F711D"/>
    <w:rsid w:val="002F73B2"/>
    <w:rsid w:val="002F773C"/>
    <w:rsid w:val="002F78B7"/>
    <w:rsid w:val="002F796A"/>
    <w:rsid w:val="002F7DB5"/>
    <w:rsid w:val="003001DF"/>
    <w:rsid w:val="00300633"/>
    <w:rsid w:val="00300693"/>
    <w:rsid w:val="003006FF"/>
    <w:rsid w:val="00300977"/>
    <w:rsid w:val="00300BF3"/>
    <w:rsid w:val="00300EDD"/>
    <w:rsid w:val="00301082"/>
    <w:rsid w:val="003012EE"/>
    <w:rsid w:val="003013DF"/>
    <w:rsid w:val="00301451"/>
    <w:rsid w:val="00301477"/>
    <w:rsid w:val="00301488"/>
    <w:rsid w:val="0030149F"/>
    <w:rsid w:val="00301671"/>
    <w:rsid w:val="00301A9B"/>
    <w:rsid w:val="0030218E"/>
    <w:rsid w:val="00302367"/>
    <w:rsid w:val="003023DA"/>
    <w:rsid w:val="00302506"/>
    <w:rsid w:val="00302BEB"/>
    <w:rsid w:val="00302D45"/>
    <w:rsid w:val="00302F74"/>
    <w:rsid w:val="003030B3"/>
    <w:rsid w:val="003033BE"/>
    <w:rsid w:val="00303717"/>
    <w:rsid w:val="003038CF"/>
    <w:rsid w:val="00303D60"/>
    <w:rsid w:val="00304478"/>
    <w:rsid w:val="00304787"/>
    <w:rsid w:val="00304AF2"/>
    <w:rsid w:val="00304AF6"/>
    <w:rsid w:val="00304C01"/>
    <w:rsid w:val="00304C26"/>
    <w:rsid w:val="00304DA0"/>
    <w:rsid w:val="00304E6E"/>
    <w:rsid w:val="00305770"/>
    <w:rsid w:val="00305BEB"/>
    <w:rsid w:val="00305DE3"/>
    <w:rsid w:val="00305EC9"/>
    <w:rsid w:val="003061D0"/>
    <w:rsid w:val="00306325"/>
    <w:rsid w:val="00306327"/>
    <w:rsid w:val="0030667C"/>
    <w:rsid w:val="00306B01"/>
    <w:rsid w:val="00306E6B"/>
    <w:rsid w:val="0030744F"/>
    <w:rsid w:val="00307825"/>
    <w:rsid w:val="0030789C"/>
    <w:rsid w:val="003079CE"/>
    <w:rsid w:val="00307A3A"/>
    <w:rsid w:val="00307D6D"/>
    <w:rsid w:val="0031014E"/>
    <w:rsid w:val="00310412"/>
    <w:rsid w:val="00310502"/>
    <w:rsid w:val="00310773"/>
    <w:rsid w:val="003107C1"/>
    <w:rsid w:val="00310B06"/>
    <w:rsid w:val="00310C80"/>
    <w:rsid w:val="00310CAA"/>
    <w:rsid w:val="00311050"/>
    <w:rsid w:val="0031138A"/>
    <w:rsid w:val="00311593"/>
    <w:rsid w:val="003115DF"/>
    <w:rsid w:val="003119DB"/>
    <w:rsid w:val="00311BC3"/>
    <w:rsid w:val="00311C33"/>
    <w:rsid w:val="00311CAF"/>
    <w:rsid w:val="00311DA4"/>
    <w:rsid w:val="00311DA6"/>
    <w:rsid w:val="00312144"/>
    <w:rsid w:val="003122DF"/>
    <w:rsid w:val="00312370"/>
    <w:rsid w:val="0031250C"/>
    <w:rsid w:val="003125EE"/>
    <w:rsid w:val="0031260B"/>
    <w:rsid w:val="00312899"/>
    <w:rsid w:val="003129BB"/>
    <w:rsid w:val="00312D97"/>
    <w:rsid w:val="00312DDB"/>
    <w:rsid w:val="0031307B"/>
    <w:rsid w:val="00313145"/>
    <w:rsid w:val="00313731"/>
    <w:rsid w:val="00313CD3"/>
    <w:rsid w:val="00313DD9"/>
    <w:rsid w:val="00314402"/>
    <w:rsid w:val="0031447A"/>
    <w:rsid w:val="003144DB"/>
    <w:rsid w:val="00314BD6"/>
    <w:rsid w:val="00314D52"/>
    <w:rsid w:val="003152B9"/>
    <w:rsid w:val="003152DC"/>
    <w:rsid w:val="00315490"/>
    <w:rsid w:val="003154E5"/>
    <w:rsid w:val="00315571"/>
    <w:rsid w:val="00315774"/>
    <w:rsid w:val="0031581C"/>
    <w:rsid w:val="00315F3D"/>
    <w:rsid w:val="00315F94"/>
    <w:rsid w:val="00316088"/>
    <w:rsid w:val="00316269"/>
    <w:rsid w:val="0031626F"/>
    <w:rsid w:val="00316555"/>
    <w:rsid w:val="0031659C"/>
    <w:rsid w:val="00316623"/>
    <w:rsid w:val="00316893"/>
    <w:rsid w:val="00316A19"/>
    <w:rsid w:val="0031721E"/>
    <w:rsid w:val="003172A8"/>
    <w:rsid w:val="0031730F"/>
    <w:rsid w:val="0031751F"/>
    <w:rsid w:val="0031767C"/>
    <w:rsid w:val="003178CA"/>
    <w:rsid w:val="00317BA0"/>
    <w:rsid w:val="00317C40"/>
    <w:rsid w:val="00317EDD"/>
    <w:rsid w:val="00317FC4"/>
    <w:rsid w:val="003200B9"/>
    <w:rsid w:val="003203CC"/>
    <w:rsid w:val="00320437"/>
    <w:rsid w:val="00320CF0"/>
    <w:rsid w:val="00320FEA"/>
    <w:rsid w:val="0032176B"/>
    <w:rsid w:val="00321BE6"/>
    <w:rsid w:val="00321D2F"/>
    <w:rsid w:val="00321F8F"/>
    <w:rsid w:val="0032203E"/>
    <w:rsid w:val="00322072"/>
    <w:rsid w:val="003222D0"/>
    <w:rsid w:val="00322334"/>
    <w:rsid w:val="003224B3"/>
    <w:rsid w:val="00322B47"/>
    <w:rsid w:val="00322D68"/>
    <w:rsid w:val="00322DE3"/>
    <w:rsid w:val="00322EDB"/>
    <w:rsid w:val="00323303"/>
    <w:rsid w:val="00323A6B"/>
    <w:rsid w:val="00323AAA"/>
    <w:rsid w:val="00323AD0"/>
    <w:rsid w:val="00323E37"/>
    <w:rsid w:val="00323E67"/>
    <w:rsid w:val="00323EE5"/>
    <w:rsid w:val="00323F1E"/>
    <w:rsid w:val="0032453A"/>
    <w:rsid w:val="00324694"/>
    <w:rsid w:val="00324794"/>
    <w:rsid w:val="003247DB"/>
    <w:rsid w:val="00324964"/>
    <w:rsid w:val="00324AAB"/>
    <w:rsid w:val="00324D8B"/>
    <w:rsid w:val="00324F44"/>
    <w:rsid w:val="003254D9"/>
    <w:rsid w:val="00325753"/>
    <w:rsid w:val="00325899"/>
    <w:rsid w:val="003258DE"/>
    <w:rsid w:val="00325B10"/>
    <w:rsid w:val="00325BE1"/>
    <w:rsid w:val="00325FDF"/>
    <w:rsid w:val="00326592"/>
    <w:rsid w:val="003265AA"/>
    <w:rsid w:val="00326C33"/>
    <w:rsid w:val="00326C9C"/>
    <w:rsid w:val="00326E50"/>
    <w:rsid w:val="00326F4A"/>
    <w:rsid w:val="003271C2"/>
    <w:rsid w:val="0032748A"/>
    <w:rsid w:val="0032756A"/>
    <w:rsid w:val="0032758D"/>
    <w:rsid w:val="003275EA"/>
    <w:rsid w:val="003276AB"/>
    <w:rsid w:val="00327725"/>
    <w:rsid w:val="00327A53"/>
    <w:rsid w:val="00327AD1"/>
    <w:rsid w:val="003301AD"/>
    <w:rsid w:val="003305E6"/>
    <w:rsid w:val="0033087D"/>
    <w:rsid w:val="003309EB"/>
    <w:rsid w:val="00330C67"/>
    <w:rsid w:val="00330E79"/>
    <w:rsid w:val="00331020"/>
    <w:rsid w:val="00331293"/>
    <w:rsid w:val="00331803"/>
    <w:rsid w:val="00331859"/>
    <w:rsid w:val="00331B1A"/>
    <w:rsid w:val="00331EB8"/>
    <w:rsid w:val="0033262B"/>
    <w:rsid w:val="003326FC"/>
    <w:rsid w:val="0033278E"/>
    <w:rsid w:val="00332A85"/>
    <w:rsid w:val="00332B89"/>
    <w:rsid w:val="00332D60"/>
    <w:rsid w:val="00332DA9"/>
    <w:rsid w:val="00333400"/>
    <w:rsid w:val="00333510"/>
    <w:rsid w:val="00333597"/>
    <w:rsid w:val="0033371B"/>
    <w:rsid w:val="00333AFB"/>
    <w:rsid w:val="003340B7"/>
    <w:rsid w:val="003349CE"/>
    <w:rsid w:val="00334C11"/>
    <w:rsid w:val="00334D9D"/>
    <w:rsid w:val="00334FE1"/>
    <w:rsid w:val="0033515C"/>
    <w:rsid w:val="003351FC"/>
    <w:rsid w:val="003354B5"/>
    <w:rsid w:val="00335623"/>
    <w:rsid w:val="003358CC"/>
    <w:rsid w:val="00335B67"/>
    <w:rsid w:val="00335E48"/>
    <w:rsid w:val="003360E1"/>
    <w:rsid w:val="0033614C"/>
    <w:rsid w:val="00336519"/>
    <w:rsid w:val="00336565"/>
    <w:rsid w:val="00336641"/>
    <w:rsid w:val="003367E2"/>
    <w:rsid w:val="00336BA8"/>
    <w:rsid w:val="00336C06"/>
    <w:rsid w:val="00336EBA"/>
    <w:rsid w:val="00336F2D"/>
    <w:rsid w:val="003377E5"/>
    <w:rsid w:val="0033783C"/>
    <w:rsid w:val="0033796A"/>
    <w:rsid w:val="00337D18"/>
    <w:rsid w:val="00340054"/>
    <w:rsid w:val="003402CC"/>
    <w:rsid w:val="00340569"/>
    <w:rsid w:val="0034075B"/>
    <w:rsid w:val="00340812"/>
    <w:rsid w:val="00340897"/>
    <w:rsid w:val="003414A7"/>
    <w:rsid w:val="00341674"/>
    <w:rsid w:val="0034179E"/>
    <w:rsid w:val="003419DC"/>
    <w:rsid w:val="00341BB0"/>
    <w:rsid w:val="00341D84"/>
    <w:rsid w:val="00342227"/>
    <w:rsid w:val="003423E1"/>
    <w:rsid w:val="00342544"/>
    <w:rsid w:val="003425FE"/>
    <w:rsid w:val="0034261E"/>
    <w:rsid w:val="0034290C"/>
    <w:rsid w:val="00342914"/>
    <w:rsid w:val="00342A9F"/>
    <w:rsid w:val="00342ABC"/>
    <w:rsid w:val="00342B16"/>
    <w:rsid w:val="00342DBA"/>
    <w:rsid w:val="00343512"/>
    <w:rsid w:val="00343561"/>
    <w:rsid w:val="0034360C"/>
    <w:rsid w:val="00343724"/>
    <w:rsid w:val="00343AF6"/>
    <w:rsid w:val="00343B7B"/>
    <w:rsid w:val="00343E53"/>
    <w:rsid w:val="00343E98"/>
    <w:rsid w:val="00344163"/>
    <w:rsid w:val="00344569"/>
    <w:rsid w:val="003449FD"/>
    <w:rsid w:val="00344C2D"/>
    <w:rsid w:val="003450A4"/>
    <w:rsid w:val="00345149"/>
    <w:rsid w:val="003451FD"/>
    <w:rsid w:val="00345402"/>
    <w:rsid w:val="003455D5"/>
    <w:rsid w:val="0034566C"/>
    <w:rsid w:val="0034573A"/>
    <w:rsid w:val="003457B0"/>
    <w:rsid w:val="00345834"/>
    <w:rsid w:val="003459C0"/>
    <w:rsid w:val="00345BE1"/>
    <w:rsid w:val="00345CF0"/>
    <w:rsid w:val="003462C8"/>
    <w:rsid w:val="00346338"/>
    <w:rsid w:val="003464F3"/>
    <w:rsid w:val="0034656E"/>
    <w:rsid w:val="00346813"/>
    <w:rsid w:val="00346D9C"/>
    <w:rsid w:val="003470C5"/>
    <w:rsid w:val="00347245"/>
    <w:rsid w:val="00347303"/>
    <w:rsid w:val="003474D0"/>
    <w:rsid w:val="0034770F"/>
    <w:rsid w:val="0034780F"/>
    <w:rsid w:val="00347828"/>
    <w:rsid w:val="00347839"/>
    <w:rsid w:val="00347913"/>
    <w:rsid w:val="00347A65"/>
    <w:rsid w:val="00347BA5"/>
    <w:rsid w:val="00347F7E"/>
    <w:rsid w:val="0035007D"/>
    <w:rsid w:val="003500BD"/>
    <w:rsid w:val="003501EB"/>
    <w:rsid w:val="00350B3B"/>
    <w:rsid w:val="00350B44"/>
    <w:rsid w:val="00350B5B"/>
    <w:rsid w:val="00350BE1"/>
    <w:rsid w:val="00351855"/>
    <w:rsid w:val="00351E33"/>
    <w:rsid w:val="00351FC6"/>
    <w:rsid w:val="0035234B"/>
    <w:rsid w:val="003523AB"/>
    <w:rsid w:val="00352563"/>
    <w:rsid w:val="00352B6F"/>
    <w:rsid w:val="00352C7C"/>
    <w:rsid w:val="00352DB4"/>
    <w:rsid w:val="003532E7"/>
    <w:rsid w:val="0035349C"/>
    <w:rsid w:val="00353A16"/>
    <w:rsid w:val="00353A8E"/>
    <w:rsid w:val="00353DC8"/>
    <w:rsid w:val="00353E24"/>
    <w:rsid w:val="00353EEB"/>
    <w:rsid w:val="00354032"/>
    <w:rsid w:val="003546FB"/>
    <w:rsid w:val="00354757"/>
    <w:rsid w:val="003547BE"/>
    <w:rsid w:val="00354912"/>
    <w:rsid w:val="00354936"/>
    <w:rsid w:val="00354BF9"/>
    <w:rsid w:val="00354E14"/>
    <w:rsid w:val="00354EFF"/>
    <w:rsid w:val="00354FB3"/>
    <w:rsid w:val="0035512A"/>
    <w:rsid w:val="00355135"/>
    <w:rsid w:val="00355349"/>
    <w:rsid w:val="0035553C"/>
    <w:rsid w:val="003559BE"/>
    <w:rsid w:val="00355E62"/>
    <w:rsid w:val="0035603B"/>
    <w:rsid w:val="003564A8"/>
    <w:rsid w:val="003564B0"/>
    <w:rsid w:val="003566CC"/>
    <w:rsid w:val="003566E3"/>
    <w:rsid w:val="0035697B"/>
    <w:rsid w:val="00356BA0"/>
    <w:rsid w:val="00356BAD"/>
    <w:rsid w:val="00356D1E"/>
    <w:rsid w:val="00357564"/>
    <w:rsid w:val="003579C7"/>
    <w:rsid w:val="00357E74"/>
    <w:rsid w:val="00357FCD"/>
    <w:rsid w:val="0036024A"/>
    <w:rsid w:val="0036082F"/>
    <w:rsid w:val="00360A9F"/>
    <w:rsid w:val="00360B39"/>
    <w:rsid w:val="00360E8C"/>
    <w:rsid w:val="00360EE7"/>
    <w:rsid w:val="0036122D"/>
    <w:rsid w:val="003612E3"/>
    <w:rsid w:val="00361373"/>
    <w:rsid w:val="00361398"/>
    <w:rsid w:val="003615A5"/>
    <w:rsid w:val="00361B93"/>
    <w:rsid w:val="00361C68"/>
    <w:rsid w:val="0036253F"/>
    <w:rsid w:val="003629E5"/>
    <w:rsid w:val="00362AB7"/>
    <w:rsid w:val="00362C26"/>
    <w:rsid w:val="00363048"/>
    <w:rsid w:val="003632FD"/>
    <w:rsid w:val="0036337C"/>
    <w:rsid w:val="00363403"/>
    <w:rsid w:val="0036351C"/>
    <w:rsid w:val="00363D00"/>
    <w:rsid w:val="00363D82"/>
    <w:rsid w:val="00363F97"/>
    <w:rsid w:val="0036401C"/>
    <w:rsid w:val="00364467"/>
    <w:rsid w:val="003646D0"/>
    <w:rsid w:val="003646E4"/>
    <w:rsid w:val="00364722"/>
    <w:rsid w:val="00364C28"/>
    <w:rsid w:val="00364E6B"/>
    <w:rsid w:val="00364E92"/>
    <w:rsid w:val="00364F5A"/>
    <w:rsid w:val="003656AC"/>
    <w:rsid w:val="003657A9"/>
    <w:rsid w:val="003659ED"/>
    <w:rsid w:val="00365EC4"/>
    <w:rsid w:val="00366321"/>
    <w:rsid w:val="00366364"/>
    <w:rsid w:val="00366617"/>
    <w:rsid w:val="003667AD"/>
    <w:rsid w:val="00366F5A"/>
    <w:rsid w:val="003671F4"/>
    <w:rsid w:val="0036723A"/>
    <w:rsid w:val="0036726B"/>
    <w:rsid w:val="003672DE"/>
    <w:rsid w:val="003679A3"/>
    <w:rsid w:val="00367D15"/>
    <w:rsid w:val="00367ED4"/>
    <w:rsid w:val="00367FEB"/>
    <w:rsid w:val="00370319"/>
    <w:rsid w:val="003704DB"/>
    <w:rsid w:val="00370C86"/>
    <w:rsid w:val="00370CE6"/>
    <w:rsid w:val="003712A2"/>
    <w:rsid w:val="003713CA"/>
    <w:rsid w:val="0037146D"/>
    <w:rsid w:val="003714D9"/>
    <w:rsid w:val="00371714"/>
    <w:rsid w:val="003717BF"/>
    <w:rsid w:val="0037189F"/>
    <w:rsid w:val="00371A48"/>
    <w:rsid w:val="00371B95"/>
    <w:rsid w:val="00371C61"/>
    <w:rsid w:val="00371EBE"/>
    <w:rsid w:val="00371F51"/>
    <w:rsid w:val="003725AB"/>
    <w:rsid w:val="0037270E"/>
    <w:rsid w:val="00372782"/>
    <w:rsid w:val="003729B3"/>
    <w:rsid w:val="00372FDC"/>
    <w:rsid w:val="00373081"/>
    <w:rsid w:val="00373154"/>
    <w:rsid w:val="003739F7"/>
    <w:rsid w:val="00373B34"/>
    <w:rsid w:val="00373B4D"/>
    <w:rsid w:val="00373C24"/>
    <w:rsid w:val="00373E3D"/>
    <w:rsid w:val="00373E43"/>
    <w:rsid w:val="00373EB3"/>
    <w:rsid w:val="00373F16"/>
    <w:rsid w:val="00374475"/>
    <w:rsid w:val="003745FC"/>
    <w:rsid w:val="003746B8"/>
    <w:rsid w:val="00374701"/>
    <w:rsid w:val="00374779"/>
    <w:rsid w:val="00374A90"/>
    <w:rsid w:val="00374AC7"/>
    <w:rsid w:val="00374B30"/>
    <w:rsid w:val="00374C39"/>
    <w:rsid w:val="00374DA2"/>
    <w:rsid w:val="00374EA9"/>
    <w:rsid w:val="00374F42"/>
    <w:rsid w:val="00375247"/>
    <w:rsid w:val="00375273"/>
    <w:rsid w:val="0037528D"/>
    <w:rsid w:val="00375717"/>
    <w:rsid w:val="00375750"/>
    <w:rsid w:val="0037586A"/>
    <w:rsid w:val="003758F4"/>
    <w:rsid w:val="00375BD3"/>
    <w:rsid w:val="00375F6D"/>
    <w:rsid w:val="00376186"/>
    <w:rsid w:val="003767BD"/>
    <w:rsid w:val="0037682E"/>
    <w:rsid w:val="00376B7E"/>
    <w:rsid w:val="00376DB0"/>
    <w:rsid w:val="00376DDD"/>
    <w:rsid w:val="003770E2"/>
    <w:rsid w:val="00377169"/>
    <w:rsid w:val="00377378"/>
    <w:rsid w:val="00377E15"/>
    <w:rsid w:val="00377F9B"/>
    <w:rsid w:val="0038014F"/>
    <w:rsid w:val="0038053C"/>
    <w:rsid w:val="00380655"/>
    <w:rsid w:val="003809BC"/>
    <w:rsid w:val="00380B59"/>
    <w:rsid w:val="00380D6F"/>
    <w:rsid w:val="00380E4F"/>
    <w:rsid w:val="003814FF"/>
    <w:rsid w:val="00381657"/>
    <w:rsid w:val="0038169B"/>
    <w:rsid w:val="00381A4E"/>
    <w:rsid w:val="00381CEF"/>
    <w:rsid w:val="00381F20"/>
    <w:rsid w:val="00382034"/>
    <w:rsid w:val="0038216D"/>
    <w:rsid w:val="00382473"/>
    <w:rsid w:val="003829DA"/>
    <w:rsid w:val="00382AE6"/>
    <w:rsid w:val="00382B03"/>
    <w:rsid w:val="003830F5"/>
    <w:rsid w:val="003836CB"/>
    <w:rsid w:val="00383AD2"/>
    <w:rsid w:val="00383FC6"/>
    <w:rsid w:val="00384523"/>
    <w:rsid w:val="00384A3C"/>
    <w:rsid w:val="00384C76"/>
    <w:rsid w:val="00384E56"/>
    <w:rsid w:val="00384E81"/>
    <w:rsid w:val="00384F00"/>
    <w:rsid w:val="0038539C"/>
    <w:rsid w:val="0038562B"/>
    <w:rsid w:val="00385D20"/>
    <w:rsid w:val="00386046"/>
    <w:rsid w:val="00386391"/>
    <w:rsid w:val="00386624"/>
    <w:rsid w:val="0038686E"/>
    <w:rsid w:val="003869D6"/>
    <w:rsid w:val="00386A1D"/>
    <w:rsid w:val="00387075"/>
    <w:rsid w:val="003870CA"/>
    <w:rsid w:val="00387184"/>
    <w:rsid w:val="0038780A"/>
    <w:rsid w:val="00387821"/>
    <w:rsid w:val="00390272"/>
    <w:rsid w:val="003903D8"/>
    <w:rsid w:val="00390415"/>
    <w:rsid w:val="003905C9"/>
    <w:rsid w:val="00390B60"/>
    <w:rsid w:val="00390EB4"/>
    <w:rsid w:val="0039105A"/>
    <w:rsid w:val="003911E4"/>
    <w:rsid w:val="0039125F"/>
    <w:rsid w:val="0039133E"/>
    <w:rsid w:val="0039155B"/>
    <w:rsid w:val="00391965"/>
    <w:rsid w:val="00391A5C"/>
    <w:rsid w:val="00391A76"/>
    <w:rsid w:val="00391AF3"/>
    <w:rsid w:val="00391AFA"/>
    <w:rsid w:val="00391CD1"/>
    <w:rsid w:val="00391D1E"/>
    <w:rsid w:val="00391EDA"/>
    <w:rsid w:val="003921D8"/>
    <w:rsid w:val="0039265A"/>
    <w:rsid w:val="00392A26"/>
    <w:rsid w:val="00392A47"/>
    <w:rsid w:val="00392E44"/>
    <w:rsid w:val="003935E1"/>
    <w:rsid w:val="00393D74"/>
    <w:rsid w:val="00393E90"/>
    <w:rsid w:val="003940E4"/>
    <w:rsid w:val="003941D7"/>
    <w:rsid w:val="003943AC"/>
    <w:rsid w:val="0039461A"/>
    <w:rsid w:val="00394873"/>
    <w:rsid w:val="0039496A"/>
    <w:rsid w:val="003949FF"/>
    <w:rsid w:val="00394B8D"/>
    <w:rsid w:val="00394C5C"/>
    <w:rsid w:val="00395281"/>
    <w:rsid w:val="00395341"/>
    <w:rsid w:val="003957B5"/>
    <w:rsid w:val="00395932"/>
    <w:rsid w:val="00395CC7"/>
    <w:rsid w:val="00395D68"/>
    <w:rsid w:val="003962A8"/>
    <w:rsid w:val="0039639D"/>
    <w:rsid w:val="003963F7"/>
    <w:rsid w:val="003964AC"/>
    <w:rsid w:val="003966A9"/>
    <w:rsid w:val="003967AA"/>
    <w:rsid w:val="003968B9"/>
    <w:rsid w:val="003968FC"/>
    <w:rsid w:val="00396C9D"/>
    <w:rsid w:val="00396DAB"/>
    <w:rsid w:val="00396E39"/>
    <w:rsid w:val="003970BC"/>
    <w:rsid w:val="003973CC"/>
    <w:rsid w:val="00397DA9"/>
    <w:rsid w:val="00397E3E"/>
    <w:rsid w:val="003A01E6"/>
    <w:rsid w:val="003A01F3"/>
    <w:rsid w:val="003A0279"/>
    <w:rsid w:val="003A02E9"/>
    <w:rsid w:val="003A06F8"/>
    <w:rsid w:val="003A089C"/>
    <w:rsid w:val="003A09BD"/>
    <w:rsid w:val="003A0AEA"/>
    <w:rsid w:val="003A0C53"/>
    <w:rsid w:val="003A0FDC"/>
    <w:rsid w:val="003A1252"/>
    <w:rsid w:val="003A153D"/>
    <w:rsid w:val="003A1958"/>
    <w:rsid w:val="003A1AB6"/>
    <w:rsid w:val="003A1D07"/>
    <w:rsid w:val="003A1F5D"/>
    <w:rsid w:val="003A21B4"/>
    <w:rsid w:val="003A22C8"/>
    <w:rsid w:val="003A232F"/>
    <w:rsid w:val="003A23E3"/>
    <w:rsid w:val="003A2441"/>
    <w:rsid w:val="003A2468"/>
    <w:rsid w:val="003A2689"/>
    <w:rsid w:val="003A2EC8"/>
    <w:rsid w:val="003A3174"/>
    <w:rsid w:val="003A3300"/>
    <w:rsid w:val="003A33D3"/>
    <w:rsid w:val="003A33FF"/>
    <w:rsid w:val="003A34B5"/>
    <w:rsid w:val="003A37A7"/>
    <w:rsid w:val="003A37EA"/>
    <w:rsid w:val="003A3856"/>
    <w:rsid w:val="003A38C9"/>
    <w:rsid w:val="003A3A96"/>
    <w:rsid w:val="003A3C9A"/>
    <w:rsid w:val="003A3E4D"/>
    <w:rsid w:val="003A40A7"/>
    <w:rsid w:val="003A45C7"/>
    <w:rsid w:val="003A4690"/>
    <w:rsid w:val="003A469E"/>
    <w:rsid w:val="003A485E"/>
    <w:rsid w:val="003A4920"/>
    <w:rsid w:val="003A4A1A"/>
    <w:rsid w:val="003A4B8D"/>
    <w:rsid w:val="003A4B93"/>
    <w:rsid w:val="003A4DDD"/>
    <w:rsid w:val="003A4EA9"/>
    <w:rsid w:val="003A5072"/>
    <w:rsid w:val="003A51CA"/>
    <w:rsid w:val="003A5464"/>
    <w:rsid w:val="003A5A92"/>
    <w:rsid w:val="003A5D4F"/>
    <w:rsid w:val="003A6297"/>
    <w:rsid w:val="003A62E6"/>
    <w:rsid w:val="003A6549"/>
    <w:rsid w:val="003A662B"/>
    <w:rsid w:val="003A676B"/>
    <w:rsid w:val="003A684F"/>
    <w:rsid w:val="003A695D"/>
    <w:rsid w:val="003A69CD"/>
    <w:rsid w:val="003A6D28"/>
    <w:rsid w:val="003A6DA1"/>
    <w:rsid w:val="003A70E0"/>
    <w:rsid w:val="003A73FF"/>
    <w:rsid w:val="003A7659"/>
    <w:rsid w:val="003A780F"/>
    <w:rsid w:val="003A792D"/>
    <w:rsid w:val="003A7A20"/>
    <w:rsid w:val="003A7E98"/>
    <w:rsid w:val="003B0032"/>
    <w:rsid w:val="003B06E3"/>
    <w:rsid w:val="003B08B1"/>
    <w:rsid w:val="003B08C0"/>
    <w:rsid w:val="003B09F1"/>
    <w:rsid w:val="003B0C5F"/>
    <w:rsid w:val="003B0C76"/>
    <w:rsid w:val="003B0D29"/>
    <w:rsid w:val="003B0EA2"/>
    <w:rsid w:val="003B19EF"/>
    <w:rsid w:val="003B1A32"/>
    <w:rsid w:val="003B1CD6"/>
    <w:rsid w:val="003B1E20"/>
    <w:rsid w:val="003B207D"/>
    <w:rsid w:val="003B21DF"/>
    <w:rsid w:val="003B2B69"/>
    <w:rsid w:val="003B2C12"/>
    <w:rsid w:val="003B2E5D"/>
    <w:rsid w:val="003B2F37"/>
    <w:rsid w:val="003B2F6F"/>
    <w:rsid w:val="003B3068"/>
    <w:rsid w:val="003B314E"/>
    <w:rsid w:val="003B31BB"/>
    <w:rsid w:val="003B31CC"/>
    <w:rsid w:val="003B334F"/>
    <w:rsid w:val="003B3823"/>
    <w:rsid w:val="003B3BA7"/>
    <w:rsid w:val="003B404E"/>
    <w:rsid w:val="003B40A0"/>
    <w:rsid w:val="003B41D3"/>
    <w:rsid w:val="003B43A9"/>
    <w:rsid w:val="003B451D"/>
    <w:rsid w:val="003B47E3"/>
    <w:rsid w:val="003B49FD"/>
    <w:rsid w:val="003B4A8A"/>
    <w:rsid w:val="003B4C87"/>
    <w:rsid w:val="003B4D40"/>
    <w:rsid w:val="003B4DDE"/>
    <w:rsid w:val="003B5229"/>
    <w:rsid w:val="003B54DD"/>
    <w:rsid w:val="003B58CF"/>
    <w:rsid w:val="003B593F"/>
    <w:rsid w:val="003B59EF"/>
    <w:rsid w:val="003B5A9C"/>
    <w:rsid w:val="003B5B14"/>
    <w:rsid w:val="003B5BC0"/>
    <w:rsid w:val="003B5BC8"/>
    <w:rsid w:val="003B5C75"/>
    <w:rsid w:val="003B5D7D"/>
    <w:rsid w:val="003B5EF0"/>
    <w:rsid w:val="003B5F86"/>
    <w:rsid w:val="003B66EB"/>
    <w:rsid w:val="003B6914"/>
    <w:rsid w:val="003B6C1A"/>
    <w:rsid w:val="003B6EB3"/>
    <w:rsid w:val="003B6FB2"/>
    <w:rsid w:val="003B71D9"/>
    <w:rsid w:val="003B773B"/>
    <w:rsid w:val="003B7999"/>
    <w:rsid w:val="003B7ACB"/>
    <w:rsid w:val="003B7D5B"/>
    <w:rsid w:val="003B7F1B"/>
    <w:rsid w:val="003C0364"/>
    <w:rsid w:val="003C0647"/>
    <w:rsid w:val="003C094B"/>
    <w:rsid w:val="003C0AD0"/>
    <w:rsid w:val="003C0D29"/>
    <w:rsid w:val="003C0DEE"/>
    <w:rsid w:val="003C1334"/>
    <w:rsid w:val="003C13F6"/>
    <w:rsid w:val="003C1593"/>
    <w:rsid w:val="003C15F7"/>
    <w:rsid w:val="003C18A2"/>
    <w:rsid w:val="003C18EA"/>
    <w:rsid w:val="003C18FD"/>
    <w:rsid w:val="003C1955"/>
    <w:rsid w:val="003C1A61"/>
    <w:rsid w:val="003C1CDB"/>
    <w:rsid w:val="003C1E7B"/>
    <w:rsid w:val="003C1FDE"/>
    <w:rsid w:val="003C21EC"/>
    <w:rsid w:val="003C2233"/>
    <w:rsid w:val="003C29D8"/>
    <w:rsid w:val="003C2D5B"/>
    <w:rsid w:val="003C2DC7"/>
    <w:rsid w:val="003C30CF"/>
    <w:rsid w:val="003C324C"/>
    <w:rsid w:val="003C328D"/>
    <w:rsid w:val="003C3290"/>
    <w:rsid w:val="003C33CF"/>
    <w:rsid w:val="003C38AD"/>
    <w:rsid w:val="003C3C48"/>
    <w:rsid w:val="003C3E04"/>
    <w:rsid w:val="003C4186"/>
    <w:rsid w:val="003C45B3"/>
    <w:rsid w:val="003C47A3"/>
    <w:rsid w:val="003C49A2"/>
    <w:rsid w:val="003C4BED"/>
    <w:rsid w:val="003C4DBF"/>
    <w:rsid w:val="003C4E01"/>
    <w:rsid w:val="003C4EEF"/>
    <w:rsid w:val="003C56CD"/>
    <w:rsid w:val="003C57FD"/>
    <w:rsid w:val="003C5845"/>
    <w:rsid w:val="003C5934"/>
    <w:rsid w:val="003C5C0E"/>
    <w:rsid w:val="003C608E"/>
    <w:rsid w:val="003C6611"/>
    <w:rsid w:val="003C6832"/>
    <w:rsid w:val="003C6B66"/>
    <w:rsid w:val="003C6BA8"/>
    <w:rsid w:val="003C6CC0"/>
    <w:rsid w:val="003C6F9E"/>
    <w:rsid w:val="003C74C9"/>
    <w:rsid w:val="003C7779"/>
    <w:rsid w:val="003C77C0"/>
    <w:rsid w:val="003C7A70"/>
    <w:rsid w:val="003C7AFD"/>
    <w:rsid w:val="003D0964"/>
    <w:rsid w:val="003D0EBE"/>
    <w:rsid w:val="003D10FF"/>
    <w:rsid w:val="003D117B"/>
    <w:rsid w:val="003D12A9"/>
    <w:rsid w:val="003D1314"/>
    <w:rsid w:val="003D14B2"/>
    <w:rsid w:val="003D18EC"/>
    <w:rsid w:val="003D199C"/>
    <w:rsid w:val="003D1C49"/>
    <w:rsid w:val="003D1C99"/>
    <w:rsid w:val="003D1D12"/>
    <w:rsid w:val="003D2497"/>
    <w:rsid w:val="003D281C"/>
    <w:rsid w:val="003D2C7A"/>
    <w:rsid w:val="003D3442"/>
    <w:rsid w:val="003D3587"/>
    <w:rsid w:val="003D3829"/>
    <w:rsid w:val="003D39B8"/>
    <w:rsid w:val="003D3D35"/>
    <w:rsid w:val="003D3D38"/>
    <w:rsid w:val="003D3F79"/>
    <w:rsid w:val="003D406E"/>
    <w:rsid w:val="003D407F"/>
    <w:rsid w:val="003D484A"/>
    <w:rsid w:val="003D48EC"/>
    <w:rsid w:val="003D4A4C"/>
    <w:rsid w:val="003D4BA8"/>
    <w:rsid w:val="003D4EF2"/>
    <w:rsid w:val="003D50AB"/>
    <w:rsid w:val="003D526B"/>
    <w:rsid w:val="003D547B"/>
    <w:rsid w:val="003D575B"/>
    <w:rsid w:val="003D5820"/>
    <w:rsid w:val="003D5BC2"/>
    <w:rsid w:val="003D5D25"/>
    <w:rsid w:val="003D5DB9"/>
    <w:rsid w:val="003D5DF2"/>
    <w:rsid w:val="003D5F1B"/>
    <w:rsid w:val="003D5F6F"/>
    <w:rsid w:val="003D600D"/>
    <w:rsid w:val="003D6255"/>
    <w:rsid w:val="003D638A"/>
    <w:rsid w:val="003D6629"/>
    <w:rsid w:val="003D6709"/>
    <w:rsid w:val="003D6B1D"/>
    <w:rsid w:val="003D6B4A"/>
    <w:rsid w:val="003D709A"/>
    <w:rsid w:val="003D71B7"/>
    <w:rsid w:val="003D724B"/>
    <w:rsid w:val="003D7259"/>
    <w:rsid w:val="003D72AA"/>
    <w:rsid w:val="003D72EE"/>
    <w:rsid w:val="003D7531"/>
    <w:rsid w:val="003D7536"/>
    <w:rsid w:val="003D77FE"/>
    <w:rsid w:val="003D7AE7"/>
    <w:rsid w:val="003D7E6B"/>
    <w:rsid w:val="003E0004"/>
    <w:rsid w:val="003E000B"/>
    <w:rsid w:val="003E02A7"/>
    <w:rsid w:val="003E030F"/>
    <w:rsid w:val="003E0C3A"/>
    <w:rsid w:val="003E1433"/>
    <w:rsid w:val="003E1640"/>
    <w:rsid w:val="003E1B1B"/>
    <w:rsid w:val="003E1BD3"/>
    <w:rsid w:val="003E1DA3"/>
    <w:rsid w:val="003E1DE9"/>
    <w:rsid w:val="003E1FEB"/>
    <w:rsid w:val="003E21AC"/>
    <w:rsid w:val="003E21F8"/>
    <w:rsid w:val="003E2299"/>
    <w:rsid w:val="003E242B"/>
    <w:rsid w:val="003E2675"/>
    <w:rsid w:val="003E2970"/>
    <w:rsid w:val="003E29B5"/>
    <w:rsid w:val="003E2AA1"/>
    <w:rsid w:val="003E2DCA"/>
    <w:rsid w:val="003E2E4E"/>
    <w:rsid w:val="003E30F1"/>
    <w:rsid w:val="003E3257"/>
    <w:rsid w:val="003E32B7"/>
    <w:rsid w:val="003E32E2"/>
    <w:rsid w:val="003E3999"/>
    <w:rsid w:val="003E3B41"/>
    <w:rsid w:val="003E3F7F"/>
    <w:rsid w:val="003E4009"/>
    <w:rsid w:val="003E4032"/>
    <w:rsid w:val="003E4228"/>
    <w:rsid w:val="003E4392"/>
    <w:rsid w:val="003E4511"/>
    <w:rsid w:val="003E4552"/>
    <w:rsid w:val="003E475D"/>
    <w:rsid w:val="003E482E"/>
    <w:rsid w:val="003E48EC"/>
    <w:rsid w:val="003E4A64"/>
    <w:rsid w:val="003E4D58"/>
    <w:rsid w:val="003E4D5C"/>
    <w:rsid w:val="003E5A86"/>
    <w:rsid w:val="003E5AB7"/>
    <w:rsid w:val="003E5ABF"/>
    <w:rsid w:val="003E5C94"/>
    <w:rsid w:val="003E5FD0"/>
    <w:rsid w:val="003E66B0"/>
    <w:rsid w:val="003E6807"/>
    <w:rsid w:val="003E6876"/>
    <w:rsid w:val="003E6913"/>
    <w:rsid w:val="003E695C"/>
    <w:rsid w:val="003E69AF"/>
    <w:rsid w:val="003E6BD8"/>
    <w:rsid w:val="003E710E"/>
    <w:rsid w:val="003E729D"/>
    <w:rsid w:val="003E76AB"/>
    <w:rsid w:val="003E7877"/>
    <w:rsid w:val="003E7F02"/>
    <w:rsid w:val="003F06CF"/>
    <w:rsid w:val="003F0A34"/>
    <w:rsid w:val="003F0B40"/>
    <w:rsid w:val="003F0B53"/>
    <w:rsid w:val="003F0C6D"/>
    <w:rsid w:val="003F0D1D"/>
    <w:rsid w:val="003F0D60"/>
    <w:rsid w:val="003F107A"/>
    <w:rsid w:val="003F1305"/>
    <w:rsid w:val="003F1494"/>
    <w:rsid w:val="003F1A08"/>
    <w:rsid w:val="003F1C2F"/>
    <w:rsid w:val="003F1ED0"/>
    <w:rsid w:val="003F1FF3"/>
    <w:rsid w:val="003F2186"/>
    <w:rsid w:val="003F236B"/>
    <w:rsid w:val="003F24F2"/>
    <w:rsid w:val="003F28D9"/>
    <w:rsid w:val="003F2A35"/>
    <w:rsid w:val="003F2A8D"/>
    <w:rsid w:val="003F2B92"/>
    <w:rsid w:val="003F2ECC"/>
    <w:rsid w:val="003F338C"/>
    <w:rsid w:val="003F3781"/>
    <w:rsid w:val="003F397C"/>
    <w:rsid w:val="003F3A08"/>
    <w:rsid w:val="003F3FF6"/>
    <w:rsid w:val="003F4028"/>
    <w:rsid w:val="003F414E"/>
    <w:rsid w:val="003F4275"/>
    <w:rsid w:val="003F42E9"/>
    <w:rsid w:val="003F43A3"/>
    <w:rsid w:val="003F49AE"/>
    <w:rsid w:val="003F4EF8"/>
    <w:rsid w:val="003F5022"/>
    <w:rsid w:val="003F5065"/>
    <w:rsid w:val="003F510E"/>
    <w:rsid w:val="003F5286"/>
    <w:rsid w:val="003F5761"/>
    <w:rsid w:val="003F578A"/>
    <w:rsid w:val="003F5AC8"/>
    <w:rsid w:val="003F5D11"/>
    <w:rsid w:val="003F5D17"/>
    <w:rsid w:val="003F5EAF"/>
    <w:rsid w:val="003F64F0"/>
    <w:rsid w:val="003F657F"/>
    <w:rsid w:val="003F6651"/>
    <w:rsid w:val="003F6657"/>
    <w:rsid w:val="003F669D"/>
    <w:rsid w:val="003F6839"/>
    <w:rsid w:val="003F6895"/>
    <w:rsid w:val="003F68AC"/>
    <w:rsid w:val="003F690A"/>
    <w:rsid w:val="003F6950"/>
    <w:rsid w:val="003F6C0D"/>
    <w:rsid w:val="003F6CB8"/>
    <w:rsid w:val="003F6F43"/>
    <w:rsid w:val="003F710F"/>
    <w:rsid w:val="003F71EA"/>
    <w:rsid w:val="003F7274"/>
    <w:rsid w:val="003F752F"/>
    <w:rsid w:val="003F7550"/>
    <w:rsid w:val="003F769F"/>
    <w:rsid w:val="003F777E"/>
    <w:rsid w:val="003F77A8"/>
    <w:rsid w:val="003F7C2B"/>
    <w:rsid w:val="003F7C45"/>
    <w:rsid w:val="003F7D1B"/>
    <w:rsid w:val="00400626"/>
    <w:rsid w:val="00400653"/>
    <w:rsid w:val="004009AE"/>
    <w:rsid w:val="00400C70"/>
    <w:rsid w:val="00400DDC"/>
    <w:rsid w:val="00400E54"/>
    <w:rsid w:val="00401154"/>
    <w:rsid w:val="004011C5"/>
    <w:rsid w:val="00401456"/>
    <w:rsid w:val="00401957"/>
    <w:rsid w:val="00401E32"/>
    <w:rsid w:val="004024EE"/>
    <w:rsid w:val="00402693"/>
    <w:rsid w:val="004029EB"/>
    <w:rsid w:val="00402D66"/>
    <w:rsid w:val="00402FDE"/>
    <w:rsid w:val="00403845"/>
    <w:rsid w:val="00403966"/>
    <w:rsid w:val="00403B00"/>
    <w:rsid w:val="00403CAB"/>
    <w:rsid w:val="004040F3"/>
    <w:rsid w:val="0040446A"/>
    <w:rsid w:val="00404854"/>
    <w:rsid w:val="00404A7B"/>
    <w:rsid w:val="00404BF9"/>
    <w:rsid w:val="00404D70"/>
    <w:rsid w:val="00404EF0"/>
    <w:rsid w:val="00404F16"/>
    <w:rsid w:val="00404FA5"/>
    <w:rsid w:val="00405144"/>
    <w:rsid w:val="0040518D"/>
    <w:rsid w:val="00405271"/>
    <w:rsid w:val="0040541B"/>
    <w:rsid w:val="00405449"/>
    <w:rsid w:val="00405A12"/>
    <w:rsid w:val="00405BB5"/>
    <w:rsid w:val="00405CDC"/>
    <w:rsid w:val="00405CFD"/>
    <w:rsid w:val="00405FB7"/>
    <w:rsid w:val="00406755"/>
    <w:rsid w:val="00406908"/>
    <w:rsid w:val="00406A43"/>
    <w:rsid w:val="00406CB9"/>
    <w:rsid w:val="00406E57"/>
    <w:rsid w:val="00407F07"/>
    <w:rsid w:val="0041001D"/>
    <w:rsid w:val="0041036B"/>
    <w:rsid w:val="0041076C"/>
    <w:rsid w:val="004107FC"/>
    <w:rsid w:val="00410980"/>
    <w:rsid w:val="004110C3"/>
    <w:rsid w:val="00411458"/>
    <w:rsid w:val="00411625"/>
    <w:rsid w:val="0041177F"/>
    <w:rsid w:val="004119A1"/>
    <w:rsid w:val="00411B6B"/>
    <w:rsid w:val="0041223A"/>
    <w:rsid w:val="00412538"/>
    <w:rsid w:val="004125FE"/>
    <w:rsid w:val="00412906"/>
    <w:rsid w:val="00412CB8"/>
    <w:rsid w:val="00412CCF"/>
    <w:rsid w:val="00412DD1"/>
    <w:rsid w:val="0041304E"/>
    <w:rsid w:val="004130E6"/>
    <w:rsid w:val="004132DF"/>
    <w:rsid w:val="0041335E"/>
    <w:rsid w:val="00413389"/>
    <w:rsid w:val="0041344C"/>
    <w:rsid w:val="004136E2"/>
    <w:rsid w:val="00413880"/>
    <w:rsid w:val="00413AE4"/>
    <w:rsid w:val="00413BBD"/>
    <w:rsid w:val="00413BE6"/>
    <w:rsid w:val="00413D59"/>
    <w:rsid w:val="00413FB8"/>
    <w:rsid w:val="00414864"/>
    <w:rsid w:val="00414935"/>
    <w:rsid w:val="00414C9C"/>
    <w:rsid w:val="00414F4A"/>
    <w:rsid w:val="00414FAD"/>
    <w:rsid w:val="0041514F"/>
    <w:rsid w:val="0041540E"/>
    <w:rsid w:val="0041557A"/>
    <w:rsid w:val="00415A73"/>
    <w:rsid w:val="00415D14"/>
    <w:rsid w:val="00415FD7"/>
    <w:rsid w:val="00415FE1"/>
    <w:rsid w:val="00416074"/>
    <w:rsid w:val="00416114"/>
    <w:rsid w:val="00416578"/>
    <w:rsid w:val="004165AB"/>
    <w:rsid w:val="00416D91"/>
    <w:rsid w:val="00417169"/>
    <w:rsid w:val="00417267"/>
    <w:rsid w:val="004176BF"/>
    <w:rsid w:val="0041775C"/>
    <w:rsid w:val="00417934"/>
    <w:rsid w:val="0041798D"/>
    <w:rsid w:val="00417A1A"/>
    <w:rsid w:val="00417B22"/>
    <w:rsid w:val="00417B42"/>
    <w:rsid w:val="00417C3C"/>
    <w:rsid w:val="00417EB6"/>
    <w:rsid w:val="00420E1D"/>
    <w:rsid w:val="00420F7E"/>
    <w:rsid w:val="004212C0"/>
    <w:rsid w:val="004212F5"/>
    <w:rsid w:val="0042132C"/>
    <w:rsid w:val="00421987"/>
    <w:rsid w:val="004219A2"/>
    <w:rsid w:val="00421A67"/>
    <w:rsid w:val="00421CBD"/>
    <w:rsid w:val="00421E2E"/>
    <w:rsid w:val="00422149"/>
    <w:rsid w:val="004221E0"/>
    <w:rsid w:val="004223C0"/>
    <w:rsid w:val="0042242E"/>
    <w:rsid w:val="004224D3"/>
    <w:rsid w:val="0042266C"/>
    <w:rsid w:val="00422D9B"/>
    <w:rsid w:val="004230B1"/>
    <w:rsid w:val="00423780"/>
    <w:rsid w:val="004239B4"/>
    <w:rsid w:val="00423BD4"/>
    <w:rsid w:val="00423E3E"/>
    <w:rsid w:val="00424343"/>
    <w:rsid w:val="0042461C"/>
    <w:rsid w:val="00424718"/>
    <w:rsid w:val="004248A3"/>
    <w:rsid w:val="00424981"/>
    <w:rsid w:val="00424991"/>
    <w:rsid w:val="00424E1A"/>
    <w:rsid w:val="00424F7E"/>
    <w:rsid w:val="0042568D"/>
    <w:rsid w:val="0042596F"/>
    <w:rsid w:val="00425B4D"/>
    <w:rsid w:val="00425D4A"/>
    <w:rsid w:val="00425E16"/>
    <w:rsid w:val="00426114"/>
    <w:rsid w:val="00426198"/>
    <w:rsid w:val="004262F8"/>
    <w:rsid w:val="004263C7"/>
    <w:rsid w:val="00426577"/>
    <w:rsid w:val="004265C5"/>
    <w:rsid w:val="00426637"/>
    <w:rsid w:val="0042707B"/>
    <w:rsid w:val="0042718C"/>
    <w:rsid w:val="00427253"/>
    <w:rsid w:val="0042731B"/>
    <w:rsid w:val="004274A6"/>
    <w:rsid w:val="004276F4"/>
    <w:rsid w:val="004278CD"/>
    <w:rsid w:val="00427A5D"/>
    <w:rsid w:val="00427BA1"/>
    <w:rsid w:val="0043003A"/>
    <w:rsid w:val="00430378"/>
    <w:rsid w:val="00430962"/>
    <w:rsid w:val="00430C1E"/>
    <w:rsid w:val="00430CA0"/>
    <w:rsid w:val="00430CC3"/>
    <w:rsid w:val="00430F7E"/>
    <w:rsid w:val="004316C6"/>
    <w:rsid w:val="00431757"/>
    <w:rsid w:val="004317BA"/>
    <w:rsid w:val="00431E0B"/>
    <w:rsid w:val="0043209F"/>
    <w:rsid w:val="0043217F"/>
    <w:rsid w:val="00432646"/>
    <w:rsid w:val="00432943"/>
    <w:rsid w:val="00432A22"/>
    <w:rsid w:val="00432C42"/>
    <w:rsid w:val="00432CEA"/>
    <w:rsid w:val="004330E6"/>
    <w:rsid w:val="004335F7"/>
    <w:rsid w:val="00433604"/>
    <w:rsid w:val="00433BE4"/>
    <w:rsid w:val="00433E4B"/>
    <w:rsid w:val="00433E5E"/>
    <w:rsid w:val="00433FBF"/>
    <w:rsid w:val="00434318"/>
    <w:rsid w:val="00434380"/>
    <w:rsid w:val="00434515"/>
    <w:rsid w:val="004345C8"/>
    <w:rsid w:val="00434937"/>
    <w:rsid w:val="004349CA"/>
    <w:rsid w:val="00434C90"/>
    <w:rsid w:val="00434FF2"/>
    <w:rsid w:val="00435171"/>
    <w:rsid w:val="00435380"/>
    <w:rsid w:val="004356EF"/>
    <w:rsid w:val="00435856"/>
    <w:rsid w:val="00435E3B"/>
    <w:rsid w:val="00435EB9"/>
    <w:rsid w:val="00435F96"/>
    <w:rsid w:val="00436523"/>
    <w:rsid w:val="0043669C"/>
    <w:rsid w:val="004367F3"/>
    <w:rsid w:val="00436AC0"/>
    <w:rsid w:val="00436DFE"/>
    <w:rsid w:val="0043716E"/>
    <w:rsid w:val="00437585"/>
    <w:rsid w:val="004376FF"/>
    <w:rsid w:val="004377CD"/>
    <w:rsid w:val="00437A96"/>
    <w:rsid w:val="00437E99"/>
    <w:rsid w:val="00437FCC"/>
    <w:rsid w:val="004403FD"/>
    <w:rsid w:val="00440A24"/>
    <w:rsid w:val="00441213"/>
    <w:rsid w:val="004414F3"/>
    <w:rsid w:val="00441602"/>
    <w:rsid w:val="0044195E"/>
    <w:rsid w:val="00441D76"/>
    <w:rsid w:val="0044232B"/>
    <w:rsid w:val="0044239E"/>
    <w:rsid w:val="00442443"/>
    <w:rsid w:val="004425F2"/>
    <w:rsid w:val="00442733"/>
    <w:rsid w:val="00442A7C"/>
    <w:rsid w:val="00442AD8"/>
    <w:rsid w:val="00442BFD"/>
    <w:rsid w:val="00442CD1"/>
    <w:rsid w:val="00442EF3"/>
    <w:rsid w:val="00442F94"/>
    <w:rsid w:val="00443004"/>
    <w:rsid w:val="0044335C"/>
    <w:rsid w:val="0044345B"/>
    <w:rsid w:val="004436E7"/>
    <w:rsid w:val="00443799"/>
    <w:rsid w:val="004437A6"/>
    <w:rsid w:val="00443B4E"/>
    <w:rsid w:val="00443D2D"/>
    <w:rsid w:val="00443EC3"/>
    <w:rsid w:val="004443AF"/>
    <w:rsid w:val="0044443E"/>
    <w:rsid w:val="0044444B"/>
    <w:rsid w:val="00444A7A"/>
    <w:rsid w:val="00444C88"/>
    <w:rsid w:val="00444E2C"/>
    <w:rsid w:val="00444EA6"/>
    <w:rsid w:val="00444ED3"/>
    <w:rsid w:val="00444FD0"/>
    <w:rsid w:val="00445070"/>
    <w:rsid w:val="00445800"/>
    <w:rsid w:val="004459A1"/>
    <w:rsid w:val="00445AB7"/>
    <w:rsid w:val="00445EC3"/>
    <w:rsid w:val="00445F0E"/>
    <w:rsid w:val="00446455"/>
    <w:rsid w:val="00446456"/>
    <w:rsid w:val="004465E1"/>
    <w:rsid w:val="00446678"/>
    <w:rsid w:val="004467A2"/>
    <w:rsid w:val="004470F2"/>
    <w:rsid w:val="004473DA"/>
    <w:rsid w:val="00447427"/>
    <w:rsid w:val="0044749B"/>
    <w:rsid w:val="004476A7"/>
    <w:rsid w:val="00447ED3"/>
    <w:rsid w:val="0045015F"/>
    <w:rsid w:val="0045040D"/>
    <w:rsid w:val="00450616"/>
    <w:rsid w:val="004506E9"/>
    <w:rsid w:val="00450A6D"/>
    <w:rsid w:val="00450B7F"/>
    <w:rsid w:val="00450D2F"/>
    <w:rsid w:val="00450FAA"/>
    <w:rsid w:val="00451020"/>
    <w:rsid w:val="004510CB"/>
    <w:rsid w:val="00451104"/>
    <w:rsid w:val="0045125A"/>
    <w:rsid w:val="00451477"/>
    <w:rsid w:val="004516A0"/>
    <w:rsid w:val="00451A08"/>
    <w:rsid w:val="00451AFD"/>
    <w:rsid w:val="00451B84"/>
    <w:rsid w:val="00451B99"/>
    <w:rsid w:val="00452169"/>
    <w:rsid w:val="004522F0"/>
    <w:rsid w:val="004524F0"/>
    <w:rsid w:val="00452579"/>
    <w:rsid w:val="00452611"/>
    <w:rsid w:val="0045297E"/>
    <w:rsid w:val="00452B7F"/>
    <w:rsid w:val="004531E6"/>
    <w:rsid w:val="00453211"/>
    <w:rsid w:val="004532B6"/>
    <w:rsid w:val="004534B6"/>
    <w:rsid w:val="0045365C"/>
    <w:rsid w:val="004536AF"/>
    <w:rsid w:val="00453713"/>
    <w:rsid w:val="004537B1"/>
    <w:rsid w:val="0045392C"/>
    <w:rsid w:val="00453BC8"/>
    <w:rsid w:val="00453EEC"/>
    <w:rsid w:val="00453F50"/>
    <w:rsid w:val="00453FBD"/>
    <w:rsid w:val="00454152"/>
    <w:rsid w:val="00454250"/>
    <w:rsid w:val="00454542"/>
    <w:rsid w:val="004546A6"/>
    <w:rsid w:val="00454C84"/>
    <w:rsid w:val="00454D5F"/>
    <w:rsid w:val="00455076"/>
    <w:rsid w:val="004554BA"/>
    <w:rsid w:val="004554F0"/>
    <w:rsid w:val="0045553D"/>
    <w:rsid w:val="0045557A"/>
    <w:rsid w:val="00455D16"/>
    <w:rsid w:val="00455DD4"/>
    <w:rsid w:val="00455E23"/>
    <w:rsid w:val="00455F3F"/>
    <w:rsid w:val="00456042"/>
    <w:rsid w:val="004560AB"/>
    <w:rsid w:val="0045624B"/>
    <w:rsid w:val="004564F9"/>
    <w:rsid w:val="00456685"/>
    <w:rsid w:val="00456789"/>
    <w:rsid w:val="00456A11"/>
    <w:rsid w:val="00456C4B"/>
    <w:rsid w:val="00456DFE"/>
    <w:rsid w:val="00456EF2"/>
    <w:rsid w:val="004570C2"/>
    <w:rsid w:val="004571BC"/>
    <w:rsid w:val="00457866"/>
    <w:rsid w:val="00457979"/>
    <w:rsid w:val="00457A66"/>
    <w:rsid w:val="00457D13"/>
    <w:rsid w:val="00457E01"/>
    <w:rsid w:val="0046045F"/>
    <w:rsid w:val="004606A4"/>
    <w:rsid w:val="00460872"/>
    <w:rsid w:val="00460A11"/>
    <w:rsid w:val="00460D1F"/>
    <w:rsid w:val="00461681"/>
    <w:rsid w:val="00461723"/>
    <w:rsid w:val="00461820"/>
    <w:rsid w:val="00461D1B"/>
    <w:rsid w:val="00461D7C"/>
    <w:rsid w:val="00462024"/>
    <w:rsid w:val="0046278D"/>
    <w:rsid w:val="00462971"/>
    <w:rsid w:val="004629F7"/>
    <w:rsid w:val="004629FB"/>
    <w:rsid w:val="00462F87"/>
    <w:rsid w:val="00463303"/>
    <w:rsid w:val="004633C3"/>
    <w:rsid w:val="004635C5"/>
    <w:rsid w:val="00463799"/>
    <w:rsid w:val="00463922"/>
    <w:rsid w:val="00464266"/>
    <w:rsid w:val="00464422"/>
    <w:rsid w:val="004644C9"/>
    <w:rsid w:val="00464B21"/>
    <w:rsid w:val="00464BC5"/>
    <w:rsid w:val="00464CE9"/>
    <w:rsid w:val="00464DF6"/>
    <w:rsid w:val="00464EDD"/>
    <w:rsid w:val="0046508F"/>
    <w:rsid w:val="004651B1"/>
    <w:rsid w:val="0046528D"/>
    <w:rsid w:val="00465B60"/>
    <w:rsid w:val="00465F0A"/>
    <w:rsid w:val="00465F31"/>
    <w:rsid w:val="0046605D"/>
    <w:rsid w:val="0046609E"/>
    <w:rsid w:val="0046637C"/>
    <w:rsid w:val="00466433"/>
    <w:rsid w:val="00466699"/>
    <w:rsid w:val="004669EB"/>
    <w:rsid w:val="00466A3D"/>
    <w:rsid w:val="00466BAA"/>
    <w:rsid w:val="00466CEB"/>
    <w:rsid w:val="00467185"/>
    <w:rsid w:val="0046720D"/>
    <w:rsid w:val="00467407"/>
    <w:rsid w:val="00467546"/>
    <w:rsid w:val="00467B82"/>
    <w:rsid w:val="00467D00"/>
    <w:rsid w:val="00467FA0"/>
    <w:rsid w:val="00467FEB"/>
    <w:rsid w:val="00470A21"/>
    <w:rsid w:val="00470ADB"/>
    <w:rsid w:val="00470BE3"/>
    <w:rsid w:val="00470F5D"/>
    <w:rsid w:val="00470FA3"/>
    <w:rsid w:val="00470FB1"/>
    <w:rsid w:val="004711CE"/>
    <w:rsid w:val="004711D9"/>
    <w:rsid w:val="0047123A"/>
    <w:rsid w:val="004713F1"/>
    <w:rsid w:val="0047156F"/>
    <w:rsid w:val="0047170F"/>
    <w:rsid w:val="004717D5"/>
    <w:rsid w:val="0047189C"/>
    <w:rsid w:val="004719EE"/>
    <w:rsid w:val="00471A72"/>
    <w:rsid w:val="00471BAA"/>
    <w:rsid w:val="00471F84"/>
    <w:rsid w:val="0047243F"/>
    <w:rsid w:val="004724A7"/>
    <w:rsid w:val="004728C9"/>
    <w:rsid w:val="00472956"/>
    <w:rsid w:val="00472989"/>
    <w:rsid w:val="00472A52"/>
    <w:rsid w:val="00472ADE"/>
    <w:rsid w:val="00472C43"/>
    <w:rsid w:val="00472E71"/>
    <w:rsid w:val="00472F60"/>
    <w:rsid w:val="00473002"/>
    <w:rsid w:val="0047350D"/>
    <w:rsid w:val="00473B61"/>
    <w:rsid w:val="0047432D"/>
    <w:rsid w:val="00474355"/>
    <w:rsid w:val="00474664"/>
    <w:rsid w:val="00474A85"/>
    <w:rsid w:val="00474B26"/>
    <w:rsid w:val="00474E54"/>
    <w:rsid w:val="00475241"/>
    <w:rsid w:val="00475654"/>
    <w:rsid w:val="00475695"/>
    <w:rsid w:val="004756BE"/>
    <w:rsid w:val="00475744"/>
    <w:rsid w:val="00475A85"/>
    <w:rsid w:val="00475BD7"/>
    <w:rsid w:val="00475D46"/>
    <w:rsid w:val="00475D71"/>
    <w:rsid w:val="00476001"/>
    <w:rsid w:val="004763E0"/>
    <w:rsid w:val="00476440"/>
    <w:rsid w:val="00476CD2"/>
    <w:rsid w:val="004770E7"/>
    <w:rsid w:val="004775F5"/>
    <w:rsid w:val="0047787B"/>
    <w:rsid w:val="004778AF"/>
    <w:rsid w:val="00477A9A"/>
    <w:rsid w:val="00477B85"/>
    <w:rsid w:val="00477BC5"/>
    <w:rsid w:val="00477D5F"/>
    <w:rsid w:val="00477D8E"/>
    <w:rsid w:val="00477F2B"/>
    <w:rsid w:val="0048012B"/>
    <w:rsid w:val="0048013A"/>
    <w:rsid w:val="00480646"/>
    <w:rsid w:val="00480693"/>
    <w:rsid w:val="00480821"/>
    <w:rsid w:val="0048086A"/>
    <w:rsid w:val="004808A8"/>
    <w:rsid w:val="00480F76"/>
    <w:rsid w:val="00481250"/>
    <w:rsid w:val="00481251"/>
    <w:rsid w:val="004812B3"/>
    <w:rsid w:val="004812F4"/>
    <w:rsid w:val="004813AC"/>
    <w:rsid w:val="004813D8"/>
    <w:rsid w:val="0048156E"/>
    <w:rsid w:val="004815AE"/>
    <w:rsid w:val="004816EE"/>
    <w:rsid w:val="00481C49"/>
    <w:rsid w:val="00481D4F"/>
    <w:rsid w:val="00481D7D"/>
    <w:rsid w:val="00481F89"/>
    <w:rsid w:val="00481FDF"/>
    <w:rsid w:val="004820A1"/>
    <w:rsid w:val="0048217F"/>
    <w:rsid w:val="004824D2"/>
    <w:rsid w:val="0048281E"/>
    <w:rsid w:val="00482901"/>
    <w:rsid w:val="00482D59"/>
    <w:rsid w:val="0048301B"/>
    <w:rsid w:val="00483020"/>
    <w:rsid w:val="00483335"/>
    <w:rsid w:val="004834DB"/>
    <w:rsid w:val="00483758"/>
    <w:rsid w:val="00483879"/>
    <w:rsid w:val="0048388B"/>
    <w:rsid w:val="00483B4F"/>
    <w:rsid w:val="00483B6E"/>
    <w:rsid w:val="00483EBD"/>
    <w:rsid w:val="0048411A"/>
    <w:rsid w:val="00484409"/>
    <w:rsid w:val="004847E1"/>
    <w:rsid w:val="00484900"/>
    <w:rsid w:val="00484A70"/>
    <w:rsid w:val="00484CFB"/>
    <w:rsid w:val="00484D86"/>
    <w:rsid w:val="00485354"/>
    <w:rsid w:val="004855F8"/>
    <w:rsid w:val="004858AF"/>
    <w:rsid w:val="0048592E"/>
    <w:rsid w:val="00485A34"/>
    <w:rsid w:val="00485D03"/>
    <w:rsid w:val="00485FCB"/>
    <w:rsid w:val="00485FF2"/>
    <w:rsid w:val="00486032"/>
    <w:rsid w:val="00486084"/>
    <w:rsid w:val="0048614A"/>
    <w:rsid w:val="004862BF"/>
    <w:rsid w:val="004863D0"/>
    <w:rsid w:val="004863D1"/>
    <w:rsid w:val="004863DA"/>
    <w:rsid w:val="0048687A"/>
    <w:rsid w:val="00486AA0"/>
    <w:rsid w:val="00486E21"/>
    <w:rsid w:val="0048701C"/>
    <w:rsid w:val="004876C6"/>
    <w:rsid w:val="00487E53"/>
    <w:rsid w:val="004901D6"/>
    <w:rsid w:val="00490367"/>
    <w:rsid w:val="0049047F"/>
    <w:rsid w:val="004904FD"/>
    <w:rsid w:val="004907EC"/>
    <w:rsid w:val="00490EC6"/>
    <w:rsid w:val="00491189"/>
    <w:rsid w:val="004911AF"/>
    <w:rsid w:val="004917A5"/>
    <w:rsid w:val="004918A3"/>
    <w:rsid w:val="0049194F"/>
    <w:rsid w:val="00491AED"/>
    <w:rsid w:val="00491C5E"/>
    <w:rsid w:val="00491E3E"/>
    <w:rsid w:val="00492156"/>
    <w:rsid w:val="00492184"/>
    <w:rsid w:val="0049224B"/>
    <w:rsid w:val="00492473"/>
    <w:rsid w:val="004925B0"/>
    <w:rsid w:val="004925F2"/>
    <w:rsid w:val="00492650"/>
    <w:rsid w:val="004928A4"/>
    <w:rsid w:val="004928D6"/>
    <w:rsid w:val="00492949"/>
    <w:rsid w:val="00492B4D"/>
    <w:rsid w:val="00492D19"/>
    <w:rsid w:val="00492FEB"/>
    <w:rsid w:val="0049394B"/>
    <w:rsid w:val="00493B05"/>
    <w:rsid w:val="00493C1E"/>
    <w:rsid w:val="00493C67"/>
    <w:rsid w:val="00493EB9"/>
    <w:rsid w:val="004940D6"/>
    <w:rsid w:val="00494873"/>
    <w:rsid w:val="004948E2"/>
    <w:rsid w:val="00494D0A"/>
    <w:rsid w:val="00494E8D"/>
    <w:rsid w:val="00494FDD"/>
    <w:rsid w:val="00494FE3"/>
    <w:rsid w:val="00495010"/>
    <w:rsid w:val="0049501E"/>
    <w:rsid w:val="004952CB"/>
    <w:rsid w:val="0049533D"/>
    <w:rsid w:val="00495344"/>
    <w:rsid w:val="00495BA8"/>
    <w:rsid w:val="00496002"/>
    <w:rsid w:val="0049632D"/>
    <w:rsid w:val="0049667C"/>
    <w:rsid w:val="0049678B"/>
    <w:rsid w:val="004968C6"/>
    <w:rsid w:val="00496AD4"/>
    <w:rsid w:val="00496EDC"/>
    <w:rsid w:val="00496F17"/>
    <w:rsid w:val="0049710C"/>
    <w:rsid w:val="0049720C"/>
    <w:rsid w:val="004972EB"/>
    <w:rsid w:val="004972F9"/>
    <w:rsid w:val="004974DA"/>
    <w:rsid w:val="004978BB"/>
    <w:rsid w:val="00497C8D"/>
    <w:rsid w:val="00497D90"/>
    <w:rsid w:val="004A014D"/>
    <w:rsid w:val="004A015D"/>
    <w:rsid w:val="004A0259"/>
    <w:rsid w:val="004A03DB"/>
    <w:rsid w:val="004A043A"/>
    <w:rsid w:val="004A0723"/>
    <w:rsid w:val="004A0CC9"/>
    <w:rsid w:val="004A0EE4"/>
    <w:rsid w:val="004A0F20"/>
    <w:rsid w:val="004A11D2"/>
    <w:rsid w:val="004A13B7"/>
    <w:rsid w:val="004A14EF"/>
    <w:rsid w:val="004A19EA"/>
    <w:rsid w:val="004A1BA9"/>
    <w:rsid w:val="004A1C26"/>
    <w:rsid w:val="004A1E31"/>
    <w:rsid w:val="004A1E97"/>
    <w:rsid w:val="004A22BF"/>
    <w:rsid w:val="004A24A6"/>
    <w:rsid w:val="004A28F6"/>
    <w:rsid w:val="004A2990"/>
    <w:rsid w:val="004A2B27"/>
    <w:rsid w:val="004A2B4B"/>
    <w:rsid w:val="004A2BC6"/>
    <w:rsid w:val="004A2C01"/>
    <w:rsid w:val="004A2EF4"/>
    <w:rsid w:val="004A2EF5"/>
    <w:rsid w:val="004A3005"/>
    <w:rsid w:val="004A328B"/>
    <w:rsid w:val="004A35B4"/>
    <w:rsid w:val="004A3607"/>
    <w:rsid w:val="004A3BA7"/>
    <w:rsid w:val="004A3D21"/>
    <w:rsid w:val="004A3E5E"/>
    <w:rsid w:val="004A3F77"/>
    <w:rsid w:val="004A45F8"/>
    <w:rsid w:val="004A4777"/>
    <w:rsid w:val="004A4792"/>
    <w:rsid w:val="004A4806"/>
    <w:rsid w:val="004A4989"/>
    <w:rsid w:val="004A4B97"/>
    <w:rsid w:val="004A4F55"/>
    <w:rsid w:val="004A4F84"/>
    <w:rsid w:val="004A4FC1"/>
    <w:rsid w:val="004A5704"/>
    <w:rsid w:val="004A58F5"/>
    <w:rsid w:val="004A5A96"/>
    <w:rsid w:val="004A5B22"/>
    <w:rsid w:val="004A5BEA"/>
    <w:rsid w:val="004A5CCA"/>
    <w:rsid w:val="004A5CCE"/>
    <w:rsid w:val="004A5E57"/>
    <w:rsid w:val="004A5F05"/>
    <w:rsid w:val="004A5FD3"/>
    <w:rsid w:val="004A60C4"/>
    <w:rsid w:val="004A6619"/>
    <w:rsid w:val="004A685B"/>
    <w:rsid w:val="004A68BF"/>
    <w:rsid w:val="004A6B16"/>
    <w:rsid w:val="004A6B7F"/>
    <w:rsid w:val="004A70B2"/>
    <w:rsid w:val="004A7337"/>
    <w:rsid w:val="004A7460"/>
    <w:rsid w:val="004A7926"/>
    <w:rsid w:val="004A79B6"/>
    <w:rsid w:val="004A7A5C"/>
    <w:rsid w:val="004A7BB1"/>
    <w:rsid w:val="004A7D50"/>
    <w:rsid w:val="004B03D0"/>
    <w:rsid w:val="004B09F0"/>
    <w:rsid w:val="004B0C29"/>
    <w:rsid w:val="004B0C72"/>
    <w:rsid w:val="004B0CDD"/>
    <w:rsid w:val="004B0DEA"/>
    <w:rsid w:val="004B1F86"/>
    <w:rsid w:val="004B2BE0"/>
    <w:rsid w:val="004B319D"/>
    <w:rsid w:val="004B3230"/>
    <w:rsid w:val="004B332A"/>
    <w:rsid w:val="004B33CE"/>
    <w:rsid w:val="004B3808"/>
    <w:rsid w:val="004B3923"/>
    <w:rsid w:val="004B39E5"/>
    <w:rsid w:val="004B3B40"/>
    <w:rsid w:val="004B3BD2"/>
    <w:rsid w:val="004B3C4C"/>
    <w:rsid w:val="004B3C97"/>
    <w:rsid w:val="004B3CEE"/>
    <w:rsid w:val="004B3EEF"/>
    <w:rsid w:val="004B41A7"/>
    <w:rsid w:val="004B41B9"/>
    <w:rsid w:val="004B451E"/>
    <w:rsid w:val="004B461B"/>
    <w:rsid w:val="004B4A9C"/>
    <w:rsid w:val="004B4D8F"/>
    <w:rsid w:val="004B539B"/>
    <w:rsid w:val="004B5697"/>
    <w:rsid w:val="004B5F08"/>
    <w:rsid w:val="004B5F0B"/>
    <w:rsid w:val="004B5F37"/>
    <w:rsid w:val="004B6527"/>
    <w:rsid w:val="004B6FEB"/>
    <w:rsid w:val="004B71DB"/>
    <w:rsid w:val="004B7418"/>
    <w:rsid w:val="004B7439"/>
    <w:rsid w:val="004B757D"/>
    <w:rsid w:val="004B7682"/>
    <w:rsid w:val="004B7C3C"/>
    <w:rsid w:val="004B7C4A"/>
    <w:rsid w:val="004C0005"/>
    <w:rsid w:val="004C0213"/>
    <w:rsid w:val="004C037D"/>
    <w:rsid w:val="004C0519"/>
    <w:rsid w:val="004C055C"/>
    <w:rsid w:val="004C0884"/>
    <w:rsid w:val="004C0987"/>
    <w:rsid w:val="004C0A71"/>
    <w:rsid w:val="004C0B08"/>
    <w:rsid w:val="004C0B9A"/>
    <w:rsid w:val="004C0D1F"/>
    <w:rsid w:val="004C0F5D"/>
    <w:rsid w:val="004C0F79"/>
    <w:rsid w:val="004C1040"/>
    <w:rsid w:val="004C11E7"/>
    <w:rsid w:val="004C1636"/>
    <w:rsid w:val="004C1685"/>
    <w:rsid w:val="004C1C42"/>
    <w:rsid w:val="004C2335"/>
    <w:rsid w:val="004C27B6"/>
    <w:rsid w:val="004C2AF9"/>
    <w:rsid w:val="004C2C7E"/>
    <w:rsid w:val="004C31C6"/>
    <w:rsid w:val="004C3267"/>
    <w:rsid w:val="004C3DAF"/>
    <w:rsid w:val="004C3E4B"/>
    <w:rsid w:val="004C4123"/>
    <w:rsid w:val="004C4298"/>
    <w:rsid w:val="004C4B7B"/>
    <w:rsid w:val="004C52BA"/>
    <w:rsid w:val="004C55E5"/>
    <w:rsid w:val="004C5941"/>
    <w:rsid w:val="004C5B86"/>
    <w:rsid w:val="004C5E70"/>
    <w:rsid w:val="004C5F73"/>
    <w:rsid w:val="004C5F7F"/>
    <w:rsid w:val="004C60F8"/>
    <w:rsid w:val="004C6217"/>
    <w:rsid w:val="004C63B6"/>
    <w:rsid w:val="004C640A"/>
    <w:rsid w:val="004C6537"/>
    <w:rsid w:val="004C67CE"/>
    <w:rsid w:val="004C67D6"/>
    <w:rsid w:val="004C6844"/>
    <w:rsid w:val="004C6A8E"/>
    <w:rsid w:val="004C6B3D"/>
    <w:rsid w:val="004C6C65"/>
    <w:rsid w:val="004C6D36"/>
    <w:rsid w:val="004C6F8D"/>
    <w:rsid w:val="004C6FFD"/>
    <w:rsid w:val="004C720A"/>
    <w:rsid w:val="004C741C"/>
    <w:rsid w:val="004C75E8"/>
    <w:rsid w:val="004C7638"/>
    <w:rsid w:val="004C7705"/>
    <w:rsid w:val="004C7881"/>
    <w:rsid w:val="004C788A"/>
    <w:rsid w:val="004C78E9"/>
    <w:rsid w:val="004C79F5"/>
    <w:rsid w:val="004C7B53"/>
    <w:rsid w:val="004C7BED"/>
    <w:rsid w:val="004C7FC1"/>
    <w:rsid w:val="004C8A5C"/>
    <w:rsid w:val="004D001C"/>
    <w:rsid w:val="004D00B2"/>
    <w:rsid w:val="004D01AB"/>
    <w:rsid w:val="004D0505"/>
    <w:rsid w:val="004D05DD"/>
    <w:rsid w:val="004D0F6B"/>
    <w:rsid w:val="004D136B"/>
    <w:rsid w:val="004D1396"/>
    <w:rsid w:val="004D14AE"/>
    <w:rsid w:val="004D16D1"/>
    <w:rsid w:val="004D16D4"/>
    <w:rsid w:val="004D1A3B"/>
    <w:rsid w:val="004D1BF3"/>
    <w:rsid w:val="004D1C80"/>
    <w:rsid w:val="004D1E8B"/>
    <w:rsid w:val="004D1F4D"/>
    <w:rsid w:val="004D2143"/>
    <w:rsid w:val="004D2571"/>
    <w:rsid w:val="004D26D7"/>
    <w:rsid w:val="004D2769"/>
    <w:rsid w:val="004D2A59"/>
    <w:rsid w:val="004D2DDB"/>
    <w:rsid w:val="004D31C1"/>
    <w:rsid w:val="004D32C6"/>
    <w:rsid w:val="004D34E0"/>
    <w:rsid w:val="004D36C0"/>
    <w:rsid w:val="004D3A39"/>
    <w:rsid w:val="004D3A77"/>
    <w:rsid w:val="004D3C32"/>
    <w:rsid w:val="004D3FCA"/>
    <w:rsid w:val="004D40F3"/>
    <w:rsid w:val="004D4546"/>
    <w:rsid w:val="004D456D"/>
    <w:rsid w:val="004D45B5"/>
    <w:rsid w:val="004D4618"/>
    <w:rsid w:val="004D48BB"/>
    <w:rsid w:val="004D4968"/>
    <w:rsid w:val="004D4981"/>
    <w:rsid w:val="004D4B5E"/>
    <w:rsid w:val="004D4C0F"/>
    <w:rsid w:val="004D4C74"/>
    <w:rsid w:val="004D4F70"/>
    <w:rsid w:val="004D5556"/>
    <w:rsid w:val="004D5A45"/>
    <w:rsid w:val="004D5AA1"/>
    <w:rsid w:val="004D5AE0"/>
    <w:rsid w:val="004D5CAE"/>
    <w:rsid w:val="004D5CBF"/>
    <w:rsid w:val="004D5D0D"/>
    <w:rsid w:val="004D5E85"/>
    <w:rsid w:val="004D6278"/>
    <w:rsid w:val="004D62A6"/>
    <w:rsid w:val="004D62BE"/>
    <w:rsid w:val="004D6528"/>
    <w:rsid w:val="004D666E"/>
    <w:rsid w:val="004D6AC8"/>
    <w:rsid w:val="004D6F7C"/>
    <w:rsid w:val="004D7758"/>
    <w:rsid w:val="004D79CC"/>
    <w:rsid w:val="004D7D01"/>
    <w:rsid w:val="004D7DD4"/>
    <w:rsid w:val="004D7EA0"/>
    <w:rsid w:val="004E04DF"/>
    <w:rsid w:val="004E0502"/>
    <w:rsid w:val="004E05F2"/>
    <w:rsid w:val="004E073B"/>
    <w:rsid w:val="004E08D0"/>
    <w:rsid w:val="004E0A86"/>
    <w:rsid w:val="004E0B25"/>
    <w:rsid w:val="004E0B97"/>
    <w:rsid w:val="004E0C5F"/>
    <w:rsid w:val="004E1295"/>
    <w:rsid w:val="004E134C"/>
    <w:rsid w:val="004E1628"/>
    <w:rsid w:val="004E1A4B"/>
    <w:rsid w:val="004E1E22"/>
    <w:rsid w:val="004E1F9C"/>
    <w:rsid w:val="004E21FA"/>
    <w:rsid w:val="004E23E3"/>
    <w:rsid w:val="004E24FD"/>
    <w:rsid w:val="004E258D"/>
    <w:rsid w:val="004E262C"/>
    <w:rsid w:val="004E2750"/>
    <w:rsid w:val="004E296A"/>
    <w:rsid w:val="004E2A30"/>
    <w:rsid w:val="004E2BD1"/>
    <w:rsid w:val="004E2BFE"/>
    <w:rsid w:val="004E2C4E"/>
    <w:rsid w:val="004E2C80"/>
    <w:rsid w:val="004E2D65"/>
    <w:rsid w:val="004E2E60"/>
    <w:rsid w:val="004E2F35"/>
    <w:rsid w:val="004E2FC4"/>
    <w:rsid w:val="004E2FD4"/>
    <w:rsid w:val="004E3039"/>
    <w:rsid w:val="004E3128"/>
    <w:rsid w:val="004E319B"/>
    <w:rsid w:val="004E3798"/>
    <w:rsid w:val="004E3C4C"/>
    <w:rsid w:val="004E3C5B"/>
    <w:rsid w:val="004E409F"/>
    <w:rsid w:val="004E43ED"/>
    <w:rsid w:val="004E47FB"/>
    <w:rsid w:val="004E4BCE"/>
    <w:rsid w:val="004E4C0E"/>
    <w:rsid w:val="004E4C53"/>
    <w:rsid w:val="004E4CDE"/>
    <w:rsid w:val="004E4D70"/>
    <w:rsid w:val="004E4DB3"/>
    <w:rsid w:val="004E53E5"/>
    <w:rsid w:val="004E56C1"/>
    <w:rsid w:val="004E56DA"/>
    <w:rsid w:val="004E5B43"/>
    <w:rsid w:val="004E5C82"/>
    <w:rsid w:val="004E5DD6"/>
    <w:rsid w:val="004E6110"/>
    <w:rsid w:val="004E65E1"/>
    <w:rsid w:val="004E670B"/>
    <w:rsid w:val="004E682D"/>
    <w:rsid w:val="004E683C"/>
    <w:rsid w:val="004E69A8"/>
    <w:rsid w:val="004E6CCF"/>
    <w:rsid w:val="004E701D"/>
    <w:rsid w:val="004E7295"/>
    <w:rsid w:val="004E7309"/>
    <w:rsid w:val="004E7482"/>
    <w:rsid w:val="004E7559"/>
    <w:rsid w:val="004E797F"/>
    <w:rsid w:val="004E7E9F"/>
    <w:rsid w:val="004F0021"/>
    <w:rsid w:val="004F0046"/>
    <w:rsid w:val="004F0382"/>
    <w:rsid w:val="004F0452"/>
    <w:rsid w:val="004F04F9"/>
    <w:rsid w:val="004F0821"/>
    <w:rsid w:val="004F0A2C"/>
    <w:rsid w:val="004F0AC3"/>
    <w:rsid w:val="004F0D36"/>
    <w:rsid w:val="004F0E7B"/>
    <w:rsid w:val="004F146B"/>
    <w:rsid w:val="004F1734"/>
    <w:rsid w:val="004F1850"/>
    <w:rsid w:val="004F186E"/>
    <w:rsid w:val="004F193C"/>
    <w:rsid w:val="004F20E4"/>
    <w:rsid w:val="004F25F5"/>
    <w:rsid w:val="004F269A"/>
    <w:rsid w:val="004F2749"/>
    <w:rsid w:val="004F27E0"/>
    <w:rsid w:val="004F2C46"/>
    <w:rsid w:val="004F2E25"/>
    <w:rsid w:val="004F305F"/>
    <w:rsid w:val="004F3C48"/>
    <w:rsid w:val="004F3D8C"/>
    <w:rsid w:val="004F3DF8"/>
    <w:rsid w:val="004F4097"/>
    <w:rsid w:val="004F453B"/>
    <w:rsid w:val="004F4AA6"/>
    <w:rsid w:val="004F4E30"/>
    <w:rsid w:val="004F4FAA"/>
    <w:rsid w:val="004F56C3"/>
    <w:rsid w:val="004F575F"/>
    <w:rsid w:val="004F5966"/>
    <w:rsid w:val="004F5A68"/>
    <w:rsid w:val="004F5D15"/>
    <w:rsid w:val="004F5D32"/>
    <w:rsid w:val="004F5DCB"/>
    <w:rsid w:val="004F5E19"/>
    <w:rsid w:val="004F5FA8"/>
    <w:rsid w:val="004F60B2"/>
    <w:rsid w:val="004F61F9"/>
    <w:rsid w:val="004F629F"/>
    <w:rsid w:val="004F64CC"/>
    <w:rsid w:val="004F65E1"/>
    <w:rsid w:val="004F6813"/>
    <w:rsid w:val="004F6956"/>
    <w:rsid w:val="004F6963"/>
    <w:rsid w:val="004F6A43"/>
    <w:rsid w:val="004F6B5E"/>
    <w:rsid w:val="004F6B96"/>
    <w:rsid w:val="004F6D18"/>
    <w:rsid w:val="004F76C9"/>
    <w:rsid w:val="004F78A1"/>
    <w:rsid w:val="004F79CA"/>
    <w:rsid w:val="004F7A0C"/>
    <w:rsid w:val="004F7C92"/>
    <w:rsid w:val="005004A6"/>
    <w:rsid w:val="005004A9"/>
    <w:rsid w:val="005005A5"/>
    <w:rsid w:val="00500F33"/>
    <w:rsid w:val="00501840"/>
    <w:rsid w:val="005018FE"/>
    <w:rsid w:val="005019CB"/>
    <w:rsid w:val="00501DCC"/>
    <w:rsid w:val="005021FC"/>
    <w:rsid w:val="005023AC"/>
    <w:rsid w:val="005025E2"/>
    <w:rsid w:val="0050277E"/>
    <w:rsid w:val="00502804"/>
    <w:rsid w:val="00502B12"/>
    <w:rsid w:val="00502C0C"/>
    <w:rsid w:val="00502D02"/>
    <w:rsid w:val="00503618"/>
    <w:rsid w:val="00503646"/>
    <w:rsid w:val="00503883"/>
    <w:rsid w:val="005040B2"/>
    <w:rsid w:val="005043C2"/>
    <w:rsid w:val="005043F4"/>
    <w:rsid w:val="005045DD"/>
    <w:rsid w:val="005045F3"/>
    <w:rsid w:val="005047AA"/>
    <w:rsid w:val="00504D39"/>
    <w:rsid w:val="00504DBA"/>
    <w:rsid w:val="0050508A"/>
    <w:rsid w:val="005053E1"/>
    <w:rsid w:val="005055D1"/>
    <w:rsid w:val="00505881"/>
    <w:rsid w:val="005059EE"/>
    <w:rsid w:val="00505A56"/>
    <w:rsid w:val="00505C34"/>
    <w:rsid w:val="00505DD1"/>
    <w:rsid w:val="00506051"/>
    <w:rsid w:val="00506090"/>
    <w:rsid w:val="005065C5"/>
    <w:rsid w:val="0050690A"/>
    <w:rsid w:val="00506931"/>
    <w:rsid w:val="0050719E"/>
    <w:rsid w:val="00507270"/>
    <w:rsid w:val="0050729F"/>
    <w:rsid w:val="0050730F"/>
    <w:rsid w:val="005073E0"/>
    <w:rsid w:val="0050770A"/>
    <w:rsid w:val="005077C7"/>
    <w:rsid w:val="00507875"/>
    <w:rsid w:val="00507A46"/>
    <w:rsid w:val="00507AE4"/>
    <w:rsid w:val="00507B58"/>
    <w:rsid w:val="00507BE7"/>
    <w:rsid w:val="005100D3"/>
    <w:rsid w:val="00510423"/>
    <w:rsid w:val="00510470"/>
    <w:rsid w:val="00510699"/>
    <w:rsid w:val="00510972"/>
    <w:rsid w:val="0051099E"/>
    <w:rsid w:val="005109ED"/>
    <w:rsid w:val="00510B31"/>
    <w:rsid w:val="00510DE1"/>
    <w:rsid w:val="00510DE4"/>
    <w:rsid w:val="00510EA3"/>
    <w:rsid w:val="00511186"/>
    <w:rsid w:val="0051124B"/>
    <w:rsid w:val="0051153A"/>
    <w:rsid w:val="00511721"/>
    <w:rsid w:val="00511971"/>
    <w:rsid w:val="005119BB"/>
    <w:rsid w:val="00511A21"/>
    <w:rsid w:val="00511D12"/>
    <w:rsid w:val="00511F76"/>
    <w:rsid w:val="00511FE2"/>
    <w:rsid w:val="005120C9"/>
    <w:rsid w:val="0051227F"/>
    <w:rsid w:val="00512631"/>
    <w:rsid w:val="005129E8"/>
    <w:rsid w:val="00512AD5"/>
    <w:rsid w:val="00512DB9"/>
    <w:rsid w:val="00512E35"/>
    <w:rsid w:val="00512E5B"/>
    <w:rsid w:val="00513161"/>
    <w:rsid w:val="005132C3"/>
    <w:rsid w:val="005136DF"/>
    <w:rsid w:val="0051375D"/>
    <w:rsid w:val="00513AFE"/>
    <w:rsid w:val="00513D72"/>
    <w:rsid w:val="00513E4D"/>
    <w:rsid w:val="00513F0A"/>
    <w:rsid w:val="005142EE"/>
    <w:rsid w:val="005143D7"/>
    <w:rsid w:val="00514993"/>
    <w:rsid w:val="00514A8F"/>
    <w:rsid w:val="00514AB5"/>
    <w:rsid w:val="00514B5B"/>
    <w:rsid w:val="00514C0C"/>
    <w:rsid w:val="00514EAC"/>
    <w:rsid w:val="00514F90"/>
    <w:rsid w:val="00515B5B"/>
    <w:rsid w:val="00515BC6"/>
    <w:rsid w:val="00516046"/>
    <w:rsid w:val="0051604A"/>
    <w:rsid w:val="0051678A"/>
    <w:rsid w:val="005168E3"/>
    <w:rsid w:val="0051696C"/>
    <w:rsid w:val="00516AC1"/>
    <w:rsid w:val="00516AEF"/>
    <w:rsid w:val="00516DA5"/>
    <w:rsid w:val="00516DED"/>
    <w:rsid w:val="0051724E"/>
    <w:rsid w:val="005172C8"/>
    <w:rsid w:val="00517335"/>
    <w:rsid w:val="005173AE"/>
    <w:rsid w:val="00517777"/>
    <w:rsid w:val="005177DF"/>
    <w:rsid w:val="00517934"/>
    <w:rsid w:val="00517CDC"/>
    <w:rsid w:val="00517D37"/>
    <w:rsid w:val="00520171"/>
    <w:rsid w:val="005202F7"/>
    <w:rsid w:val="005203CE"/>
    <w:rsid w:val="0052049A"/>
    <w:rsid w:val="00520674"/>
    <w:rsid w:val="00520813"/>
    <w:rsid w:val="00520C35"/>
    <w:rsid w:val="00520CDE"/>
    <w:rsid w:val="00520E80"/>
    <w:rsid w:val="00520F03"/>
    <w:rsid w:val="00520F55"/>
    <w:rsid w:val="00521059"/>
    <w:rsid w:val="005210A1"/>
    <w:rsid w:val="0052110A"/>
    <w:rsid w:val="00521AC1"/>
    <w:rsid w:val="00521AD2"/>
    <w:rsid w:val="00521B87"/>
    <w:rsid w:val="00521C11"/>
    <w:rsid w:val="00522086"/>
    <w:rsid w:val="0052236A"/>
    <w:rsid w:val="0052237A"/>
    <w:rsid w:val="00522533"/>
    <w:rsid w:val="005225AC"/>
    <w:rsid w:val="0052260A"/>
    <w:rsid w:val="005226D6"/>
    <w:rsid w:val="00522996"/>
    <w:rsid w:val="00522BB5"/>
    <w:rsid w:val="00522EC0"/>
    <w:rsid w:val="00522EF8"/>
    <w:rsid w:val="00523508"/>
    <w:rsid w:val="00523964"/>
    <w:rsid w:val="00524318"/>
    <w:rsid w:val="00524A5D"/>
    <w:rsid w:val="00524AAB"/>
    <w:rsid w:val="00524BD2"/>
    <w:rsid w:val="00524F97"/>
    <w:rsid w:val="00525069"/>
    <w:rsid w:val="005253F4"/>
    <w:rsid w:val="00525747"/>
    <w:rsid w:val="005257F7"/>
    <w:rsid w:val="00525CB4"/>
    <w:rsid w:val="00525E13"/>
    <w:rsid w:val="00525E34"/>
    <w:rsid w:val="00525E59"/>
    <w:rsid w:val="00525EC7"/>
    <w:rsid w:val="00526002"/>
    <w:rsid w:val="00526032"/>
    <w:rsid w:val="00526105"/>
    <w:rsid w:val="0052631C"/>
    <w:rsid w:val="005263DA"/>
    <w:rsid w:val="00526485"/>
    <w:rsid w:val="00526630"/>
    <w:rsid w:val="005267AD"/>
    <w:rsid w:val="00526899"/>
    <w:rsid w:val="00526B68"/>
    <w:rsid w:val="00526D1B"/>
    <w:rsid w:val="00526D7C"/>
    <w:rsid w:val="00526FD3"/>
    <w:rsid w:val="00527222"/>
    <w:rsid w:val="0052749E"/>
    <w:rsid w:val="0052767A"/>
    <w:rsid w:val="005277D1"/>
    <w:rsid w:val="00527A55"/>
    <w:rsid w:val="00527A8D"/>
    <w:rsid w:val="00527D27"/>
    <w:rsid w:val="00527F4A"/>
    <w:rsid w:val="00527F99"/>
    <w:rsid w:val="0053067C"/>
    <w:rsid w:val="005307E2"/>
    <w:rsid w:val="00530919"/>
    <w:rsid w:val="005309C8"/>
    <w:rsid w:val="00530EFF"/>
    <w:rsid w:val="0053111B"/>
    <w:rsid w:val="00531469"/>
    <w:rsid w:val="00531AFF"/>
    <w:rsid w:val="00531B62"/>
    <w:rsid w:val="00531DB3"/>
    <w:rsid w:val="00531FEA"/>
    <w:rsid w:val="00532048"/>
    <w:rsid w:val="0053227E"/>
    <w:rsid w:val="005322C1"/>
    <w:rsid w:val="00532397"/>
    <w:rsid w:val="005323BE"/>
    <w:rsid w:val="00532400"/>
    <w:rsid w:val="00532621"/>
    <w:rsid w:val="00532BA0"/>
    <w:rsid w:val="00532E87"/>
    <w:rsid w:val="00533086"/>
    <w:rsid w:val="0053326B"/>
    <w:rsid w:val="005335D1"/>
    <w:rsid w:val="00533B62"/>
    <w:rsid w:val="00533B9C"/>
    <w:rsid w:val="00533C17"/>
    <w:rsid w:val="00533F54"/>
    <w:rsid w:val="0053431D"/>
    <w:rsid w:val="005344B1"/>
    <w:rsid w:val="005344CC"/>
    <w:rsid w:val="00534616"/>
    <w:rsid w:val="005348F6"/>
    <w:rsid w:val="00534A0E"/>
    <w:rsid w:val="00534CC0"/>
    <w:rsid w:val="005351C1"/>
    <w:rsid w:val="00535313"/>
    <w:rsid w:val="0053564E"/>
    <w:rsid w:val="0053578B"/>
    <w:rsid w:val="00535C71"/>
    <w:rsid w:val="00535F85"/>
    <w:rsid w:val="00536171"/>
    <w:rsid w:val="0053617B"/>
    <w:rsid w:val="00536BD6"/>
    <w:rsid w:val="005371B5"/>
    <w:rsid w:val="00537459"/>
    <w:rsid w:val="0053748A"/>
    <w:rsid w:val="00537589"/>
    <w:rsid w:val="005377C3"/>
    <w:rsid w:val="005379A0"/>
    <w:rsid w:val="00537A10"/>
    <w:rsid w:val="00537FDB"/>
    <w:rsid w:val="0054020B"/>
    <w:rsid w:val="00540673"/>
    <w:rsid w:val="0054077B"/>
    <w:rsid w:val="005407F2"/>
    <w:rsid w:val="005409B0"/>
    <w:rsid w:val="00540FCD"/>
    <w:rsid w:val="005415C7"/>
    <w:rsid w:val="0054163D"/>
    <w:rsid w:val="00541A9E"/>
    <w:rsid w:val="00541B04"/>
    <w:rsid w:val="00541B46"/>
    <w:rsid w:val="00541BBF"/>
    <w:rsid w:val="00541C6C"/>
    <w:rsid w:val="00541E09"/>
    <w:rsid w:val="00541E12"/>
    <w:rsid w:val="00541F0C"/>
    <w:rsid w:val="005421A7"/>
    <w:rsid w:val="005421DD"/>
    <w:rsid w:val="005422A4"/>
    <w:rsid w:val="005422D6"/>
    <w:rsid w:val="00542529"/>
    <w:rsid w:val="00542703"/>
    <w:rsid w:val="00542728"/>
    <w:rsid w:val="00542B97"/>
    <w:rsid w:val="005430B6"/>
    <w:rsid w:val="00543520"/>
    <w:rsid w:val="00543642"/>
    <w:rsid w:val="005437E6"/>
    <w:rsid w:val="00543B9E"/>
    <w:rsid w:val="0054432F"/>
    <w:rsid w:val="00544472"/>
    <w:rsid w:val="0054459D"/>
    <w:rsid w:val="0054477D"/>
    <w:rsid w:val="00544CD6"/>
    <w:rsid w:val="00544CFF"/>
    <w:rsid w:val="00544ECE"/>
    <w:rsid w:val="005451CB"/>
    <w:rsid w:val="005451D2"/>
    <w:rsid w:val="005452B7"/>
    <w:rsid w:val="00545378"/>
    <w:rsid w:val="005453BF"/>
    <w:rsid w:val="00545B75"/>
    <w:rsid w:val="00545D3E"/>
    <w:rsid w:val="00546151"/>
    <w:rsid w:val="00546365"/>
    <w:rsid w:val="00546482"/>
    <w:rsid w:val="0054678A"/>
    <w:rsid w:val="00546AD5"/>
    <w:rsid w:val="00546B97"/>
    <w:rsid w:val="00547271"/>
    <w:rsid w:val="00547665"/>
    <w:rsid w:val="00547768"/>
    <w:rsid w:val="00547A0C"/>
    <w:rsid w:val="0055019B"/>
    <w:rsid w:val="005505F6"/>
    <w:rsid w:val="005507DF"/>
    <w:rsid w:val="005508EA"/>
    <w:rsid w:val="00550E76"/>
    <w:rsid w:val="00551260"/>
    <w:rsid w:val="0055127B"/>
    <w:rsid w:val="00551300"/>
    <w:rsid w:val="00551662"/>
    <w:rsid w:val="005518E6"/>
    <w:rsid w:val="00552023"/>
    <w:rsid w:val="0055202E"/>
    <w:rsid w:val="00552250"/>
    <w:rsid w:val="0055299F"/>
    <w:rsid w:val="00552ADB"/>
    <w:rsid w:val="00552DC4"/>
    <w:rsid w:val="00552F2A"/>
    <w:rsid w:val="00552F4C"/>
    <w:rsid w:val="00552FA3"/>
    <w:rsid w:val="00553ECF"/>
    <w:rsid w:val="005541DA"/>
    <w:rsid w:val="0055467E"/>
    <w:rsid w:val="0055487C"/>
    <w:rsid w:val="005549AD"/>
    <w:rsid w:val="00554AA5"/>
    <w:rsid w:val="00554B78"/>
    <w:rsid w:val="00554C3E"/>
    <w:rsid w:val="00555141"/>
    <w:rsid w:val="00555353"/>
    <w:rsid w:val="0055582D"/>
    <w:rsid w:val="00555909"/>
    <w:rsid w:val="00555929"/>
    <w:rsid w:val="00555A75"/>
    <w:rsid w:val="00555B74"/>
    <w:rsid w:val="00555B86"/>
    <w:rsid w:val="00555E6D"/>
    <w:rsid w:val="00556006"/>
    <w:rsid w:val="005565B8"/>
    <w:rsid w:val="0055688D"/>
    <w:rsid w:val="00556929"/>
    <w:rsid w:val="00556B09"/>
    <w:rsid w:val="005570B3"/>
    <w:rsid w:val="0055757A"/>
    <w:rsid w:val="00557944"/>
    <w:rsid w:val="00557B5A"/>
    <w:rsid w:val="00560043"/>
    <w:rsid w:val="0056022F"/>
    <w:rsid w:val="0056051D"/>
    <w:rsid w:val="005607FE"/>
    <w:rsid w:val="00560844"/>
    <w:rsid w:val="005609A1"/>
    <w:rsid w:val="00560A2A"/>
    <w:rsid w:val="00560C38"/>
    <w:rsid w:val="00561570"/>
    <w:rsid w:val="005615F9"/>
    <w:rsid w:val="00561802"/>
    <w:rsid w:val="00561CD2"/>
    <w:rsid w:val="00561EA0"/>
    <w:rsid w:val="00561EC1"/>
    <w:rsid w:val="005623D5"/>
    <w:rsid w:val="005624DB"/>
    <w:rsid w:val="00562566"/>
    <w:rsid w:val="005626CD"/>
    <w:rsid w:val="00562CD1"/>
    <w:rsid w:val="00562E05"/>
    <w:rsid w:val="0056303A"/>
    <w:rsid w:val="005631A9"/>
    <w:rsid w:val="0056324D"/>
    <w:rsid w:val="00563275"/>
    <w:rsid w:val="005635FB"/>
    <w:rsid w:val="0056384B"/>
    <w:rsid w:val="00563988"/>
    <w:rsid w:val="00563BF9"/>
    <w:rsid w:val="00563CF4"/>
    <w:rsid w:val="00564123"/>
    <w:rsid w:val="00564269"/>
    <w:rsid w:val="00564509"/>
    <w:rsid w:val="00564605"/>
    <w:rsid w:val="0056464C"/>
    <w:rsid w:val="0056471D"/>
    <w:rsid w:val="0056477A"/>
    <w:rsid w:val="0056484D"/>
    <w:rsid w:val="00564C13"/>
    <w:rsid w:val="00564C94"/>
    <w:rsid w:val="00564CB6"/>
    <w:rsid w:val="00565175"/>
    <w:rsid w:val="005654AD"/>
    <w:rsid w:val="0056569F"/>
    <w:rsid w:val="005657F5"/>
    <w:rsid w:val="00565C77"/>
    <w:rsid w:val="00565F2B"/>
    <w:rsid w:val="00565F8B"/>
    <w:rsid w:val="00566190"/>
    <w:rsid w:val="00566272"/>
    <w:rsid w:val="00566593"/>
    <w:rsid w:val="00566892"/>
    <w:rsid w:val="005669B6"/>
    <w:rsid w:val="005669B8"/>
    <w:rsid w:val="00566BE5"/>
    <w:rsid w:val="0056779E"/>
    <w:rsid w:val="0056787E"/>
    <w:rsid w:val="00567938"/>
    <w:rsid w:val="0056794C"/>
    <w:rsid w:val="00567A9A"/>
    <w:rsid w:val="00567AD6"/>
    <w:rsid w:val="00567B53"/>
    <w:rsid w:val="00567D59"/>
    <w:rsid w:val="00567E18"/>
    <w:rsid w:val="0057073A"/>
    <w:rsid w:val="005707BF"/>
    <w:rsid w:val="005707E6"/>
    <w:rsid w:val="00570D43"/>
    <w:rsid w:val="00570DE9"/>
    <w:rsid w:val="00570E13"/>
    <w:rsid w:val="00570F34"/>
    <w:rsid w:val="00571002"/>
    <w:rsid w:val="005712BD"/>
    <w:rsid w:val="005715B7"/>
    <w:rsid w:val="00571634"/>
    <w:rsid w:val="00571673"/>
    <w:rsid w:val="0057181F"/>
    <w:rsid w:val="00571D2E"/>
    <w:rsid w:val="005720AC"/>
    <w:rsid w:val="00572236"/>
    <w:rsid w:val="00572484"/>
    <w:rsid w:val="00572528"/>
    <w:rsid w:val="005725B2"/>
    <w:rsid w:val="005727B9"/>
    <w:rsid w:val="005729D0"/>
    <w:rsid w:val="00572A6D"/>
    <w:rsid w:val="00572B18"/>
    <w:rsid w:val="00572C0E"/>
    <w:rsid w:val="00573602"/>
    <w:rsid w:val="0057388A"/>
    <w:rsid w:val="0057422B"/>
    <w:rsid w:val="0057451A"/>
    <w:rsid w:val="0057467A"/>
    <w:rsid w:val="005746DF"/>
    <w:rsid w:val="005747BD"/>
    <w:rsid w:val="005749C1"/>
    <w:rsid w:val="00574A8C"/>
    <w:rsid w:val="00574EF8"/>
    <w:rsid w:val="00574F23"/>
    <w:rsid w:val="00574FA6"/>
    <w:rsid w:val="0057510D"/>
    <w:rsid w:val="005755BA"/>
    <w:rsid w:val="005757AF"/>
    <w:rsid w:val="005758F1"/>
    <w:rsid w:val="00575C39"/>
    <w:rsid w:val="00575C6D"/>
    <w:rsid w:val="00575D24"/>
    <w:rsid w:val="00575DB5"/>
    <w:rsid w:val="00575DFC"/>
    <w:rsid w:val="00575E5F"/>
    <w:rsid w:val="00576055"/>
    <w:rsid w:val="00576083"/>
    <w:rsid w:val="005760B5"/>
    <w:rsid w:val="0057615E"/>
    <w:rsid w:val="005764A4"/>
    <w:rsid w:val="005765C6"/>
    <w:rsid w:val="005767D8"/>
    <w:rsid w:val="00576A06"/>
    <w:rsid w:val="00576DB3"/>
    <w:rsid w:val="00576FE7"/>
    <w:rsid w:val="005777FB"/>
    <w:rsid w:val="0057784D"/>
    <w:rsid w:val="00577C3F"/>
    <w:rsid w:val="00577D23"/>
    <w:rsid w:val="00577ED5"/>
    <w:rsid w:val="00577FD0"/>
    <w:rsid w:val="00580133"/>
    <w:rsid w:val="0058041E"/>
    <w:rsid w:val="00580448"/>
    <w:rsid w:val="00580470"/>
    <w:rsid w:val="005805C1"/>
    <w:rsid w:val="00580682"/>
    <w:rsid w:val="005806B0"/>
    <w:rsid w:val="00580833"/>
    <w:rsid w:val="00580841"/>
    <w:rsid w:val="0058098F"/>
    <w:rsid w:val="00580A13"/>
    <w:rsid w:val="00580B69"/>
    <w:rsid w:val="00580D9B"/>
    <w:rsid w:val="005810E4"/>
    <w:rsid w:val="005812ED"/>
    <w:rsid w:val="00581340"/>
    <w:rsid w:val="00581530"/>
    <w:rsid w:val="00581657"/>
    <w:rsid w:val="00581951"/>
    <w:rsid w:val="00581AC6"/>
    <w:rsid w:val="00581BE2"/>
    <w:rsid w:val="00581BE9"/>
    <w:rsid w:val="005821D1"/>
    <w:rsid w:val="0058221A"/>
    <w:rsid w:val="00582270"/>
    <w:rsid w:val="005822FE"/>
    <w:rsid w:val="005823FA"/>
    <w:rsid w:val="00582755"/>
    <w:rsid w:val="005827C8"/>
    <w:rsid w:val="00582C6C"/>
    <w:rsid w:val="00582F7C"/>
    <w:rsid w:val="005831A5"/>
    <w:rsid w:val="0058325F"/>
    <w:rsid w:val="00583310"/>
    <w:rsid w:val="0058334B"/>
    <w:rsid w:val="00583371"/>
    <w:rsid w:val="00583611"/>
    <w:rsid w:val="005837CD"/>
    <w:rsid w:val="00583AB5"/>
    <w:rsid w:val="00583B9C"/>
    <w:rsid w:val="00583D3A"/>
    <w:rsid w:val="0058421F"/>
    <w:rsid w:val="005842CB"/>
    <w:rsid w:val="005848F8"/>
    <w:rsid w:val="00584E41"/>
    <w:rsid w:val="005850CD"/>
    <w:rsid w:val="0058510D"/>
    <w:rsid w:val="005855CD"/>
    <w:rsid w:val="00585993"/>
    <w:rsid w:val="00585A66"/>
    <w:rsid w:val="00585B2C"/>
    <w:rsid w:val="00585CB4"/>
    <w:rsid w:val="00585DBE"/>
    <w:rsid w:val="00585E21"/>
    <w:rsid w:val="00586181"/>
    <w:rsid w:val="00586329"/>
    <w:rsid w:val="005864F3"/>
    <w:rsid w:val="00586AFB"/>
    <w:rsid w:val="00586B77"/>
    <w:rsid w:val="00586F3A"/>
    <w:rsid w:val="00586F84"/>
    <w:rsid w:val="00587262"/>
    <w:rsid w:val="005874B4"/>
    <w:rsid w:val="00587633"/>
    <w:rsid w:val="0058775E"/>
    <w:rsid w:val="00587785"/>
    <w:rsid w:val="00587B1F"/>
    <w:rsid w:val="00587C96"/>
    <w:rsid w:val="00587C98"/>
    <w:rsid w:val="00587EAC"/>
    <w:rsid w:val="00587F0E"/>
    <w:rsid w:val="005901E4"/>
    <w:rsid w:val="005903A9"/>
    <w:rsid w:val="00590741"/>
    <w:rsid w:val="00590D3E"/>
    <w:rsid w:val="00590D5C"/>
    <w:rsid w:val="005911A4"/>
    <w:rsid w:val="00591688"/>
    <w:rsid w:val="00591D31"/>
    <w:rsid w:val="00591F9E"/>
    <w:rsid w:val="00591FCE"/>
    <w:rsid w:val="00591FDA"/>
    <w:rsid w:val="0059206E"/>
    <w:rsid w:val="005921CA"/>
    <w:rsid w:val="00592420"/>
    <w:rsid w:val="0059256F"/>
    <w:rsid w:val="005925C5"/>
    <w:rsid w:val="00592771"/>
    <w:rsid w:val="00592BD2"/>
    <w:rsid w:val="00592C1C"/>
    <w:rsid w:val="005931C4"/>
    <w:rsid w:val="00593615"/>
    <w:rsid w:val="0059363E"/>
    <w:rsid w:val="00593672"/>
    <w:rsid w:val="00593BBA"/>
    <w:rsid w:val="00593EB6"/>
    <w:rsid w:val="00594075"/>
    <w:rsid w:val="005942A5"/>
    <w:rsid w:val="005946F9"/>
    <w:rsid w:val="00594821"/>
    <w:rsid w:val="00594D1D"/>
    <w:rsid w:val="00594F23"/>
    <w:rsid w:val="00594F93"/>
    <w:rsid w:val="00595403"/>
    <w:rsid w:val="0059548F"/>
    <w:rsid w:val="005959AC"/>
    <w:rsid w:val="00595BCF"/>
    <w:rsid w:val="00595E45"/>
    <w:rsid w:val="00595E80"/>
    <w:rsid w:val="00595EBF"/>
    <w:rsid w:val="005961A9"/>
    <w:rsid w:val="00596381"/>
    <w:rsid w:val="005963B7"/>
    <w:rsid w:val="005968D9"/>
    <w:rsid w:val="00596D38"/>
    <w:rsid w:val="00596DAA"/>
    <w:rsid w:val="00596DDE"/>
    <w:rsid w:val="00596EF0"/>
    <w:rsid w:val="00596FF1"/>
    <w:rsid w:val="005970FC"/>
    <w:rsid w:val="00597442"/>
    <w:rsid w:val="00597DCF"/>
    <w:rsid w:val="005A0090"/>
    <w:rsid w:val="005A00F5"/>
    <w:rsid w:val="005A01B6"/>
    <w:rsid w:val="005A05F8"/>
    <w:rsid w:val="005A0769"/>
    <w:rsid w:val="005A0A2B"/>
    <w:rsid w:val="005A14CF"/>
    <w:rsid w:val="005A155E"/>
    <w:rsid w:val="005A162F"/>
    <w:rsid w:val="005A1CBD"/>
    <w:rsid w:val="005A1DCF"/>
    <w:rsid w:val="005A1FEB"/>
    <w:rsid w:val="005A213E"/>
    <w:rsid w:val="005A2566"/>
    <w:rsid w:val="005A258F"/>
    <w:rsid w:val="005A3052"/>
    <w:rsid w:val="005A315D"/>
    <w:rsid w:val="005A32F5"/>
    <w:rsid w:val="005A34CE"/>
    <w:rsid w:val="005A35EE"/>
    <w:rsid w:val="005A3829"/>
    <w:rsid w:val="005A3A35"/>
    <w:rsid w:val="005A3C3A"/>
    <w:rsid w:val="005A3F96"/>
    <w:rsid w:val="005A40C1"/>
    <w:rsid w:val="005A4494"/>
    <w:rsid w:val="005A44B1"/>
    <w:rsid w:val="005A4537"/>
    <w:rsid w:val="005A45C8"/>
    <w:rsid w:val="005A4739"/>
    <w:rsid w:val="005A4823"/>
    <w:rsid w:val="005A4CFC"/>
    <w:rsid w:val="005A4DB8"/>
    <w:rsid w:val="005A4F58"/>
    <w:rsid w:val="005A51CC"/>
    <w:rsid w:val="005A5350"/>
    <w:rsid w:val="005A5607"/>
    <w:rsid w:val="005A566F"/>
    <w:rsid w:val="005A586E"/>
    <w:rsid w:val="005A5C3B"/>
    <w:rsid w:val="005A5C94"/>
    <w:rsid w:val="005A5D27"/>
    <w:rsid w:val="005A5D77"/>
    <w:rsid w:val="005A5E2E"/>
    <w:rsid w:val="005A5F87"/>
    <w:rsid w:val="005A60E6"/>
    <w:rsid w:val="005A6334"/>
    <w:rsid w:val="005A63C2"/>
    <w:rsid w:val="005A6430"/>
    <w:rsid w:val="005A6855"/>
    <w:rsid w:val="005A6943"/>
    <w:rsid w:val="005A6AC7"/>
    <w:rsid w:val="005A6EE8"/>
    <w:rsid w:val="005A6F2D"/>
    <w:rsid w:val="005A6FCF"/>
    <w:rsid w:val="005A78AE"/>
    <w:rsid w:val="005A78F1"/>
    <w:rsid w:val="005A7B60"/>
    <w:rsid w:val="005A7C4D"/>
    <w:rsid w:val="005A7E19"/>
    <w:rsid w:val="005A7F8B"/>
    <w:rsid w:val="005B0391"/>
    <w:rsid w:val="005B0457"/>
    <w:rsid w:val="005B1018"/>
    <w:rsid w:val="005B12FF"/>
    <w:rsid w:val="005B144D"/>
    <w:rsid w:val="005B19C0"/>
    <w:rsid w:val="005B19C3"/>
    <w:rsid w:val="005B1A0F"/>
    <w:rsid w:val="005B1A52"/>
    <w:rsid w:val="005B1B75"/>
    <w:rsid w:val="005B1BB4"/>
    <w:rsid w:val="005B1F6A"/>
    <w:rsid w:val="005B1FA7"/>
    <w:rsid w:val="005B2049"/>
    <w:rsid w:val="005B208C"/>
    <w:rsid w:val="005B21F4"/>
    <w:rsid w:val="005B25EA"/>
    <w:rsid w:val="005B28B9"/>
    <w:rsid w:val="005B28DC"/>
    <w:rsid w:val="005B2E16"/>
    <w:rsid w:val="005B2F3B"/>
    <w:rsid w:val="005B31E0"/>
    <w:rsid w:val="005B377A"/>
    <w:rsid w:val="005B37AB"/>
    <w:rsid w:val="005B3814"/>
    <w:rsid w:val="005B3A4F"/>
    <w:rsid w:val="005B3BC0"/>
    <w:rsid w:val="005B3C1D"/>
    <w:rsid w:val="005B3C2C"/>
    <w:rsid w:val="005B4237"/>
    <w:rsid w:val="005B44C6"/>
    <w:rsid w:val="005B45F6"/>
    <w:rsid w:val="005B4684"/>
    <w:rsid w:val="005B4915"/>
    <w:rsid w:val="005B4AE5"/>
    <w:rsid w:val="005B4EDB"/>
    <w:rsid w:val="005B53A6"/>
    <w:rsid w:val="005B5661"/>
    <w:rsid w:val="005B5B3F"/>
    <w:rsid w:val="005B5CEC"/>
    <w:rsid w:val="005B6396"/>
    <w:rsid w:val="005B64B5"/>
    <w:rsid w:val="005B65D5"/>
    <w:rsid w:val="005B66A8"/>
    <w:rsid w:val="005B671A"/>
    <w:rsid w:val="005B69BB"/>
    <w:rsid w:val="005B6C16"/>
    <w:rsid w:val="005B6C6A"/>
    <w:rsid w:val="005B6D72"/>
    <w:rsid w:val="005B7512"/>
    <w:rsid w:val="005B7870"/>
    <w:rsid w:val="005B7B54"/>
    <w:rsid w:val="005B7D42"/>
    <w:rsid w:val="005B7EB2"/>
    <w:rsid w:val="005C00ED"/>
    <w:rsid w:val="005C00F3"/>
    <w:rsid w:val="005C01BA"/>
    <w:rsid w:val="005C03CB"/>
    <w:rsid w:val="005C05E3"/>
    <w:rsid w:val="005C06E7"/>
    <w:rsid w:val="005C0755"/>
    <w:rsid w:val="005C0A2B"/>
    <w:rsid w:val="005C0F4E"/>
    <w:rsid w:val="005C11E2"/>
    <w:rsid w:val="005C1482"/>
    <w:rsid w:val="005C15F3"/>
    <w:rsid w:val="005C169F"/>
    <w:rsid w:val="005C16D2"/>
    <w:rsid w:val="005C17EC"/>
    <w:rsid w:val="005C213B"/>
    <w:rsid w:val="005C2B67"/>
    <w:rsid w:val="005C2BF2"/>
    <w:rsid w:val="005C2D5C"/>
    <w:rsid w:val="005C2DDF"/>
    <w:rsid w:val="005C2E83"/>
    <w:rsid w:val="005C2F33"/>
    <w:rsid w:val="005C35B4"/>
    <w:rsid w:val="005C36B9"/>
    <w:rsid w:val="005C3821"/>
    <w:rsid w:val="005C3ABC"/>
    <w:rsid w:val="005C3E59"/>
    <w:rsid w:val="005C3E80"/>
    <w:rsid w:val="005C4561"/>
    <w:rsid w:val="005C45D2"/>
    <w:rsid w:val="005C461D"/>
    <w:rsid w:val="005C49EF"/>
    <w:rsid w:val="005C5110"/>
    <w:rsid w:val="005C51C5"/>
    <w:rsid w:val="005C5271"/>
    <w:rsid w:val="005C56C0"/>
    <w:rsid w:val="005C581E"/>
    <w:rsid w:val="005C58C4"/>
    <w:rsid w:val="005C5D39"/>
    <w:rsid w:val="005C5F2A"/>
    <w:rsid w:val="005C5FCD"/>
    <w:rsid w:val="005C6048"/>
    <w:rsid w:val="005C60F1"/>
    <w:rsid w:val="005C63DF"/>
    <w:rsid w:val="005C6730"/>
    <w:rsid w:val="005C693C"/>
    <w:rsid w:val="005C7007"/>
    <w:rsid w:val="005C764B"/>
    <w:rsid w:val="005C770E"/>
    <w:rsid w:val="005C777B"/>
    <w:rsid w:val="005C79D3"/>
    <w:rsid w:val="005C7EFA"/>
    <w:rsid w:val="005D0018"/>
    <w:rsid w:val="005D0473"/>
    <w:rsid w:val="005D0BE1"/>
    <w:rsid w:val="005D0D76"/>
    <w:rsid w:val="005D115D"/>
    <w:rsid w:val="005D1169"/>
    <w:rsid w:val="005D13C6"/>
    <w:rsid w:val="005D1EA7"/>
    <w:rsid w:val="005D2166"/>
    <w:rsid w:val="005D228D"/>
    <w:rsid w:val="005D2365"/>
    <w:rsid w:val="005D24EC"/>
    <w:rsid w:val="005D2546"/>
    <w:rsid w:val="005D2C0B"/>
    <w:rsid w:val="005D2C36"/>
    <w:rsid w:val="005D32C5"/>
    <w:rsid w:val="005D34B1"/>
    <w:rsid w:val="005D359A"/>
    <w:rsid w:val="005D36A1"/>
    <w:rsid w:val="005D3769"/>
    <w:rsid w:val="005D38EA"/>
    <w:rsid w:val="005D396A"/>
    <w:rsid w:val="005D3A96"/>
    <w:rsid w:val="005D3B3C"/>
    <w:rsid w:val="005D3CB6"/>
    <w:rsid w:val="005D4282"/>
    <w:rsid w:val="005D42FE"/>
    <w:rsid w:val="005D45EE"/>
    <w:rsid w:val="005D46B6"/>
    <w:rsid w:val="005D48B9"/>
    <w:rsid w:val="005D4D63"/>
    <w:rsid w:val="005D4D9C"/>
    <w:rsid w:val="005D4F2A"/>
    <w:rsid w:val="005D5459"/>
    <w:rsid w:val="005D5807"/>
    <w:rsid w:val="005D5953"/>
    <w:rsid w:val="005D59D7"/>
    <w:rsid w:val="005D5DF7"/>
    <w:rsid w:val="005D5ECD"/>
    <w:rsid w:val="005D5F26"/>
    <w:rsid w:val="005D6772"/>
    <w:rsid w:val="005D69C1"/>
    <w:rsid w:val="005D6A30"/>
    <w:rsid w:val="005D6BE9"/>
    <w:rsid w:val="005D6CD7"/>
    <w:rsid w:val="005D6F1A"/>
    <w:rsid w:val="005D708A"/>
    <w:rsid w:val="005D711F"/>
    <w:rsid w:val="005D7483"/>
    <w:rsid w:val="005D77C7"/>
    <w:rsid w:val="005D7811"/>
    <w:rsid w:val="005D786A"/>
    <w:rsid w:val="005D79B1"/>
    <w:rsid w:val="005D7E4B"/>
    <w:rsid w:val="005D7F03"/>
    <w:rsid w:val="005D7FBC"/>
    <w:rsid w:val="005E00C5"/>
    <w:rsid w:val="005E03A8"/>
    <w:rsid w:val="005E061E"/>
    <w:rsid w:val="005E062C"/>
    <w:rsid w:val="005E0998"/>
    <w:rsid w:val="005E0BC0"/>
    <w:rsid w:val="005E0CCA"/>
    <w:rsid w:val="005E1356"/>
    <w:rsid w:val="005E1CD3"/>
    <w:rsid w:val="005E203B"/>
    <w:rsid w:val="005E20D6"/>
    <w:rsid w:val="005E234D"/>
    <w:rsid w:val="005E2554"/>
    <w:rsid w:val="005E265D"/>
    <w:rsid w:val="005E2828"/>
    <w:rsid w:val="005E297A"/>
    <w:rsid w:val="005E2A9E"/>
    <w:rsid w:val="005E2C24"/>
    <w:rsid w:val="005E2C74"/>
    <w:rsid w:val="005E2E05"/>
    <w:rsid w:val="005E2FA4"/>
    <w:rsid w:val="005E3007"/>
    <w:rsid w:val="005E36F7"/>
    <w:rsid w:val="005E3869"/>
    <w:rsid w:val="005E39E7"/>
    <w:rsid w:val="005E3AB8"/>
    <w:rsid w:val="005E3AC3"/>
    <w:rsid w:val="005E3BAD"/>
    <w:rsid w:val="005E3EAA"/>
    <w:rsid w:val="005E4067"/>
    <w:rsid w:val="005E44C2"/>
    <w:rsid w:val="005E45AC"/>
    <w:rsid w:val="005E48D3"/>
    <w:rsid w:val="005E4A50"/>
    <w:rsid w:val="005E4AFA"/>
    <w:rsid w:val="005E4BEB"/>
    <w:rsid w:val="005E4C32"/>
    <w:rsid w:val="005E4D99"/>
    <w:rsid w:val="005E4F75"/>
    <w:rsid w:val="005E5035"/>
    <w:rsid w:val="005E538D"/>
    <w:rsid w:val="005E559B"/>
    <w:rsid w:val="005E56C7"/>
    <w:rsid w:val="005E5893"/>
    <w:rsid w:val="005E5F2A"/>
    <w:rsid w:val="005E6056"/>
    <w:rsid w:val="005E60BC"/>
    <w:rsid w:val="005E660F"/>
    <w:rsid w:val="005E6633"/>
    <w:rsid w:val="005E67F4"/>
    <w:rsid w:val="005E6EEA"/>
    <w:rsid w:val="005E7205"/>
    <w:rsid w:val="005E764B"/>
    <w:rsid w:val="005E7929"/>
    <w:rsid w:val="005E7B89"/>
    <w:rsid w:val="005E7B8F"/>
    <w:rsid w:val="005E7DE6"/>
    <w:rsid w:val="005F0117"/>
    <w:rsid w:val="005F03B1"/>
    <w:rsid w:val="005F03CE"/>
    <w:rsid w:val="005F077C"/>
    <w:rsid w:val="005F0921"/>
    <w:rsid w:val="005F0C03"/>
    <w:rsid w:val="005F10C8"/>
    <w:rsid w:val="005F1263"/>
    <w:rsid w:val="005F129A"/>
    <w:rsid w:val="005F15DD"/>
    <w:rsid w:val="005F1654"/>
    <w:rsid w:val="005F17F6"/>
    <w:rsid w:val="005F2032"/>
    <w:rsid w:val="005F203E"/>
    <w:rsid w:val="005F2234"/>
    <w:rsid w:val="005F22E4"/>
    <w:rsid w:val="005F26BD"/>
    <w:rsid w:val="005F2B1B"/>
    <w:rsid w:val="005F2FA7"/>
    <w:rsid w:val="005F2FFC"/>
    <w:rsid w:val="005F3811"/>
    <w:rsid w:val="005F3A86"/>
    <w:rsid w:val="005F3AC8"/>
    <w:rsid w:val="005F3BA8"/>
    <w:rsid w:val="005F3C71"/>
    <w:rsid w:val="005F46D3"/>
    <w:rsid w:val="005F47E8"/>
    <w:rsid w:val="005F4841"/>
    <w:rsid w:val="005F4E28"/>
    <w:rsid w:val="005F4E65"/>
    <w:rsid w:val="005F4EE7"/>
    <w:rsid w:val="005F518C"/>
    <w:rsid w:val="005F5198"/>
    <w:rsid w:val="005F52FC"/>
    <w:rsid w:val="005F56DA"/>
    <w:rsid w:val="005F5870"/>
    <w:rsid w:val="005F5989"/>
    <w:rsid w:val="005F5A58"/>
    <w:rsid w:val="005F5BAD"/>
    <w:rsid w:val="005F606B"/>
    <w:rsid w:val="005F6119"/>
    <w:rsid w:val="005F63B5"/>
    <w:rsid w:val="005F6500"/>
    <w:rsid w:val="005F6B03"/>
    <w:rsid w:val="005F7078"/>
    <w:rsid w:val="005F7513"/>
    <w:rsid w:val="005F75E4"/>
    <w:rsid w:val="005F76A8"/>
    <w:rsid w:val="005F7763"/>
    <w:rsid w:val="005F784E"/>
    <w:rsid w:val="005F78D9"/>
    <w:rsid w:val="005F7A0D"/>
    <w:rsid w:val="005F7DA5"/>
    <w:rsid w:val="005F7F18"/>
    <w:rsid w:val="0060011D"/>
    <w:rsid w:val="006003D6"/>
    <w:rsid w:val="006004D0"/>
    <w:rsid w:val="006005DD"/>
    <w:rsid w:val="00600628"/>
    <w:rsid w:val="00600781"/>
    <w:rsid w:val="006007AF"/>
    <w:rsid w:val="006009E0"/>
    <w:rsid w:val="00600B42"/>
    <w:rsid w:val="00600B5C"/>
    <w:rsid w:val="00600D0B"/>
    <w:rsid w:val="00600E54"/>
    <w:rsid w:val="00601186"/>
    <w:rsid w:val="00601273"/>
    <w:rsid w:val="006012F4"/>
    <w:rsid w:val="00601363"/>
    <w:rsid w:val="0060136C"/>
    <w:rsid w:val="00601558"/>
    <w:rsid w:val="006015E3"/>
    <w:rsid w:val="00601C8B"/>
    <w:rsid w:val="00601CAA"/>
    <w:rsid w:val="00602219"/>
    <w:rsid w:val="00602372"/>
    <w:rsid w:val="006024DA"/>
    <w:rsid w:val="00602524"/>
    <w:rsid w:val="006025F3"/>
    <w:rsid w:val="006026C7"/>
    <w:rsid w:val="00602726"/>
    <w:rsid w:val="00603055"/>
    <w:rsid w:val="00603128"/>
    <w:rsid w:val="00603133"/>
    <w:rsid w:val="0060315E"/>
    <w:rsid w:val="006032BD"/>
    <w:rsid w:val="006035BB"/>
    <w:rsid w:val="0060361E"/>
    <w:rsid w:val="00603760"/>
    <w:rsid w:val="00603C8A"/>
    <w:rsid w:val="00604017"/>
    <w:rsid w:val="0060415A"/>
    <w:rsid w:val="006041E1"/>
    <w:rsid w:val="00604408"/>
    <w:rsid w:val="0060451A"/>
    <w:rsid w:val="00604968"/>
    <w:rsid w:val="00604DFC"/>
    <w:rsid w:val="006051FD"/>
    <w:rsid w:val="006055EE"/>
    <w:rsid w:val="00605632"/>
    <w:rsid w:val="00606068"/>
    <w:rsid w:val="006062DC"/>
    <w:rsid w:val="00606566"/>
    <w:rsid w:val="00606589"/>
    <w:rsid w:val="006066C8"/>
    <w:rsid w:val="00606835"/>
    <w:rsid w:val="0060695D"/>
    <w:rsid w:val="00606A64"/>
    <w:rsid w:val="00606CF1"/>
    <w:rsid w:val="0060713A"/>
    <w:rsid w:val="006077A7"/>
    <w:rsid w:val="006078DF"/>
    <w:rsid w:val="00607D24"/>
    <w:rsid w:val="00607DFA"/>
    <w:rsid w:val="00607F7B"/>
    <w:rsid w:val="006100FB"/>
    <w:rsid w:val="0061033F"/>
    <w:rsid w:val="006103B1"/>
    <w:rsid w:val="0061046A"/>
    <w:rsid w:val="0061059F"/>
    <w:rsid w:val="006105B5"/>
    <w:rsid w:val="00610801"/>
    <w:rsid w:val="0061083F"/>
    <w:rsid w:val="00610968"/>
    <w:rsid w:val="00610A7C"/>
    <w:rsid w:val="00610B2A"/>
    <w:rsid w:val="00610F61"/>
    <w:rsid w:val="0061106D"/>
    <w:rsid w:val="00611542"/>
    <w:rsid w:val="00611549"/>
    <w:rsid w:val="0061158D"/>
    <w:rsid w:val="00611658"/>
    <w:rsid w:val="0061176E"/>
    <w:rsid w:val="0061184D"/>
    <w:rsid w:val="00611AD8"/>
    <w:rsid w:val="00611ED1"/>
    <w:rsid w:val="0061202E"/>
    <w:rsid w:val="00612104"/>
    <w:rsid w:val="0061285C"/>
    <w:rsid w:val="00612868"/>
    <w:rsid w:val="00612924"/>
    <w:rsid w:val="00612B05"/>
    <w:rsid w:val="00612DC9"/>
    <w:rsid w:val="0061309C"/>
    <w:rsid w:val="006134D9"/>
    <w:rsid w:val="006137B6"/>
    <w:rsid w:val="006137DD"/>
    <w:rsid w:val="006137FD"/>
    <w:rsid w:val="0061391E"/>
    <w:rsid w:val="00614083"/>
    <w:rsid w:val="00614112"/>
    <w:rsid w:val="0061433A"/>
    <w:rsid w:val="0061438F"/>
    <w:rsid w:val="00614B72"/>
    <w:rsid w:val="00614C29"/>
    <w:rsid w:val="00614D7E"/>
    <w:rsid w:val="00614FB7"/>
    <w:rsid w:val="00614FEF"/>
    <w:rsid w:val="0061511E"/>
    <w:rsid w:val="0061512E"/>
    <w:rsid w:val="00615813"/>
    <w:rsid w:val="006158E9"/>
    <w:rsid w:val="00615B86"/>
    <w:rsid w:val="00615BF4"/>
    <w:rsid w:val="00615E95"/>
    <w:rsid w:val="00615F5A"/>
    <w:rsid w:val="006160BB"/>
    <w:rsid w:val="006160D1"/>
    <w:rsid w:val="006162CC"/>
    <w:rsid w:val="0061649A"/>
    <w:rsid w:val="006164CF"/>
    <w:rsid w:val="00616931"/>
    <w:rsid w:val="00616996"/>
    <w:rsid w:val="00616C2D"/>
    <w:rsid w:val="00616C7D"/>
    <w:rsid w:val="00616F04"/>
    <w:rsid w:val="00616FA0"/>
    <w:rsid w:val="0061732A"/>
    <w:rsid w:val="0061737C"/>
    <w:rsid w:val="006174BA"/>
    <w:rsid w:val="0061768F"/>
    <w:rsid w:val="0061769C"/>
    <w:rsid w:val="0061773D"/>
    <w:rsid w:val="0061788E"/>
    <w:rsid w:val="0062003E"/>
    <w:rsid w:val="00620070"/>
    <w:rsid w:val="00620247"/>
    <w:rsid w:val="00620333"/>
    <w:rsid w:val="00620414"/>
    <w:rsid w:val="00620771"/>
    <w:rsid w:val="00620920"/>
    <w:rsid w:val="006209C4"/>
    <w:rsid w:val="0062174D"/>
    <w:rsid w:val="00621902"/>
    <w:rsid w:val="00621D5C"/>
    <w:rsid w:val="00621F9E"/>
    <w:rsid w:val="00622399"/>
    <w:rsid w:val="0062242F"/>
    <w:rsid w:val="006225F1"/>
    <w:rsid w:val="00622BE5"/>
    <w:rsid w:val="00622FB1"/>
    <w:rsid w:val="0062318D"/>
    <w:rsid w:val="00623358"/>
    <w:rsid w:val="006234F8"/>
    <w:rsid w:val="00623A2D"/>
    <w:rsid w:val="00623E38"/>
    <w:rsid w:val="00623E90"/>
    <w:rsid w:val="00623FE0"/>
    <w:rsid w:val="00623FEB"/>
    <w:rsid w:val="0062425F"/>
    <w:rsid w:val="0062459E"/>
    <w:rsid w:val="00624643"/>
    <w:rsid w:val="00624794"/>
    <w:rsid w:val="006247C6"/>
    <w:rsid w:val="00624E4C"/>
    <w:rsid w:val="006251F1"/>
    <w:rsid w:val="0062581E"/>
    <w:rsid w:val="0062591C"/>
    <w:rsid w:val="00625CB1"/>
    <w:rsid w:val="00625CB3"/>
    <w:rsid w:val="0062623C"/>
    <w:rsid w:val="0062634F"/>
    <w:rsid w:val="00626357"/>
    <w:rsid w:val="006263E8"/>
    <w:rsid w:val="00626611"/>
    <w:rsid w:val="00626738"/>
    <w:rsid w:val="00626917"/>
    <w:rsid w:val="006269D6"/>
    <w:rsid w:val="00626C1E"/>
    <w:rsid w:val="00626C41"/>
    <w:rsid w:val="00626CAF"/>
    <w:rsid w:val="00626EA0"/>
    <w:rsid w:val="00626FBE"/>
    <w:rsid w:val="0062736C"/>
    <w:rsid w:val="00627406"/>
    <w:rsid w:val="00627B49"/>
    <w:rsid w:val="00627FC9"/>
    <w:rsid w:val="00630009"/>
    <w:rsid w:val="00630156"/>
    <w:rsid w:val="0063028D"/>
    <w:rsid w:val="006303C0"/>
    <w:rsid w:val="006305D9"/>
    <w:rsid w:val="0063087F"/>
    <w:rsid w:val="006308C9"/>
    <w:rsid w:val="006309F9"/>
    <w:rsid w:val="00630A57"/>
    <w:rsid w:val="00630D99"/>
    <w:rsid w:val="00630FB8"/>
    <w:rsid w:val="00631090"/>
    <w:rsid w:val="00631386"/>
    <w:rsid w:val="006313DA"/>
    <w:rsid w:val="006313F1"/>
    <w:rsid w:val="006318B3"/>
    <w:rsid w:val="006318D2"/>
    <w:rsid w:val="00631969"/>
    <w:rsid w:val="00631A4E"/>
    <w:rsid w:val="00631C7C"/>
    <w:rsid w:val="00631D65"/>
    <w:rsid w:val="00632075"/>
    <w:rsid w:val="006323D7"/>
    <w:rsid w:val="00632677"/>
    <w:rsid w:val="006326DA"/>
    <w:rsid w:val="006327A7"/>
    <w:rsid w:val="006328B9"/>
    <w:rsid w:val="00632ECA"/>
    <w:rsid w:val="00632F49"/>
    <w:rsid w:val="00633197"/>
    <w:rsid w:val="006331A7"/>
    <w:rsid w:val="00633709"/>
    <w:rsid w:val="00633D44"/>
    <w:rsid w:val="00633ED6"/>
    <w:rsid w:val="00633F60"/>
    <w:rsid w:val="00634268"/>
    <w:rsid w:val="006342BC"/>
    <w:rsid w:val="006342DC"/>
    <w:rsid w:val="0063438E"/>
    <w:rsid w:val="006344EF"/>
    <w:rsid w:val="006345D1"/>
    <w:rsid w:val="006347AC"/>
    <w:rsid w:val="00634880"/>
    <w:rsid w:val="00634E66"/>
    <w:rsid w:val="00635078"/>
    <w:rsid w:val="0063511A"/>
    <w:rsid w:val="0063514B"/>
    <w:rsid w:val="00635372"/>
    <w:rsid w:val="006354CC"/>
    <w:rsid w:val="00635507"/>
    <w:rsid w:val="00635536"/>
    <w:rsid w:val="006356BA"/>
    <w:rsid w:val="00635805"/>
    <w:rsid w:val="00635921"/>
    <w:rsid w:val="00635B04"/>
    <w:rsid w:val="00635C56"/>
    <w:rsid w:val="00635DC3"/>
    <w:rsid w:val="00635DDD"/>
    <w:rsid w:val="0063601B"/>
    <w:rsid w:val="0063612C"/>
    <w:rsid w:val="00636464"/>
    <w:rsid w:val="006369BF"/>
    <w:rsid w:val="00636A11"/>
    <w:rsid w:val="00636AD8"/>
    <w:rsid w:val="00636C46"/>
    <w:rsid w:val="00636F74"/>
    <w:rsid w:val="00637013"/>
    <w:rsid w:val="0063701C"/>
    <w:rsid w:val="0063704E"/>
    <w:rsid w:val="00637200"/>
    <w:rsid w:val="00637546"/>
    <w:rsid w:val="0063766D"/>
    <w:rsid w:val="006379B3"/>
    <w:rsid w:val="006379E0"/>
    <w:rsid w:val="006402EB"/>
    <w:rsid w:val="00640823"/>
    <w:rsid w:val="006409B5"/>
    <w:rsid w:val="00640B5E"/>
    <w:rsid w:val="00640B6F"/>
    <w:rsid w:val="00640CBE"/>
    <w:rsid w:val="00640E66"/>
    <w:rsid w:val="00641481"/>
    <w:rsid w:val="0064170C"/>
    <w:rsid w:val="006417DF"/>
    <w:rsid w:val="00641806"/>
    <w:rsid w:val="00642004"/>
    <w:rsid w:val="00642020"/>
    <w:rsid w:val="00642459"/>
    <w:rsid w:val="00642572"/>
    <w:rsid w:val="006426F4"/>
    <w:rsid w:val="00642BBD"/>
    <w:rsid w:val="00642CBF"/>
    <w:rsid w:val="00642D37"/>
    <w:rsid w:val="00642D8F"/>
    <w:rsid w:val="00643237"/>
    <w:rsid w:val="0064325F"/>
    <w:rsid w:val="00643482"/>
    <w:rsid w:val="00643588"/>
    <w:rsid w:val="00643AC0"/>
    <w:rsid w:val="00643BFC"/>
    <w:rsid w:val="00643D9A"/>
    <w:rsid w:val="00643D9D"/>
    <w:rsid w:val="00643F97"/>
    <w:rsid w:val="006445E6"/>
    <w:rsid w:val="006445F1"/>
    <w:rsid w:val="00644627"/>
    <w:rsid w:val="00644953"/>
    <w:rsid w:val="00644B6D"/>
    <w:rsid w:val="0064509A"/>
    <w:rsid w:val="006450E4"/>
    <w:rsid w:val="00645105"/>
    <w:rsid w:val="006452A9"/>
    <w:rsid w:val="006452F3"/>
    <w:rsid w:val="006454BA"/>
    <w:rsid w:val="00645784"/>
    <w:rsid w:val="006458C4"/>
    <w:rsid w:val="00645D76"/>
    <w:rsid w:val="00645F6A"/>
    <w:rsid w:val="0064617F"/>
    <w:rsid w:val="00646194"/>
    <w:rsid w:val="00646295"/>
    <w:rsid w:val="00646DF2"/>
    <w:rsid w:val="00647136"/>
    <w:rsid w:val="00647289"/>
    <w:rsid w:val="006474F3"/>
    <w:rsid w:val="00647876"/>
    <w:rsid w:val="00647970"/>
    <w:rsid w:val="00647A9F"/>
    <w:rsid w:val="00647C1C"/>
    <w:rsid w:val="00647D7C"/>
    <w:rsid w:val="00647F97"/>
    <w:rsid w:val="00647F99"/>
    <w:rsid w:val="00650435"/>
    <w:rsid w:val="00650594"/>
    <w:rsid w:val="006507B0"/>
    <w:rsid w:val="00650BFA"/>
    <w:rsid w:val="00650D28"/>
    <w:rsid w:val="0065103E"/>
    <w:rsid w:val="0065130A"/>
    <w:rsid w:val="0065160F"/>
    <w:rsid w:val="00651748"/>
    <w:rsid w:val="00651B78"/>
    <w:rsid w:val="00651BDE"/>
    <w:rsid w:val="00651FFB"/>
    <w:rsid w:val="006521DD"/>
    <w:rsid w:val="00653C26"/>
    <w:rsid w:val="00653C92"/>
    <w:rsid w:val="00653E13"/>
    <w:rsid w:val="00654058"/>
    <w:rsid w:val="006540B8"/>
    <w:rsid w:val="006543C3"/>
    <w:rsid w:val="00654840"/>
    <w:rsid w:val="00654DCE"/>
    <w:rsid w:val="00654EF4"/>
    <w:rsid w:val="0065551A"/>
    <w:rsid w:val="0065559A"/>
    <w:rsid w:val="006559D8"/>
    <w:rsid w:val="00655B71"/>
    <w:rsid w:val="00655B7C"/>
    <w:rsid w:val="00655D6F"/>
    <w:rsid w:val="00655DED"/>
    <w:rsid w:val="00655F10"/>
    <w:rsid w:val="006560EA"/>
    <w:rsid w:val="00656139"/>
    <w:rsid w:val="00656315"/>
    <w:rsid w:val="006563FE"/>
    <w:rsid w:val="006568C1"/>
    <w:rsid w:val="00656B47"/>
    <w:rsid w:val="00656F4B"/>
    <w:rsid w:val="00656F7F"/>
    <w:rsid w:val="0065736D"/>
    <w:rsid w:val="00657461"/>
    <w:rsid w:val="0065757A"/>
    <w:rsid w:val="006575AE"/>
    <w:rsid w:val="00657669"/>
    <w:rsid w:val="00657752"/>
    <w:rsid w:val="006577CA"/>
    <w:rsid w:val="00657AB5"/>
    <w:rsid w:val="00657B21"/>
    <w:rsid w:val="00657B3C"/>
    <w:rsid w:val="00657C91"/>
    <w:rsid w:val="0065BD7C"/>
    <w:rsid w:val="0066067C"/>
    <w:rsid w:val="0066078F"/>
    <w:rsid w:val="0066091C"/>
    <w:rsid w:val="00660A86"/>
    <w:rsid w:val="00660B26"/>
    <w:rsid w:val="00660C20"/>
    <w:rsid w:val="00660D11"/>
    <w:rsid w:val="00660DDF"/>
    <w:rsid w:val="00660DEB"/>
    <w:rsid w:val="00660E27"/>
    <w:rsid w:val="006613AE"/>
    <w:rsid w:val="00661546"/>
    <w:rsid w:val="0066154B"/>
    <w:rsid w:val="00661A1A"/>
    <w:rsid w:val="00661A4D"/>
    <w:rsid w:val="00661CAE"/>
    <w:rsid w:val="00661D56"/>
    <w:rsid w:val="00662206"/>
    <w:rsid w:val="00662276"/>
    <w:rsid w:val="006622F0"/>
    <w:rsid w:val="006625E9"/>
    <w:rsid w:val="006627F5"/>
    <w:rsid w:val="00662A2F"/>
    <w:rsid w:val="00662E3A"/>
    <w:rsid w:val="006635C8"/>
    <w:rsid w:val="00663A58"/>
    <w:rsid w:val="00663B54"/>
    <w:rsid w:val="00663B6D"/>
    <w:rsid w:val="00663C07"/>
    <w:rsid w:val="00663CE9"/>
    <w:rsid w:val="00663DCD"/>
    <w:rsid w:val="00663FBC"/>
    <w:rsid w:val="0066406A"/>
    <w:rsid w:val="00664666"/>
    <w:rsid w:val="00664B14"/>
    <w:rsid w:val="00664C29"/>
    <w:rsid w:val="00664DFD"/>
    <w:rsid w:val="00664FA0"/>
    <w:rsid w:val="0066502C"/>
    <w:rsid w:val="00665041"/>
    <w:rsid w:val="00665807"/>
    <w:rsid w:val="00665979"/>
    <w:rsid w:val="00665987"/>
    <w:rsid w:val="00665A48"/>
    <w:rsid w:val="00665D3E"/>
    <w:rsid w:val="00665F93"/>
    <w:rsid w:val="00666026"/>
    <w:rsid w:val="006660CB"/>
    <w:rsid w:val="006664EE"/>
    <w:rsid w:val="006665FD"/>
    <w:rsid w:val="0066681E"/>
    <w:rsid w:val="00666932"/>
    <w:rsid w:val="00666AB5"/>
    <w:rsid w:val="00666B19"/>
    <w:rsid w:val="00667018"/>
    <w:rsid w:val="00667037"/>
    <w:rsid w:val="00667246"/>
    <w:rsid w:val="00667252"/>
    <w:rsid w:val="006673B3"/>
    <w:rsid w:val="006675C2"/>
    <w:rsid w:val="006677A1"/>
    <w:rsid w:val="0066799B"/>
    <w:rsid w:val="00667C82"/>
    <w:rsid w:val="00667D80"/>
    <w:rsid w:val="00667F40"/>
    <w:rsid w:val="0067002C"/>
    <w:rsid w:val="00670180"/>
    <w:rsid w:val="00670240"/>
    <w:rsid w:val="00670731"/>
    <w:rsid w:val="006708C8"/>
    <w:rsid w:val="006708ED"/>
    <w:rsid w:val="006709F6"/>
    <w:rsid w:val="00670B71"/>
    <w:rsid w:val="00670E96"/>
    <w:rsid w:val="00670F11"/>
    <w:rsid w:val="00671029"/>
    <w:rsid w:val="00671045"/>
    <w:rsid w:val="00671148"/>
    <w:rsid w:val="006711A4"/>
    <w:rsid w:val="00671258"/>
    <w:rsid w:val="0067135A"/>
    <w:rsid w:val="00671412"/>
    <w:rsid w:val="00671469"/>
    <w:rsid w:val="0067152A"/>
    <w:rsid w:val="00671562"/>
    <w:rsid w:val="006715EA"/>
    <w:rsid w:val="00671A4D"/>
    <w:rsid w:val="00671B1E"/>
    <w:rsid w:val="00671DF1"/>
    <w:rsid w:val="00671FC1"/>
    <w:rsid w:val="006720BD"/>
    <w:rsid w:val="00672204"/>
    <w:rsid w:val="006722F7"/>
    <w:rsid w:val="0067236F"/>
    <w:rsid w:val="00672678"/>
    <w:rsid w:val="006729E8"/>
    <w:rsid w:val="00672B89"/>
    <w:rsid w:val="00672CE0"/>
    <w:rsid w:val="00672E31"/>
    <w:rsid w:val="006730ED"/>
    <w:rsid w:val="0067325D"/>
    <w:rsid w:val="00673452"/>
    <w:rsid w:val="00673463"/>
    <w:rsid w:val="00673743"/>
    <w:rsid w:val="0067397E"/>
    <w:rsid w:val="00674D35"/>
    <w:rsid w:val="00674EDF"/>
    <w:rsid w:val="00674F1B"/>
    <w:rsid w:val="006751CD"/>
    <w:rsid w:val="00675416"/>
    <w:rsid w:val="00675709"/>
    <w:rsid w:val="00675730"/>
    <w:rsid w:val="006757D8"/>
    <w:rsid w:val="00675B5E"/>
    <w:rsid w:val="00675D41"/>
    <w:rsid w:val="00675D64"/>
    <w:rsid w:val="00675E78"/>
    <w:rsid w:val="0067615A"/>
    <w:rsid w:val="006764A6"/>
    <w:rsid w:val="0067682B"/>
    <w:rsid w:val="0067689E"/>
    <w:rsid w:val="00676C0B"/>
    <w:rsid w:val="00676DBF"/>
    <w:rsid w:val="006770AB"/>
    <w:rsid w:val="006773D3"/>
    <w:rsid w:val="00677614"/>
    <w:rsid w:val="006779CC"/>
    <w:rsid w:val="006779F3"/>
    <w:rsid w:val="00677C2C"/>
    <w:rsid w:val="00677CA6"/>
    <w:rsid w:val="00677D75"/>
    <w:rsid w:val="00680660"/>
    <w:rsid w:val="006806EC"/>
    <w:rsid w:val="0068076C"/>
    <w:rsid w:val="00680982"/>
    <w:rsid w:val="00680AA8"/>
    <w:rsid w:val="00680E31"/>
    <w:rsid w:val="00680F72"/>
    <w:rsid w:val="00681155"/>
    <w:rsid w:val="006814E4"/>
    <w:rsid w:val="006815C4"/>
    <w:rsid w:val="00681894"/>
    <w:rsid w:val="0068192B"/>
    <w:rsid w:val="00681968"/>
    <w:rsid w:val="00681D5F"/>
    <w:rsid w:val="00682402"/>
    <w:rsid w:val="006824FF"/>
    <w:rsid w:val="00682576"/>
    <w:rsid w:val="0068268C"/>
    <w:rsid w:val="00682ADD"/>
    <w:rsid w:val="00682D61"/>
    <w:rsid w:val="00682F47"/>
    <w:rsid w:val="0068300E"/>
    <w:rsid w:val="00683038"/>
    <w:rsid w:val="006830DB"/>
    <w:rsid w:val="006837B1"/>
    <w:rsid w:val="006838B7"/>
    <w:rsid w:val="00683ACD"/>
    <w:rsid w:val="00683AD5"/>
    <w:rsid w:val="00683B0B"/>
    <w:rsid w:val="00683CFD"/>
    <w:rsid w:val="00683D39"/>
    <w:rsid w:val="006842BA"/>
    <w:rsid w:val="00684421"/>
    <w:rsid w:val="006845C2"/>
    <w:rsid w:val="00684954"/>
    <w:rsid w:val="006849A9"/>
    <w:rsid w:val="00684ACB"/>
    <w:rsid w:val="00684D0A"/>
    <w:rsid w:val="006850F6"/>
    <w:rsid w:val="00685125"/>
    <w:rsid w:val="006852C5"/>
    <w:rsid w:val="0068554F"/>
    <w:rsid w:val="006856E3"/>
    <w:rsid w:val="006857E6"/>
    <w:rsid w:val="00685CF0"/>
    <w:rsid w:val="00685E78"/>
    <w:rsid w:val="00685ED6"/>
    <w:rsid w:val="00686A43"/>
    <w:rsid w:val="00686E7B"/>
    <w:rsid w:val="00686F3C"/>
    <w:rsid w:val="006872E9"/>
    <w:rsid w:val="00687585"/>
    <w:rsid w:val="00687625"/>
    <w:rsid w:val="0068765B"/>
    <w:rsid w:val="0068796D"/>
    <w:rsid w:val="00687A61"/>
    <w:rsid w:val="0068C0C6"/>
    <w:rsid w:val="00690173"/>
    <w:rsid w:val="0069070D"/>
    <w:rsid w:val="006908AA"/>
    <w:rsid w:val="006908E7"/>
    <w:rsid w:val="00690A3B"/>
    <w:rsid w:val="00690B1F"/>
    <w:rsid w:val="00690E78"/>
    <w:rsid w:val="0069124A"/>
    <w:rsid w:val="006914A5"/>
    <w:rsid w:val="006918F5"/>
    <w:rsid w:val="006919CF"/>
    <w:rsid w:val="00691A49"/>
    <w:rsid w:val="00691BAD"/>
    <w:rsid w:val="00691F43"/>
    <w:rsid w:val="00692054"/>
    <w:rsid w:val="00692277"/>
    <w:rsid w:val="006922E3"/>
    <w:rsid w:val="00692317"/>
    <w:rsid w:val="00692530"/>
    <w:rsid w:val="0069276A"/>
    <w:rsid w:val="0069299D"/>
    <w:rsid w:val="00692AB2"/>
    <w:rsid w:val="00692B0F"/>
    <w:rsid w:val="00692FE2"/>
    <w:rsid w:val="006933ED"/>
    <w:rsid w:val="006935CE"/>
    <w:rsid w:val="00693617"/>
    <w:rsid w:val="00693CF0"/>
    <w:rsid w:val="0069405B"/>
    <w:rsid w:val="006940B9"/>
    <w:rsid w:val="00694315"/>
    <w:rsid w:val="006944E6"/>
    <w:rsid w:val="006946FE"/>
    <w:rsid w:val="00694745"/>
    <w:rsid w:val="006948F4"/>
    <w:rsid w:val="006948FC"/>
    <w:rsid w:val="00694B1C"/>
    <w:rsid w:val="00694CFE"/>
    <w:rsid w:val="00694E50"/>
    <w:rsid w:val="00694F11"/>
    <w:rsid w:val="0069502C"/>
    <w:rsid w:val="0069506F"/>
    <w:rsid w:val="0069509C"/>
    <w:rsid w:val="0069540A"/>
    <w:rsid w:val="006958E9"/>
    <w:rsid w:val="0069594C"/>
    <w:rsid w:val="00695C5A"/>
    <w:rsid w:val="00695E79"/>
    <w:rsid w:val="00695F7B"/>
    <w:rsid w:val="006960F0"/>
    <w:rsid w:val="006962B2"/>
    <w:rsid w:val="0069672E"/>
    <w:rsid w:val="0069698F"/>
    <w:rsid w:val="00696F58"/>
    <w:rsid w:val="006971D0"/>
    <w:rsid w:val="00697319"/>
    <w:rsid w:val="006974DB"/>
    <w:rsid w:val="00697732"/>
    <w:rsid w:val="006979C9"/>
    <w:rsid w:val="006A0273"/>
    <w:rsid w:val="006A0394"/>
    <w:rsid w:val="006A050B"/>
    <w:rsid w:val="006A07F1"/>
    <w:rsid w:val="006A08B4"/>
    <w:rsid w:val="006A0BE6"/>
    <w:rsid w:val="006A0C33"/>
    <w:rsid w:val="006A0E51"/>
    <w:rsid w:val="006A0E5B"/>
    <w:rsid w:val="006A0E5C"/>
    <w:rsid w:val="006A0FFD"/>
    <w:rsid w:val="006A1862"/>
    <w:rsid w:val="006A1A28"/>
    <w:rsid w:val="006A1C12"/>
    <w:rsid w:val="006A21AA"/>
    <w:rsid w:val="006A2324"/>
    <w:rsid w:val="006A2422"/>
    <w:rsid w:val="006A2445"/>
    <w:rsid w:val="006A255D"/>
    <w:rsid w:val="006A27CC"/>
    <w:rsid w:val="006A2D93"/>
    <w:rsid w:val="006A3344"/>
    <w:rsid w:val="006A344A"/>
    <w:rsid w:val="006A34D4"/>
    <w:rsid w:val="006A34FB"/>
    <w:rsid w:val="006A34FE"/>
    <w:rsid w:val="006A35D5"/>
    <w:rsid w:val="006A35FC"/>
    <w:rsid w:val="006A377F"/>
    <w:rsid w:val="006A3900"/>
    <w:rsid w:val="006A3B0F"/>
    <w:rsid w:val="006A3FD8"/>
    <w:rsid w:val="006A405C"/>
    <w:rsid w:val="006A40E8"/>
    <w:rsid w:val="006A4254"/>
    <w:rsid w:val="006A4548"/>
    <w:rsid w:val="006A4635"/>
    <w:rsid w:val="006A46EC"/>
    <w:rsid w:val="006A48D2"/>
    <w:rsid w:val="006A4A8F"/>
    <w:rsid w:val="006A4D44"/>
    <w:rsid w:val="006A4E40"/>
    <w:rsid w:val="006A5018"/>
    <w:rsid w:val="006A52B2"/>
    <w:rsid w:val="006A5333"/>
    <w:rsid w:val="006A5468"/>
    <w:rsid w:val="006A56AA"/>
    <w:rsid w:val="006A5B05"/>
    <w:rsid w:val="006A5E7E"/>
    <w:rsid w:val="006A5EF1"/>
    <w:rsid w:val="006A6235"/>
    <w:rsid w:val="006A6AFB"/>
    <w:rsid w:val="006A6EF5"/>
    <w:rsid w:val="006A71E2"/>
    <w:rsid w:val="006A735A"/>
    <w:rsid w:val="006A799F"/>
    <w:rsid w:val="006A7CD9"/>
    <w:rsid w:val="006A7D47"/>
    <w:rsid w:val="006A7DE9"/>
    <w:rsid w:val="006A7ED1"/>
    <w:rsid w:val="006B00FE"/>
    <w:rsid w:val="006B0B68"/>
    <w:rsid w:val="006B112D"/>
    <w:rsid w:val="006B12F0"/>
    <w:rsid w:val="006B14FE"/>
    <w:rsid w:val="006B1CD9"/>
    <w:rsid w:val="006B1F83"/>
    <w:rsid w:val="006B2381"/>
    <w:rsid w:val="006B2563"/>
    <w:rsid w:val="006B28B4"/>
    <w:rsid w:val="006B29A4"/>
    <w:rsid w:val="006B2DDE"/>
    <w:rsid w:val="006B38C1"/>
    <w:rsid w:val="006B3920"/>
    <w:rsid w:val="006B39FA"/>
    <w:rsid w:val="006B3B55"/>
    <w:rsid w:val="006B3B8E"/>
    <w:rsid w:val="006B4007"/>
    <w:rsid w:val="006B415F"/>
    <w:rsid w:val="006B4162"/>
    <w:rsid w:val="006B41E6"/>
    <w:rsid w:val="006B4368"/>
    <w:rsid w:val="006B4443"/>
    <w:rsid w:val="006B4701"/>
    <w:rsid w:val="006B4821"/>
    <w:rsid w:val="006B48E0"/>
    <w:rsid w:val="006B4C08"/>
    <w:rsid w:val="006B4D28"/>
    <w:rsid w:val="006B5408"/>
    <w:rsid w:val="006B547C"/>
    <w:rsid w:val="006B560D"/>
    <w:rsid w:val="006B5A6C"/>
    <w:rsid w:val="006B5CEE"/>
    <w:rsid w:val="006B5F4C"/>
    <w:rsid w:val="006B60B2"/>
    <w:rsid w:val="006B60F4"/>
    <w:rsid w:val="006B61D6"/>
    <w:rsid w:val="006B6315"/>
    <w:rsid w:val="006B6386"/>
    <w:rsid w:val="006B65D6"/>
    <w:rsid w:val="006B6607"/>
    <w:rsid w:val="006B6656"/>
    <w:rsid w:val="006B67A6"/>
    <w:rsid w:val="006B685A"/>
    <w:rsid w:val="006B6B0A"/>
    <w:rsid w:val="006B6EEA"/>
    <w:rsid w:val="006B7330"/>
    <w:rsid w:val="006B7568"/>
    <w:rsid w:val="006B7AB7"/>
    <w:rsid w:val="006B7B04"/>
    <w:rsid w:val="006B7CCD"/>
    <w:rsid w:val="006B7D24"/>
    <w:rsid w:val="006C0027"/>
    <w:rsid w:val="006C0077"/>
    <w:rsid w:val="006C024A"/>
    <w:rsid w:val="006C037D"/>
    <w:rsid w:val="006C03A9"/>
    <w:rsid w:val="006C0636"/>
    <w:rsid w:val="006C0670"/>
    <w:rsid w:val="006C06F9"/>
    <w:rsid w:val="006C08A6"/>
    <w:rsid w:val="006C09A8"/>
    <w:rsid w:val="006C09BB"/>
    <w:rsid w:val="006C0A6E"/>
    <w:rsid w:val="006C0D53"/>
    <w:rsid w:val="006C1213"/>
    <w:rsid w:val="006C1B2C"/>
    <w:rsid w:val="006C1D18"/>
    <w:rsid w:val="006C1DE7"/>
    <w:rsid w:val="006C1F07"/>
    <w:rsid w:val="006C1F84"/>
    <w:rsid w:val="006C21D1"/>
    <w:rsid w:val="006C26C7"/>
    <w:rsid w:val="006C2BD6"/>
    <w:rsid w:val="006C2CF5"/>
    <w:rsid w:val="006C2E88"/>
    <w:rsid w:val="006C2FA3"/>
    <w:rsid w:val="006C2FA5"/>
    <w:rsid w:val="006C3089"/>
    <w:rsid w:val="006C30D7"/>
    <w:rsid w:val="006C31DF"/>
    <w:rsid w:val="006C321C"/>
    <w:rsid w:val="006C39CF"/>
    <w:rsid w:val="006C3B57"/>
    <w:rsid w:val="006C3CB5"/>
    <w:rsid w:val="006C3D01"/>
    <w:rsid w:val="006C3E9E"/>
    <w:rsid w:val="006C40A1"/>
    <w:rsid w:val="006C43E6"/>
    <w:rsid w:val="006C4450"/>
    <w:rsid w:val="006C4698"/>
    <w:rsid w:val="006C4939"/>
    <w:rsid w:val="006C4B5F"/>
    <w:rsid w:val="006C4E45"/>
    <w:rsid w:val="006C4F36"/>
    <w:rsid w:val="006C5132"/>
    <w:rsid w:val="006C527E"/>
    <w:rsid w:val="006C5477"/>
    <w:rsid w:val="006C5517"/>
    <w:rsid w:val="006C5852"/>
    <w:rsid w:val="006C5922"/>
    <w:rsid w:val="006C5C6F"/>
    <w:rsid w:val="006C5DF1"/>
    <w:rsid w:val="006C5F4F"/>
    <w:rsid w:val="006C5FD8"/>
    <w:rsid w:val="006C6758"/>
    <w:rsid w:val="006C67B9"/>
    <w:rsid w:val="006C68BA"/>
    <w:rsid w:val="006C6C54"/>
    <w:rsid w:val="006C6D15"/>
    <w:rsid w:val="006C6E0E"/>
    <w:rsid w:val="006C6E13"/>
    <w:rsid w:val="006C6E5F"/>
    <w:rsid w:val="006C6FBA"/>
    <w:rsid w:val="006C7134"/>
    <w:rsid w:val="006C732F"/>
    <w:rsid w:val="006C7487"/>
    <w:rsid w:val="006C74ED"/>
    <w:rsid w:val="006C78BF"/>
    <w:rsid w:val="006C7AA1"/>
    <w:rsid w:val="006C7E89"/>
    <w:rsid w:val="006D014E"/>
    <w:rsid w:val="006D0479"/>
    <w:rsid w:val="006D050B"/>
    <w:rsid w:val="006D060E"/>
    <w:rsid w:val="006D0BB5"/>
    <w:rsid w:val="006D0BE4"/>
    <w:rsid w:val="006D0DC0"/>
    <w:rsid w:val="006D0F2C"/>
    <w:rsid w:val="006D111B"/>
    <w:rsid w:val="006D1301"/>
    <w:rsid w:val="006D1316"/>
    <w:rsid w:val="006D15F9"/>
    <w:rsid w:val="006D170C"/>
    <w:rsid w:val="006D1909"/>
    <w:rsid w:val="006D19E6"/>
    <w:rsid w:val="006D1A3A"/>
    <w:rsid w:val="006D1FF2"/>
    <w:rsid w:val="006D21A6"/>
    <w:rsid w:val="006D24DC"/>
    <w:rsid w:val="006D2671"/>
    <w:rsid w:val="006D26AC"/>
    <w:rsid w:val="006D26D7"/>
    <w:rsid w:val="006D2AF1"/>
    <w:rsid w:val="006D2B54"/>
    <w:rsid w:val="006D2F78"/>
    <w:rsid w:val="006D39DC"/>
    <w:rsid w:val="006D3A7E"/>
    <w:rsid w:val="006D3BD1"/>
    <w:rsid w:val="006D4257"/>
    <w:rsid w:val="006D4331"/>
    <w:rsid w:val="006D49C1"/>
    <w:rsid w:val="006D4B00"/>
    <w:rsid w:val="006D4D1B"/>
    <w:rsid w:val="006D4DF9"/>
    <w:rsid w:val="006D4FFB"/>
    <w:rsid w:val="006D503A"/>
    <w:rsid w:val="006D57C5"/>
    <w:rsid w:val="006D58BD"/>
    <w:rsid w:val="006D5BF2"/>
    <w:rsid w:val="006D5C87"/>
    <w:rsid w:val="006D61E3"/>
    <w:rsid w:val="006D6462"/>
    <w:rsid w:val="006D6589"/>
    <w:rsid w:val="006D659F"/>
    <w:rsid w:val="006D6BAB"/>
    <w:rsid w:val="006D6BD5"/>
    <w:rsid w:val="006D6C03"/>
    <w:rsid w:val="006D6C64"/>
    <w:rsid w:val="006D715F"/>
    <w:rsid w:val="006D71E2"/>
    <w:rsid w:val="006D7498"/>
    <w:rsid w:val="006D7800"/>
    <w:rsid w:val="006D780E"/>
    <w:rsid w:val="006D7819"/>
    <w:rsid w:val="006D7838"/>
    <w:rsid w:val="006D7B97"/>
    <w:rsid w:val="006D7E5B"/>
    <w:rsid w:val="006D7E5C"/>
    <w:rsid w:val="006E0190"/>
    <w:rsid w:val="006E03D2"/>
    <w:rsid w:val="006E046E"/>
    <w:rsid w:val="006E08B9"/>
    <w:rsid w:val="006E08C6"/>
    <w:rsid w:val="006E0939"/>
    <w:rsid w:val="006E0D8D"/>
    <w:rsid w:val="006E135A"/>
    <w:rsid w:val="006E1457"/>
    <w:rsid w:val="006E15D9"/>
    <w:rsid w:val="006E1714"/>
    <w:rsid w:val="006E1953"/>
    <w:rsid w:val="006E1A64"/>
    <w:rsid w:val="006E1AEC"/>
    <w:rsid w:val="006E1D52"/>
    <w:rsid w:val="006E21FC"/>
    <w:rsid w:val="006E225D"/>
    <w:rsid w:val="006E2584"/>
    <w:rsid w:val="006E2874"/>
    <w:rsid w:val="006E2F0C"/>
    <w:rsid w:val="006E3092"/>
    <w:rsid w:val="006E362A"/>
    <w:rsid w:val="006E362C"/>
    <w:rsid w:val="006E3670"/>
    <w:rsid w:val="006E377E"/>
    <w:rsid w:val="006E3FDA"/>
    <w:rsid w:val="006E4168"/>
    <w:rsid w:val="006E42AC"/>
    <w:rsid w:val="006E439D"/>
    <w:rsid w:val="006E4480"/>
    <w:rsid w:val="006E45B2"/>
    <w:rsid w:val="006E4C84"/>
    <w:rsid w:val="006E5385"/>
    <w:rsid w:val="006E5491"/>
    <w:rsid w:val="006E54D1"/>
    <w:rsid w:val="006E5992"/>
    <w:rsid w:val="006E5A39"/>
    <w:rsid w:val="006E5B1D"/>
    <w:rsid w:val="006E67A5"/>
    <w:rsid w:val="006E681C"/>
    <w:rsid w:val="006E68ED"/>
    <w:rsid w:val="006E6952"/>
    <w:rsid w:val="006E698D"/>
    <w:rsid w:val="006E6AB2"/>
    <w:rsid w:val="006E6C59"/>
    <w:rsid w:val="006E6DAE"/>
    <w:rsid w:val="006E6E9E"/>
    <w:rsid w:val="006E6EB7"/>
    <w:rsid w:val="006E6ECA"/>
    <w:rsid w:val="006E6F47"/>
    <w:rsid w:val="006E6FB3"/>
    <w:rsid w:val="006E7103"/>
    <w:rsid w:val="006E7255"/>
    <w:rsid w:val="006E7429"/>
    <w:rsid w:val="006E7631"/>
    <w:rsid w:val="006E7696"/>
    <w:rsid w:val="006E76CC"/>
    <w:rsid w:val="006E770A"/>
    <w:rsid w:val="006E7868"/>
    <w:rsid w:val="006E7B62"/>
    <w:rsid w:val="006E7C20"/>
    <w:rsid w:val="006E7E33"/>
    <w:rsid w:val="006E7E37"/>
    <w:rsid w:val="006E7EA4"/>
    <w:rsid w:val="006F06FA"/>
    <w:rsid w:val="006F0AF8"/>
    <w:rsid w:val="006F0AFF"/>
    <w:rsid w:val="006F0D1B"/>
    <w:rsid w:val="006F0E9C"/>
    <w:rsid w:val="006F0EB8"/>
    <w:rsid w:val="006F0FAC"/>
    <w:rsid w:val="006F15EA"/>
    <w:rsid w:val="006F18B8"/>
    <w:rsid w:val="006F19F5"/>
    <w:rsid w:val="006F1A32"/>
    <w:rsid w:val="006F1D86"/>
    <w:rsid w:val="006F1E91"/>
    <w:rsid w:val="006F213A"/>
    <w:rsid w:val="006F2211"/>
    <w:rsid w:val="006F246B"/>
    <w:rsid w:val="006F2581"/>
    <w:rsid w:val="006F26D6"/>
    <w:rsid w:val="006F2C4F"/>
    <w:rsid w:val="006F2F84"/>
    <w:rsid w:val="006F31C1"/>
    <w:rsid w:val="006F34F2"/>
    <w:rsid w:val="006F35E0"/>
    <w:rsid w:val="006F35EF"/>
    <w:rsid w:val="006F3827"/>
    <w:rsid w:val="006F386D"/>
    <w:rsid w:val="006F3C37"/>
    <w:rsid w:val="006F3DBF"/>
    <w:rsid w:val="006F3FEA"/>
    <w:rsid w:val="006F4123"/>
    <w:rsid w:val="006F46AA"/>
    <w:rsid w:val="006F46C4"/>
    <w:rsid w:val="006F46FB"/>
    <w:rsid w:val="006F4817"/>
    <w:rsid w:val="006F4BD3"/>
    <w:rsid w:val="006F4BD9"/>
    <w:rsid w:val="006F4D31"/>
    <w:rsid w:val="006F4E06"/>
    <w:rsid w:val="006F4EE3"/>
    <w:rsid w:val="006F51BC"/>
    <w:rsid w:val="006F5462"/>
    <w:rsid w:val="006F56FA"/>
    <w:rsid w:val="006F5E0A"/>
    <w:rsid w:val="006F6305"/>
    <w:rsid w:val="006F63A4"/>
    <w:rsid w:val="006F6578"/>
    <w:rsid w:val="006F67AA"/>
    <w:rsid w:val="006F6A92"/>
    <w:rsid w:val="006F7361"/>
    <w:rsid w:val="006F73AF"/>
    <w:rsid w:val="006F7516"/>
    <w:rsid w:val="006F78C7"/>
    <w:rsid w:val="006F7A1A"/>
    <w:rsid w:val="006F7B33"/>
    <w:rsid w:val="006F7B95"/>
    <w:rsid w:val="006F7BEE"/>
    <w:rsid w:val="006F7BF2"/>
    <w:rsid w:val="006F7EF1"/>
    <w:rsid w:val="006F7F8A"/>
    <w:rsid w:val="00700189"/>
    <w:rsid w:val="00700530"/>
    <w:rsid w:val="0070079F"/>
    <w:rsid w:val="00700C98"/>
    <w:rsid w:val="00701577"/>
    <w:rsid w:val="00701A32"/>
    <w:rsid w:val="00701BFB"/>
    <w:rsid w:val="00701CC1"/>
    <w:rsid w:val="00701CEE"/>
    <w:rsid w:val="00701EF1"/>
    <w:rsid w:val="00701F5F"/>
    <w:rsid w:val="00701FB3"/>
    <w:rsid w:val="0070268F"/>
    <w:rsid w:val="007026DF"/>
    <w:rsid w:val="00702B63"/>
    <w:rsid w:val="00702E37"/>
    <w:rsid w:val="007030CA"/>
    <w:rsid w:val="007038E6"/>
    <w:rsid w:val="00703E69"/>
    <w:rsid w:val="00703EA6"/>
    <w:rsid w:val="007041FA"/>
    <w:rsid w:val="00704224"/>
    <w:rsid w:val="007043B6"/>
    <w:rsid w:val="007045E3"/>
    <w:rsid w:val="007049E0"/>
    <w:rsid w:val="00704ABE"/>
    <w:rsid w:val="00704B8F"/>
    <w:rsid w:val="0070505A"/>
    <w:rsid w:val="00705322"/>
    <w:rsid w:val="0070533F"/>
    <w:rsid w:val="0070542C"/>
    <w:rsid w:val="00705480"/>
    <w:rsid w:val="007054AD"/>
    <w:rsid w:val="007054E9"/>
    <w:rsid w:val="007057C8"/>
    <w:rsid w:val="007058BA"/>
    <w:rsid w:val="00705B13"/>
    <w:rsid w:val="00705DC6"/>
    <w:rsid w:val="00706097"/>
    <w:rsid w:val="007060DE"/>
    <w:rsid w:val="007060E2"/>
    <w:rsid w:val="00706330"/>
    <w:rsid w:val="0070688E"/>
    <w:rsid w:val="00706B13"/>
    <w:rsid w:val="0070759C"/>
    <w:rsid w:val="0070781D"/>
    <w:rsid w:val="0070793C"/>
    <w:rsid w:val="00707FDA"/>
    <w:rsid w:val="00710080"/>
    <w:rsid w:val="007101CB"/>
    <w:rsid w:val="007102B9"/>
    <w:rsid w:val="0071065E"/>
    <w:rsid w:val="007109F1"/>
    <w:rsid w:val="00710BA7"/>
    <w:rsid w:val="00710FF4"/>
    <w:rsid w:val="0071113F"/>
    <w:rsid w:val="00711305"/>
    <w:rsid w:val="0071140D"/>
    <w:rsid w:val="007114CA"/>
    <w:rsid w:val="007115E0"/>
    <w:rsid w:val="007118D9"/>
    <w:rsid w:val="00711A1A"/>
    <w:rsid w:val="00711AF6"/>
    <w:rsid w:val="00711E80"/>
    <w:rsid w:val="007121BF"/>
    <w:rsid w:val="0071227D"/>
    <w:rsid w:val="00712379"/>
    <w:rsid w:val="007125F5"/>
    <w:rsid w:val="00712688"/>
    <w:rsid w:val="007128CA"/>
    <w:rsid w:val="00712AAB"/>
    <w:rsid w:val="00712B9B"/>
    <w:rsid w:val="00712BDE"/>
    <w:rsid w:val="00712BF5"/>
    <w:rsid w:val="00712D69"/>
    <w:rsid w:val="00712DC5"/>
    <w:rsid w:val="007132FF"/>
    <w:rsid w:val="00713584"/>
    <w:rsid w:val="007135A0"/>
    <w:rsid w:val="00713720"/>
    <w:rsid w:val="00713869"/>
    <w:rsid w:val="00713884"/>
    <w:rsid w:val="0071390D"/>
    <w:rsid w:val="007139AD"/>
    <w:rsid w:val="00713BEC"/>
    <w:rsid w:val="00713E23"/>
    <w:rsid w:val="00713F06"/>
    <w:rsid w:val="007141DE"/>
    <w:rsid w:val="00714273"/>
    <w:rsid w:val="007147A2"/>
    <w:rsid w:val="007147DF"/>
    <w:rsid w:val="007148CC"/>
    <w:rsid w:val="0071492F"/>
    <w:rsid w:val="00714AEA"/>
    <w:rsid w:val="00714B4C"/>
    <w:rsid w:val="00714B92"/>
    <w:rsid w:val="00714CA3"/>
    <w:rsid w:val="00714DD9"/>
    <w:rsid w:val="007150C9"/>
    <w:rsid w:val="007153A2"/>
    <w:rsid w:val="007153D6"/>
    <w:rsid w:val="007154A5"/>
    <w:rsid w:val="00715879"/>
    <w:rsid w:val="00715F1A"/>
    <w:rsid w:val="00716098"/>
    <w:rsid w:val="0071654C"/>
    <w:rsid w:val="007169A3"/>
    <w:rsid w:val="007169BF"/>
    <w:rsid w:val="00716AF2"/>
    <w:rsid w:val="00716BFA"/>
    <w:rsid w:val="00717098"/>
    <w:rsid w:val="00717137"/>
    <w:rsid w:val="00717491"/>
    <w:rsid w:val="0071751B"/>
    <w:rsid w:val="00717830"/>
    <w:rsid w:val="0071787A"/>
    <w:rsid w:val="00717ACF"/>
    <w:rsid w:val="00717D0E"/>
    <w:rsid w:val="00717D5E"/>
    <w:rsid w:val="00717EB9"/>
    <w:rsid w:val="00717F3F"/>
    <w:rsid w:val="00717F54"/>
    <w:rsid w:val="007201DF"/>
    <w:rsid w:val="007205E4"/>
    <w:rsid w:val="007208A8"/>
    <w:rsid w:val="00720E13"/>
    <w:rsid w:val="0072107B"/>
    <w:rsid w:val="007211D2"/>
    <w:rsid w:val="00721527"/>
    <w:rsid w:val="00721CEA"/>
    <w:rsid w:val="00721DD7"/>
    <w:rsid w:val="00721E06"/>
    <w:rsid w:val="007221C8"/>
    <w:rsid w:val="007225D3"/>
    <w:rsid w:val="007228D0"/>
    <w:rsid w:val="00722930"/>
    <w:rsid w:val="00722C70"/>
    <w:rsid w:val="00722CD0"/>
    <w:rsid w:val="00722DEC"/>
    <w:rsid w:val="00722FA5"/>
    <w:rsid w:val="007234B7"/>
    <w:rsid w:val="00723647"/>
    <w:rsid w:val="007238E1"/>
    <w:rsid w:val="00723A4A"/>
    <w:rsid w:val="00723B85"/>
    <w:rsid w:val="00723E86"/>
    <w:rsid w:val="00723EBA"/>
    <w:rsid w:val="007240C3"/>
    <w:rsid w:val="0072423C"/>
    <w:rsid w:val="00724534"/>
    <w:rsid w:val="00724606"/>
    <w:rsid w:val="00724711"/>
    <w:rsid w:val="0072498C"/>
    <w:rsid w:val="00724E4F"/>
    <w:rsid w:val="00725438"/>
    <w:rsid w:val="00725521"/>
    <w:rsid w:val="007256AA"/>
    <w:rsid w:val="007256EF"/>
    <w:rsid w:val="00725804"/>
    <w:rsid w:val="0072595A"/>
    <w:rsid w:val="00725B68"/>
    <w:rsid w:val="00725E24"/>
    <w:rsid w:val="0072609C"/>
    <w:rsid w:val="00726135"/>
    <w:rsid w:val="007261F6"/>
    <w:rsid w:val="0072631B"/>
    <w:rsid w:val="00726582"/>
    <w:rsid w:val="007267B5"/>
    <w:rsid w:val="00726951"/>
    <w:rsid w:val="00726BF1"/>
    <w:rsid w:val="00726E77"/>
    <w:rsid w:val="00726EA1"/>
    <w:rsid w:val="00727221"/>
    <w:rsid w:val="00727730"/>
    <w:rsid w:val="0072787F"/>
    <w:rsid w:val="00727919"/>
    <w:rsid w:val="00727B70"/>
    <w:rsid w:val="00727E88"/>
    <w:rsid w:val="007302D2"/>
    <w:rsid w:val="00730444"/>
    <w:rsid w:val="0073086E"/>
    <w:rsid w:val="0073092A"/>
    <w:rsid w:val="00730AA4"/>
    <w:rsid w:val="00730DAE"/>
    <w:rsid w:val="00731267"/>
    <w:rsid w:val="0073135A"/>
    <w:rsid w:val="007313E9"/>
    <w:rsid w:val="00731544"/>
    <w:rsid w:val="0073186D"/>
    <w:rsid w:val="00731994"/>
    <w:rsid w:val="00731BB4"/>
    <w:rsid w:val="007321A8"/>
    <w:rsid w:val="00732282"/>
    <w:rsid w:val="007324A1"/>
    <w:rsid w:val="00732625"/>
    <w:rsid w:val="0073289B"/>
    <w:rsid w:val="00732986"/>
    <w:rsid w:val="00732A71"/>
    <w:rsid w:val="00732D87"/>
    <w:rsid w:val="00732EA0"/>
    <w:rsid w:val="00732EE4"/>
    <w:rsid w:val="0073307E"/>
    <w:rsid w:val="0073318B"/>
    <w:rsid w:val="007334A1"/>
    <w:rsid w:val="00733540"/>
    <w:rsid w:val="0073368E"/>
    <w:rsid w:val="00733723"/>
    <w:rsid w:val="00733BB0"/>
    <w:rsid w:val="00733BE4"/>
    <w:rsid w:val="00733D06"/>
    <w:rsid w:val="00733E19"/>
    <w:rsid w:val="00734322"/>
    <w:rsid w:val="0073454E"/>
    <w:rsid w:val="00734986"/>
    <w:rsid w:val="00734D94"/>
    <w:rsid w:val="00734E8B"/>
    <w:rsid w:val="0073535B"/>
    <w:rsid w:val="00735443"/>
    <w:rsid w:val="007355A1"/>
    <w:rsid w:val="007358D0"/>
    <w:rsid w:val="00735923"/>
    <w:rsid w:val="00735C21"/>
    <w:rsid w:val="00735C7F"/>
    <w:rsid w:val="00735E61"/>
    <w:rsid w:val="007366A5"/>
    <w:rsid w:val="0073675A"/>
    <w:rsid w:val="00736B80"/>
    <w:rsid w:val="00736C65"/>
    <w:rsid w:val="00736CF3"/>
    <w:rsid w:val="00736CFA"/>
    <w:rsid w:val="00736EB5"/>
    <w:rsid w:val="0073712D"/>
    <w:rsid w:val="00737270"/>
    <w:rsid w:val="0073733E"/>
    <w:rsid w:val="007377B5"/>
    <w:rsid w:val="00737A20"/>
    <w:rsid w:val="00737F97"/>
    <w:rsid w:val="007403F6"/>
    <w:rsid w:val="0074047C"/>
    <w:rsid w:val="00740839"/>
    <w:rsid w:val="00740871"/>
    <w:rsid w:val="00740946"/>
    <w:rsid w:val="00740BC1"/>
    <w:rsid w:val="00740CB2"/>
    <w:rsid w:val="00740D2E"/>
    <w:rsid w:val="00740D62"/>
    <w:rsid w:val="00741332"/>
    <w:rsid w:val="00741761"/>
    <w:rsid w:val="007418A9"/>
    <w:rsid w:val="00741AAE"/>
    <w:rsid w:val="00741AAF"/>
    <w:rsid w:val="00741ADE"/>
    <w:rsid w:val="00741D02"/>
    <w:rsid w:val="00741E22"/>
    <w:rsid w:val="007426C3"/>
    <w:rsid w:val="00742783"/>
    <w:rsid w:val="00742B08"/>
    <w:rsid w:val="00742F08"/>
    <w:rsid w:val="0074334B"/>
    <w:rsid w:val="007434C7"/>
    <w:rsid w:val="00743718"/>
    <w:rsid w:val="007437BC"/>
    <w:rsid w:val="007437CF"/>
    <w:rsid w:val="00743A6A"/>
    <w:rsid w:val="00743D6C"/>
    <w:rsid w:val="00744055"/>
    <w:rsid w:val="00744394"/>
    <w:rsid w:val="007446B4"/>
    <w:rsid w:val="0074489B"/>
    <w:rsid w:val="007448EF"/>
    <w:rsid w:val="00745082"/>
    <w:rsid w:val="007452FD"/>
    <w:rsid w:val="007453DA"/>
    <w:rsid w:val="007455FE"/>
    <w:rsid w:val="0074585A"/>
    <w:rsid w:val="0074592C"/>
    <w:rsid w:val="00745A38"/>
    <w:rsid w:val="00745B11"/>
    <w:rsid w:val="00745EF4"/>
    <w:rsid w:val="00745F33"/>
    <w:rsid w:val="00745FB9"/>
    <w:rsid w:val="00745FF3"/>
    <w:rsid w:val="00746097"/>
    <w:rsid w:val="00746136"/>
    <w:rsid w:val="00746280"/>
    <w:rsid w:val="00746424"/>
    <w:rsid w:val="007467E5"/>
    <w:rsid w:val="007468B6"/>
    <w:rsid w:val="007469A8"/>
    <w:rsid w:val="00746C7C"/>
    <w:rsid w:val="00746C9B"/>
    <w:rsid w:val="00746FCA"/>
    <w:rsid w:val="0074703E"/>
    <w:rsid w:val="007470CE"/>
    <w:rsid w:val="007475A8"/>
    <w:rsid w:val="007477CE"/>
    <w:rsid w:val="00747D38"/>
    <w:rsid w:val="00747DB5"/>
    <w:rsid w:val="00747ED3"/>
    <w:rsid w:val="00747EE4"/>
    <w:rsid w:val="00750359"/>
    <w:rsid w:val="00750680"/>
    <w:rsid w:val="007508B9"/>
    <w:rsid w:val="00750A79"/>
    <w:rsid w:val="00750BD6"/>
    <w:rsid w:val="00750D18"/>
    <w:rsid w:val="00750F9C"/>
    <w:rsid w:val="007512DA"/>
    <w:rsid w:val="00751564"/>
    <w:rsid w:val="0075179C"/>
    <w:rsid w:val="00751AFB"/>
    <w:rsid w:val="00751B29"/>
    <w:rsid w:val="00751E90"/>
    <w:rsid w:val="00751F12"/>
    <w:rsid w:val="0075242A"/>
    <w:rsid w:val="00752B5E"/>
    <w:rsid w:val="00752CB2"/>
    <w:rsid w:val="00752DCC"/>
    <w:rsid w:val="00752E76"/>
    <w:rsid w:val="00752EDA"/>
    <w:rsid w:val="00753316"/>
    <w:rsid w:val="00753391"/>
    <w:rsid w:val="007536B2"/>
    <w:rsid w:val="00753735"/>
    <w:rsid w:val="00753CD5"/>
    <w:rsid w:val="00754067"/>
    <w:rsid w:val="00754082"/>
    <w:rsid w:val="0075445C"/>
    <w:rsid w:val="0075453F"/>
    <w:rsid w:val="007545E5"/>
    <w:rsid w:val="00754777"/>
    <w:rsid w:val="00754CB2"/>
    <w:rsid w:val="00754E2B"/>
    <w:rsid w:val="00754ECF"/>
    <w:rsid w:val="007553E6"/>
    <w:rsid w:val="007554A9"/>
    <w:rsid w:val="0075579C"/>
    <w:rsid w:val="007557BE"/>
    <w:rsid w:val="00755B91"/>
    <w:rsid w:val="007561F0"/>
    <w:rsid w:val="0075637B"/>
    <w:rsid w:val="007564EF"/>
    <w:rsid w:val="0075695A"/>
    <w:rsid w:val="00756CAB"/>
    <w:rsid w:val="00757034"/>
    <w:rsid w:val="007570FB"/>
    <w:rsid w:val="00757542"/>
    <w:rsid w:val="007575BC"/>
    <w:rsid w:val="007575C3"/>
    <w:rsid w:val="00757615"/>
    <w:rsid w:val="00757762"/>
    <w:rsid w:val="007578C8"/>
    <w:rsid w:val="007578CF"/>
    <w:rsid w:val="007579E3"/>
    <w:rsid w:val="00757AB3"/>
    <w:rsid w:val="00757AC9"/>
    <w:rsid w:val="00757ACE"/>
    <w:rsid w:val="00757C9C"/>
    <w:rsid w:val="00760436"/>
    <w:rsid w:val="00760642"/>
    <w:rsid w:val="007606C1"/>
    <w:rsid w:val="00760AC1"/>
    <w:rsid w:val="00760B05"/>
    <w:rsid w:val="00760DA5"/>
    <w:rsid w:val="00761106"/>
    <w:rsid w:val="007616FC"/>
    <w:rsid w:val="00761729"/>
    <w:rsid w:val="007618E7"/>
    <w:rsid w:val="00761A53"/>
    <w:rsid w:val="00761D98"/>
    <w:rsid w:val="007622C1"/>
    <w:rsid w:val="0076260E"/>
    <w:rsid w:val="007627D2"/>
    <w:rsid w:val="0076285B"/>
    <w:rsid w:val="00762A60"/>
    <w:rsid w:val="00762A69"/>
    <w:rsid w:val="00762B51"/>
    <w:rsid w:val="00762EAC"/>
    <w:rsid w:val="00762ECE"/>
    <w:rsid w:val="0076356A"/>
    <w:rsid w:val="00763CFC"/>
    <w:rsid w:val="00763E68"/>
    <w:rsid w:val="00763F2D"/>
    <w:rsid w:val="007642C3"/>
    <w:rsid w:val="007642EE"/>
    <w:rsid w:val="007643ED"/>
    <w:rsid w:val="00764759"/>
    <w:rsid w:val="007647C8"/>
    <w:rsid w:val="007648DF"/>
    <w:rsid w:val="00764C94"/>
    <w:rsid w:val="00764C96"/>
    <w:rsid w:val="0076544F"/>
    <w:rsid w:val="007657B1"/>
    <w:rsid w:val="007657E1"/>
    <w:rsid w:val="007658D0"/>
    <w:rsid w:val="00765A1E"/>
    <w:rsid w:val="00765B8C"/>
    <w:rsid w:val="00765DAD"/>
    <w:rsid w:val="0076657F"/>
    <w:rsid w:val="00766B17"/>
    <w:rsid w:val="00766B5A"/>
    <w:rsid w:val="00766DF7"/>
    <w:rsid w:val="00766EB0"/>
    <w:rsid w:val="00766EE9"/>
    <w:rsid w:val="00766F11"/>
    <w:rsid w:val="007673F9"/>
    <w:rsid w:val="00767A1C"/>
    <w:rsid w:val="00767F1D"/>
    <w:rsid w:val="00767FBB"/>
    <w:rsid w:val="00770100"/>
    <w:rsid w:val="007707D9"/>
    <w:rsid w:val="0077086B"/>
    <w:rsid w:val="0077086E"/>
    <w:rsid w:val="00770891"/>
    <w:rsid w:val="00770A23"/>
    <w:rsid w:val="00770EE0"/>
    <w:rsid w:val="00770FDA"/>
    <w:rsid w:val="007712AC"/>
    <w:rsid w:val="00771672"/>
    <w:rsid w:val="0077187F"/>
    <w:rsid w:val="007718CC"/>
    <w:rsid w:val="00771930"/>
    <w:rsid w:val="00771A0D"/>
    <w:rsid w:val="00771FA4"/>
    <w:rsid w:val="007722A4"/>
    <w:rsid w:val="007724D5"/>
    <w:rsid w:val="007727DC"/>
    <w:rsid w:val="007727F9"/>
    <w:rsid w:val="00772C16"/>
    <w:rsid w:val="00772C47"/>
    <w:rsid w:val="00772D68"/>
    <w:rsid w:val="00772F26"/>
    <w:rsid w:val="00773055"/>
    <w:rsid w:val="00773190"/>
    <w:rsid w:val="00773225"/>
    <w:rsid w:val="0077350F"/>
    <w:rsid w:val="00773D0E"/>
    <w:rsid w:val="00773D72"/>
    <w:rsid w:val="00773EF9"/>
    <w:rsid w:val="00773F7E"/>
    <w:rsid w:val="007744E7"/>
    <w:rsid w:val="00774635"/>
    <w:rsid w:val="00774877"/>
    <w:rsid w:val="00774AAA"/>
    <w:rsid w:val="00774BA7"/>
    <w:rsid w:val="00774D3F"/>
    <w:rsid w:val="00775150"/>
    <w:rsid w:val="007751A3"/>
    <w:rsid w:val="007752D2"/>
    <w:rsid w:val="0077530C"/>
    <w:rsid w:val="00775319"/>
    <w:rsid w:val="007755EA"/>
    <w:rsid w:val="00775AB7"/>
    <w:rsid w:val="00775AD3"/>
    <w:rsid w:val="00775C92"/>
    <w:rsid w:val="00775D81"/>
    <w:rsid w:val="00775F08"/>
    <w:rsid w:val="0077621D"/>
    <w:rsid w:val="007763D4"/>
    <w:rsid w:val="00776537"/>
    <w:rsid w:val="007766CE"/>
    <w:rsid w:val="00776AC7"/>
    <w:rsid w:val="00776C2D"/>
    <w:rsid w:val="00776D22"/>
    <w:rsid w:val="00776ED4"/>
    <w:rsid w:val="007772A7"/>
    <w:rsid w:val="007772E2"/>
    <w:rsid w:val="007776FA"/>
    <w:rsid w:val="00777A09"/>
    <w:rsid w:val="00777ABB"/>
    <w:rsid w:val="00777E2F"/>
    <w:rsid w:val="0078067F"/>
    <w:rsid w:val="0078099A"/>
    <w:rsid w:val="007809A4"/>
    <w:rsid w:val="00780C5B"/>
    <w:rsid w:val="00780CD4"/>
    <w:rsid w:val="00781076"/>
    <w:rsid w:val="0078123C"/>
    <w:rsid w:val="007814E0"/>
    <w:rsid w:val="00781513"/>
    <w:rsid w:val="0078176F"/>
    <w:rsid w:val="0078189F"/>
    <w:rsid w:val="0078199D"/>
    <w:rsid w:val="007819E0"/>
    <w:rsid w:val="00781A00"/>
    <w:rsid w:val="00781B44"/>
    <w:rsid w:val="00781B50"/>
    <w:rsid w:val="00781B9E"/>
    <w:rsid w:val="00781E04"/>
    <w:rsid w:val="00781E0C"/>
    <w:rsid w:val="00781FCE"/>
    <w:rsid w:val="00781FD5"/>
    <w:rsid w:val="007820B1"/>
    <w:rsid w:val="0078215E"/>
    <w:rsid w:val="00782463"/>
    <w:rsid w:val="00782594"/>
    <w:rsid w:val="007826AA"/>
    <w:rsid w:val="007826EA"/>
    <w:rsid w:val="00782750"/>
    <w:rsid w:val="00782C1E"/>
    <w:rsid w:val="00782DB3"/>
    <w:rsid w:val="00782E0E"/>
    <w:rsid w:val="00782EE6"/>
    <w:rsid w:val="00782FD3"/>
    <w:rsid w:val="00783069"/>
    <w:rsid w:val="00783332"/>
    <w:rsid w:val="00783454"/>
    <w:rsid w:val="00783519"/>
    <w:rsid w:val="007836C8"/>
    <w:rsid w:val="00784664"/>
    <w:rsid w:val="007846E6"/>
    <w:rsid w:val="007847F8"/>
    <w:rsid w:val="007849E4"/>
    <w:rsid w:val="00784BE0"/>
    <w:rsid w:val="007852FA"/>
    <w:rsid w:val="00785581"/>
    <w:rsid w:val="007855DC"/>
    <w:rsid w:val="00785818"/>
    <w:rsid w:val="007859FC"/>
    <w:rsid w:val="0078600F"/>
    <w:rsid w:val="00786152"/>
    <w:rsid w:val="00786536"/>
    <w:rsid w:val="00786874"/>
    <w:rsid w:val="0078699C"/>
    <w:rsid w:val="00786BDD"/>
    <w:rsid w:val="00786EEB"/>
    <w:rsid w:val="007874D5"/>
    <w:rsid w:val="007879D1"/>
    <w:rsid w:val="0079005F"/>
    <w:rsid w:val="007901A3"/>
    <w:rsid w:val="007901D7"/>
    <w:rsid w:val="00790221"/>
    <w:rsid w:val="00790289"/>
    <w:rsid w:val="00790E4F"/>
    <w:rsid w:val="00790E67"/>
    <w:rsid w:val="0079107A"/>
    <w:rsid w:val="0079116B"/>
    <w:rsid w:val="007912FE"/>
    <w:rsid w:val="0079130D"/>
    <w:rsid w:val="00791491"/>
    <w:rsid w:val="007914D3"/>
    <w:rsid w:val="007918E5"/>
    <w:rsid w:val="0079197B"/>
    <w:rsid w:val="00791AA3"/>
    <w:rsid w:val="007924C9"/>
    <w:rsid w:val="00792750"/>
    <w:rsid w:val="00792AD3"/>
    <w:rsid w:val="007931C8"/>
    <w:rsid w:val="0079339A"/>
    <w:rsid w:val="00793A60"/>
    <w:rsid w:val="00793BF5"/>
    <w:rsid w:val="00793D80"/>
    <w:rsid w:val="00793D84"/>
    <w:rsid w:val="00793E79"/>
    <w:rsid w:val="0079451F"/>
    <w:rsid w:val="007945B9"/>
    <w:rsid w:val="007947F2"/>
    <w:rsid w:val="00794867"/>
    <w:rsid w:val="00794960"/>
    <w:rsid w:val="007949B1"/>
    <w:rsid w:val="00794C50"/>
    <w:rsid w:val="00794E8A"/>
    <w:rsid w:val="00794F28"/>
    <w:rsid w:val="007950CB"/>
    <w:rsid w:val="00795453"/>
    <w:rsid w:val="007957E3"/>
    <w:rsid w:val="00795846"/>
    <w:rsid w:val="00795941"/>
    <w:rsid w:val="00795DA7"/>
    <w:rsid w:val="00795FB5"/>
    <w:rsid w:val="0079600B"/>
    <w:rsid w:val="00796027"/>
    <w:rsid w:val="007962B1"/>
    <w:rsid w:val="007963DB"/>
    <w:rsid w:val="007964A7"/>
    <w:rsid w:val="00796616"/>
    <w:rsid w:val="007967BD"/>
    <w:rsid w:val="00797068"/>
    <w:rsid w:val="007972CC"/>
    <w:rsid w:val="00797338"/>
    <w:rsid w:val="007974CC"/>
    <w:rsid w:val="007974D6"/>
    <w:rsid w:val="007975AB"/>
    <w:rsid w:val="0079799C"/>
    <w:rsid w:val="00797F5D"/>
    <w:rsid w:val="007A001A"/>
    <w:rsid w:val="007A0068"/>
    <w:rsid w:val="007A00F0"/>
    <w:rsid w:val="007A0192"/>
    <w:rsid w:val="007A0280"/>
    <w:rsid w:val="007A08EF"/>
    <w:rsid w:val="007A0B31"/>
    <w:rsid w:val="007A0B37"/>
    <w:rsid w:val="007A0B58"/>
    <w:rsid w:val="007A110F"/>
    <w:rsid w:val="007A1305"/>
    <w:rsid w:val="007A15AA"/>
    <w:rsid w:val="007A1D58"/>
    <w:rsid w:val="007A1D7A"/>
    <w:rsid w:val="007A1E64"/>
    <w:rsid w:val="007A21D6"/>
    <w:rsid w:val="007A2259"/>
    <w:rsid w:val="007A22E2"/>
    <w:rsid w:val="007A23B6"/>
    <w:rsid w:val="007A2488"/>
    <w:rsid w:val="007A248E"/>
    <w:rsid w:val="007A255C"/>
    <w:rsid w:val="007A269A"/>
    <w:rsid w:val="007A27AC"/>
    <w:rsid w:val="007A284C"/>
    <w:rsid w:val="007A2995"/>
    <w:rsid w:val="007A2A27"/>
    <w:rsid w:val="007A2AB2"/>
    <w:rsid w:val="007A2B4B"/>
    <w:rsid w:val="007A2B95"/>
    <w:rsid w:val="007A2BA9"/>
    <w:rsid w:val="007A2E02"/>
    <w:rsid w:val="007A2FDA"/>
    <w:rsid w:val="007A3906"/>
    <w:rsid w:val="007A3996"/>
    <w:rsid w:val="007A39F6"/>
    <w:rsid w:val="007A3C7B"/>
    <w:rsid w:val="007A3DD9"/>
    <w:rsid w:val="007A3F83"/>
    <w:rsid w:val="007A40A2"/>
    <w:rsid w:val="007A4627"/>
    <w:rsid w:val="007A4E3C"/>
    <w:rsid w:val="007A4EFC"/>
    <w:rsid w:val="007A5037"/>
    <w:rsid w:val="007A5217"/>
    <w:rsid w:val="007A5373"/>
    <w:rsid w:val="007A546B"/>
    <w:rsid w:val="007A54AB"/>
    <w:rsid w:val="007A5554"/>
    <w:rsid w:val="007A5DA1"/>
    <w:rsid w:val="007A609C"/>
    <w:rsid w:val="007A6B6F"/>
    <w:rsid w:val="007A6C5A"/>
    <w:rsid w:val="007A6EB8"/>
    <w:rsid w:val="007A6F02"/>
    <w:rsid w:val="007A760D"/>
    <w:rsid w:val="007A7845"/>
    <w:rsid w:val="007A7F63"/>
    <w:rsid w:val="007B00DF"/>
    <w:rsid w:val="007B01E2"/>
    <w:rsid w:val="007B022B"/>
    <w:rsid w:val="007B0319"/>
    <w:rsid w:val="007B0323"/>
    <w:rsid w:val="007B06E1"/>
    <w:rsid w:val="007B0A50"/>
    <w:rsid w:val="007B0AB8"/>
    <w:rsid w:val="007B12AF"/>
    <w:rsid w:val="007B12BE"/>
    <w:rsid w:val="007B16AE"/>
    <w:rsid w:val="007B1BA6"/>
    <w:rsid w:val="007B1DF4"/>
    <w:rsid w:val="007B1E5F"/>
    <w:rsid w:val="007B1F82"/>
    <w:rsid w:val="007B2157"/>
    <w:rsid w:val="007B2260"/>
    <w:rsid w:val="007B228C"/>
    <w:rsid w:val="007B22DB"/>
    <w:rsid w:val="007B2476"/>
    <w:rsid w:val="007B28FF"/>
    <w:rsid w:val="007B30C3"/>
    <w:rsid w:val="007B3200"/>
    <w:rsid w:val="007B331A"/>
    <w:rsid w:val="007B3406"/>
    <w:rsid w:val="007B3457"/>
    <w:rsid w:val="007B35B7"/>
    <w:rsid w:val="007B37C5"/>
    <w:rsid w:val="007B39A3"/>
    <w:rsid w:val="007B3AED"/>
    <w:rsid w:val="007B3F68"/>
    <w:rsid w:val="007B3FA0"/>
    <w:rsid w:val="007B3FDE"/>
    <w:rsid w:val="007B44DE"/>
    <w:rsid w:val="007B4717"/>
    <w:rsid w:val="007B47D7"/>
    <w:rsid w:val="007B4C0D"/>
    <w:rsid w:val="007B4D6C"/>
    <w:rsid w:val="007B5650"/>
    <w:rsid w:val="007B58FC"/>
    <w:rsid w:val="007B5983"/>
    <w:rsid w:val="007B5AEB"/>
    <w:rsid w:val="007B5D9A"/>
    <w:rsid w:val="007B5F6B"/>
    <w:rsid w:val="007B6383"/>
    <w:rsid w:val="007B6778"/>
    <w:rsid w:val="007B68AD"/>
    <w:rsid w:val="007B7197"/>
    <w:rsid w:val="007B71A3"/>
    <w:rsid w:val="007B7483"/>
    <w:rsid w:val="007B750E"/>
    <w:rsid w:val="007B7524"/>
    <w:rsid w:val="007B77A8"/>
    <w:rsid w:val="007B7A19"/>
    <w:rsid w:val="007B7B71"/>
    <w:rsid w:val="007B7D08"/>
    <w:rsid w:val="007C008D"/>
    <w:rsid w:val="007C0317"/>
    <w:rsid w:val="007C033B"/>
    <w:rsid w:val="007C04B1"/>
    <w:rsid w:val="007C06EF"/>
    <w:rsid w:val="007C0723"/>
    <w:rsid w:val="007C0DC4"/>
    <w:rsid w:val="007C0EC2"/>
    <w:rsid w:val="007C0F31"/>
    <w:rsid w:val="007C1010"/>
    <w:rsid w:val="007C1064"/>
    <w:rsid w:val="007C10BF"/>
    <w:rsid w:val="007C1201"/>
    <w:rsid w:val="007C126A"/>
    <w:rsid w:val="007C1577"/>
    <w:rsid w:val="007C180F"/>
    <w:rsid w:val="007C18C2"/>
    <w:rsid w:val="007C1AB7"/>
    <w:rsid w:val="007C1B66"/>
    <w:rsid w:val="007C1EEE"/>
    <w:rsid w:val="007C2160"/>
    <w:rsid w:val="007C21BD"/>
    <w:rsid w:val="007C2241"/>
    <w:rsid w:val="007C2623"/>
    <w:rsid w:val="007C2FD6"/>
    <w:rsid w:val="007C324E"/>
    <w:rsid w:val="007C364A"/>
    <w:rsid w:val="007C3754"/>
    <w:rsid w:val="007C399A"/>
    <w:rsid w:val="007C3DF3"/>
    <w:rsid w:val="007C3ED4"/>
    <w:rsid w:val="007C3FFF"/>
    <w:rsid w:val="007C408E"/>
    <w:rsid w:val="007C474A"/>
    <w:rsid w:val="007C48FD"/>
    <w:rsid w:val="007C49CD"/>
    <w:rsid w:val="007C4B1A"/>
    <w:rsid w:val="007C4CDA"/>
    <w:rsid w:val="007C4D11"/>
    <w:rsid w:val="007C4E2A"/>
    <w:rsid w:val="007C504C"/>
    <w:rsid w:val="007C5188"/>
    <w:rsid w:val="007C5215"/>
    <w:rsid w:val="007C5CE3"/>
    <w:rsid w:val="007C5E83"/>
    <w:rsid w:val="007C5FAF"/>
    <w:rsid w:val="007C61D7"/>
    <w:rsid w:val="007C6583"/>
    <w:rsid w:val="007C65CD"/>
    <w:rsid w:val="007C6A89"/>
    <w:rsid w:val="007C6B1F"/>
    <w:rsid w:val="007C6E22"/>
    <w:rsid w:val="007C750E"/>
    <w:rsid w:val="007C75E6"/>
    <w:rsid w:val="007C7AAD"/>
    <w:rsid w:val="007C7B8A"/>
    <w:rsid w:val="007C7D5A"/>
    <w:rsid w:val="007C7EEA"/>
    <w:rsid w:val="007D06C6"/>
    <w:rsid w:val="007D0D1F"/>
    <w:rsid w:val="007D0EAB"/>
    <w:rsid w:val="007D1027"/>
    <w:rsid w:val="007D119D"/>
    <w:rsid w:val="007D15E5"/>
    <w:rsid w:val="007D1664"/>
    <w:rsid w:val="007D17F3"/>
    <w:rsid w:val="007D18C6"/>
    <w:rsid w:val="007D1B2D"/>
    <w:rsid w:val="007D262C"/>
    <w:rsid w:val="007D262D"/>
    <w:rsid w:val="007D29B4"/>
    <w:rsid w:val="007D2B47"/>
    <w:rsid w:val="007D2F4B"/>
    <w:rsid w:val="007D328B"/>
    <w:rsid w:val="007D3482"/>
    <w:rsid w:val="007D3483"/>
    <w:rsid w:val="007D35F6"/>
    <w:rsid w:val="007D3AA5"/>
    <w:rsid w:val="007D3AC8"/>
    <w:rsid w:val="007D3E0E"/>
    <w:rsid w:val="007D4101"/>
    <w:rsid w:val="007D41AA"/>
    <w:rsid w:val="007D45D2"/>
    <w:rsid w:val="007D4684"/>
    <w:rsid w:val="007D4712"/>
    <w:rsid w:val="007D49C8"/>
    <w:rsid w:val="007D4E73"/>
    <w:rsid w:val="007D4F90"/>
    <w:rsid w:val="007D52E5"/>
    <w:rsid w:val="007D54E8"/>
    <w:rsid w:val="007D569F"/>
    <w:rsid w:val="007D5CD3"/>
    <w:rsid w:val="007D638E"/>
    <w:rsid w:val="007D64FE"/>
    <w:rsid w:val="007D658B"/>
    <w:rsid w:val="007D66E6"/>
    <w:rsid w:val="007D67AD"/>
    <w:rsid w:val="007D6DE5"/>
    <w:rsid w:val="007D6DE7"/>
    <w:rsid w:val="007D710E"/>
    <w:rsid w:val="007D71A9"/>
    <w:rsid w:val="007D737F"/>
    <w:rsid w:val="007D7696"/>
    <w:rsid w:val="007D7E48"/>
    <w:rsid w:val="007D7EBC"/>
    <w:rsid w:val="007D7F0A"/>
    <w:rsid w:val="007E01F6"/>
    <w:rsid w:val="007E0357"/>
    <w:rsid w:val="007E05C0"/>
    <w:rsid w:val="007E06BC"/>
    <w:rsid w:val="007E0D24"/>
    <w:rsid w:val="007E0D3C"/>
    <w:rsid w:val="007E0F1D"/>
    <w:rsid w:val="007E0FA3"/>
    <w:rsid w:val="007E1125"/>
    <w:rsid w:val="007E1172"/>
    <w:rsid w:val="007E1469"/>
    <w:rsid w:val="007E1B64"/>
    <w:rsid w:val="007E1C49"/>
    <w:rsid w:val="007E1C70"/>
    <w:rsid w:val="007E1DE0"/>
    <w:rsid w:val="007E1DF0"/>
    <w:rsid w:val="007E1E27"/>
    <w:rsid w:val="007E201A"/>
    <w:rsid w:val="007E22DF"/>
    <w:rsid w:val="007E230B"/>
    <w:rsid w:val="007E2B18"/>
    <w:rsid w:val="007E2CE9"/>
    <w:rsid w:val="007E33A1"/>
    <w:rsid w:val="007E3666"/>
    <w:rsid w:val="007E398E"/>
    <w:rsid w:val="007E3A2B"/>
    <w:rsid w:val="007E3F4A"/>
    <w:rsid w:val="007E4064"/>
    <w:rsid w:val="007E488B"/>
    <w:rsid w:val="007E4C85"/>
    <w:rsid w:val="007E4DA5"/>
    <w:rsid w:val="007E4F0D"/>
    <w:rsid w:val="007E4F6E"/>
    <w:rsid w:val="007E52D8"/>
    <w:rsid w:val="007E5705"/>
    <w:rsid w:val="007E58FA"/>
    <w:rsid w:val="007E5C5F"/>
    <w:rsid w:val="007E65E9"/>
    <w:rsid w:val="007E66DE"/>
    <w:rsid w:val="007E6767"/>
    <w:rsid w:val="007E708E"/>
    <w:rsid w:val="007E737A"/>
    <w:rsid w:val="007E754C"/>
    <w:rsid w:val="007E7AC3"/>
    <w:rsid w:val="007E7BE7"/>
    <w:rsid w:val="007E7FC3"/>
    <w:rsid w:val="007E7FE3"/>
    <w:rsid w:val="007F0001"/>
    <w:rsid w:val="007F05F6"/>
    <w:rsid w:val="007F061D"/>
    <w:rsid w:val="007F0838"/>
    <w:rsid w:val="007F0C9D"/>
    <w:rsid w:val="007F0F41"/>
    <w:rsid w:val="007F0F46"/>
    <w:rsid w:val="007F12FC"/>
    <w:rsid w:val="007F150F"/>
    <w:rsid w:val="007F16CD"/>
    <w:rsid w:val="007F1BC3"/>
    <w:rsid w:val="007F2269"/>
    <w:rsid w:val="007F25FF"/>
    <w:rsid w:val="007F26D8"/>
    <w:rsid w:val="007F2AF7"/>
    <w:rsid w:val="007F2BB5"/>
    <w:rsid w:val="007F2D71"/>
    <w:rsid w:val="007F2FCA"/>
    <w:rsid w:val="007F3633"/>
    <w:rsid w:val="007F3CB9"/>
    <w:rsid w:val="007F3DDA"/>
    <w:rsid w:val="007F3E9C"/>
    <w:rsid w:val="007F3F5C"/>
    <w:rsid w:val="007F3FEF"/>
    <w:rsid w:val="007F4021"/>
    <w:rsid w:val="007F4888"/>
    <w:rsid w:val="007F4A1D"/>
    <w:rsid w:val="007F4BE6"/>
    <w:rsid w:val="007F4DBF"/>
    <w:rsid w:val="007F5041"/>
    <w:rsid w:val="007F50BE"/>
    <w:rsid w:val="007F5101"/>
    <w:rsid w:val="007F5418"/>
    <w:rsid w:val="007F558F"/>
    <w:rsid w:val="007F56AC"/>
    <w:rsid w:val="007F5759"/>
    <w:rsid w:val="007F58B4"/>
    <w:rsid w:val="007F5979"/>
    <w:rsid w:val="007F59D6"/>
    <w:rsid w:val="007F59D7"/>
    <w:rsid w:val="007F5A1F"/>
    <w:rsid w:val="007F5C6B"/>
    <w:rsid w:val="007F5CE6"/>
    <w:rsid w:val="007F5F7A"/>
    <w:rsid w:val="007F5FB7"/>
    <w:rsid w:val="007F604B"/>
    <w:rsid w:val="007F6140"/>
    <w:rsid w:val="007F629B"/>
    <w:rsid w:val="007F6404"/>
    <w:rsid w:val="007F6B15"/>
    <w:rsid w:val="007F6E16"/>
    <w:rsid w:val="007F70A5"/>
    <w:rsid w:val="007F7456"/>
    <w:rsid w:val="007F7794"/>
    <w:rsid w:val="008000A8"/>
    <w:rsid w:val="00800319"/>
    <w:rsid w:val="008004B3"/>
    <w:rsid w:val="00800869"/>
    <w:rsid w:val="00800B24"/>
    <w:rsid w:val="00800B8A"/>
    <w:rsid w:val="00800B96"/>
    <w:rsid w:val="00801B77"/>
    <w:rsid w:val="00801C41"/>
    <w:rsid w:val="00801DBF"/>
    <w:rsid w:val="00802325"/>
    <w:rsid w:val="00802493"/>
    <w:rsid w:val="008027E2"/>
    <w:rsid w:val="00802816"/>
    <w:rsid w:val="0080283F"/>
    <w:rsid w:val="008028B5"/>
    <w:rsid w:val="008028B9"/>
    <w:rsid w:val="00802930"/>
    <w:rsid w:val="00802B76"/>
    <w:rsid w:val="00802C8B"/>
    <w:rsid w:val="00802F2D"/>
    <w:rsid w:val="008030A2"/>
    <w:rsid w:val="00803167"/>
    <w:rsid w:val="0080369F"/>
    <w:rsid w:val="00803805"/>
    <w:rsid w:val="0080392D"/>
    <w:rsid w:val="00803A70"/>
    <w:rsid w:val="00803AB5"/>
    <w:rsid w:val="00803CBC"/>
    <w:rsid w:val="00804183"/>
    <w:rsid w:val="0080418D"/>
    <w:rsid w:val="00804520"/>
    <w:rsid w:val="00804585"/>
    <w:rsid w:val="0080481D"/>
    <w:rsid w:val="00804EBC"/>
    <w:rsid w:val="00804FC3"/>
    <w:rsid w:val="0080518C"/>
    <w:rsid w:val="00805507"/>
    <w:rsid w:val="00805586"/>
    <w:rsid w:val="00805669"/>
    <w:rsid w:val="0080596A"/>
    <w:rsid w:val="00805C7C"/>
    <w:rsid w:val="0080606F"/>
    <w:rsid w:val="008060B5"/>
    <w:rsid w:val="0080639A"/>
    <w:rsid w:val="00806516"/>
    <w:rsid w:val="0080657D"/>
    <w:rsid w:val="00806771"/>
    <w:rsid w:val="008067A7"/>
    <w:rsid w:val="008069A3"/>
    <w:rsid w:val="00806DE9"/>
    <w:rsid w:val="00806DFF"/>
    <w:rsid w:val="00806E72"/>
    <w:rsid w:val="0080717B"/>
    <w:rsid w:val="00807253"/>
    <w:rsid w:val="0080727C"/>
    <w:rsid w:val="0080760C"/>
    <w:rsid w:val="00807A6B"/>
    <w:rsid w:val="00807DE5"/>
    <w:rsid w:val="00807E15"/>
    <w:rsid w:val="00807F98"/>
    <w:rsid w:val="008100D2"/>
    <w:rsid w:val="008102FC"/>
    <w:rsid w:val="008104B3"/>
    <w:rsid w:val="008104C6"/>
    <w:rsid w:val="00810728"/>
    <w:rsid w:val="00810F70"/>
    <w:rsid w:val="00811355"/>
    <w:rsid w:val="008116AF"/>
    <w:rsid w:val="0081195A"/>
    <w:rsid w:val="00811B61"/>
    <w:rsid w:val="00811C3E"/>
    <w:rsid w:val="00811E1D"/>
    <w:rsid w:val="00811E2B"/>
    <w:rsid w:val="0081205B"/>
    <w:rsid w:val="00812180"/>
    <w:rsid w:val="0081239F"/>
    <w:rsid w:val="0081249E"/>
    <w:rsid w:val="00812667"/>
    <w:rsid w:val="00812861"/>
    <w:rsid w:val="008129F6"/>
    <w:rsid w:val="00812EE4"/>
    <w:rsid w:val="0081327E"/>
    <w:rsid w:val="008132DB"/>
    <w:rsid w:val="008134CC"/>
    <w:rsid w:val="008134F6"/>
    <w:rsid w:val="00813629"/>
    <w:rsid w:val="0081384E"/>
    <w:rsid w:val="00813D2E"/>
    <w:rsid w:val="00813E3A"/>
    <w:rsid w:val="00814089"/>
    <w:rsid w:val="0081410B"/>
    <w:rsid w:val="0081476B"/>
    <w:rsid w:val="008148AD"/>
    <w:rsid w:val="008148E0"/>
    <w:rsid w:val="00814E83"/>
    <w:rsid w:val="00814F39"/>
    <w:rsid w:val="0081516F"/>
    <w:rsid w:val="008151DC"/>
    <w:rsid w:val="00815508"/>
    <w:rsid w:val="00815573"/>
    <w:rsid w:val="008157D7"/>
    <w:rsid w:val="008158D0"/>
    <w:rsid w:val="00815A03"/>
    <w:rsid w:val="00815ADC"/>
    <w:rsid w:val="00815E9B"/>
    <w:rsid w:val="00816290"/>
    <w:rsid w:val="0081658F"/>
    <w:rsid w:val="00816E42"/>
    <w:rsid w:val="0081769E"/>
    <w:rsid w:val="00817729"/>
    <w:rsid w:val="00817A1A"/>
    <w:rsid w:val="00817AB8"/>
    <w:rsid w:val="00817C5A"/>
    <w:rsid w:val="00820327"/>
    <w:rsid w:val="008204B6"/>
    <w:rsid w:val="00820658"/>
    <w:rsid w:val="008206E0"/>
    <w:rsid w:val="0082073C"/>
    <w:rsid w:val="00820741"/>
    <w:rsid w:val="00820B12"/>
    <w:rsid w:val="00820EA1"/>
    <w:rsid w:val="00821072"/>
    <w:rsid w:val="008210DF"/>
    <w:rsid w:val="008215C4"/>
    <w:rsid w:val="0082178B"/>
    <w:rsid w:val="008217C8"/>
    <w:rsid w:val="0082197C"/>
    <w:rsid w:val="00821A51"/>
    <w:rsid w:val="00821D61"/>
    <w:rsid w:val="00821ECD"/>
    <w:rsid w:val="008220D2"/>
    <w:rsid w:val="008224B7"/>
    <w:rsid w:val="0082251E"/>
    <w:rsid w:val="00822608"/>
    <w:rsid w:val="00822737"/>
    <w:rsid w:val="00822971"/>
    <w:rsid w:val="00822B3B"/>
    <w:rsid w:val="008238C9"/>
    <w:rsid w:val="00823B79"/>
    <w:rsid w:val="00823C0D"/>
    <w:rsid w:val="00823F27"/>
    <w:rsid w:val="00824BC8"/>
    <w:rsid w:val="00824C18"/>
    <w:rsid w:val="00825209"/>
    <w:rsid w:val="008252C6"/>
    <w:rsid w:val="008254CE"/>
    <w:rsid w:val="008256E7"/>
    <w:rsid w:val="0082580A"/>
    <w:rsid w:val="008259DB"/>
    <w:rsid w:val="00825A82"/>
    <w:rsid w:val="00825C3D"/>
    <w:rsid w:val="00825D67"/>
    <w:rsid w:val="00826397"/>
    <w:rsid w:val="00826856"/>
    <w:rsid w:val="00826E42"/>
    <w:rsid w:val="00826E85"/>
    <w:rsid w:val="0082708C"/>
    <w:rsid w:val="008274AE"/>
    <w:rsid w:val="0082757A"/>
    <w:rsid w:val="008276AF"/>
    <w:rsid w:val="00827739"/>
    <w:rsid w:val="00827910"/>
    <w:rsid w:val="00827EA3"/>
    <w:rsid w:val="00827F37"/>
    <w:rsid w:val="0083010D"/>
    <w:rsid w:val="008304EC"/>
    <w:rsid w:val="0083050C"/>
    <w:rsid w:val="00830523"/>
    <w:rsid w:val="00830AE2"/>
    <w:rsid w:val="00830E24"/>
    <w:rsid w:val="00830EAF"/>
    <w:rsid w:val="00831227"/>
    <w:rsid w:val="0083129D"/>
    <w:rsid w:val="008312AA"/>
    <w:rsid w:val="00831635"/>
    <w:rsid w:val="00831758"/>
    <w:rsid w:val="00831AAE"/>
    <w:rsid w:val="00831DED"/>
    <w:rsid w:val="00831DF2"/>
    <w:rsid w:val="00831EEB"/>
    <w:rsid w:val="00831F70"/>
    <w:rsid w:val="008322A0"/>
    <w:rsid w:val="008323CD"/>
    <w:rsid w:val="00832646"/>
    <w:rsid w:val="00832796"/>
    <w:rsid w:val="008327A1"/>
    <w:rsid w:val="00832B23"/>
    <w:rsid w:val="00832E8B"/>
    <w:rsid w:val="00832F4A"/>
    <w:rsid w:val="008330C5"/>
    <w:rsid w:val="00833122"/>
    <w:rsid w:val="008331C5"/>
    <w:rsid w:val="008332DD"/>
    <w:rsid w:val="00833406"/>
    <w:rsid w:val="008334D4"/>
    <w:rsid w:val="00833545"/>
    <w:rsid w:val="008337E7"/>
    <w:rsid w:val="008337EC"/>
    <w:rsid w:val="00833A29"/>
    <w:rsid w:val="00833F2E"/>
    <w:rsid w:val="008340EC"/>
    <w:rsid w:val="0083432D"/>
    <w:rsid w:val="0083442E"/>
    <w:rsid w:val="008345E9"/>
    <w:rsid w:val="00834D33"/>
    <w:rsid w:val="00834D8E"/>
    <w:rsid w:val="00834E0F"/>
    <w:rsid w:val="0083508A"/>
    <w:rsid w:val="0083553E"/>
    <w:rsid w:val="00835566"/>
    <w:rsid w:val="00835645"/>
    <w:rsid w:val="0083564C"/>
    <w:rsid w:val="0083576E"/>
    <w:rsid w:val="00835B72"/>
    <w:rsid w:val="00835D1E"/>
    <w:rsid w:val="00835F3F"/>
    <w:rsid w:val="008363FF"/>
    <w:rsid w:val="00836870"/>
    <w:rsid w:val="00836929"/>
    <w:rsid w:val="00836AB7"/>
    <w:rsid w:val="00836C7D"/>
    <w:rsid w:val="00836D99"/>
    <w:rsid w:val="00836DBD"/>
    <w:rsid w:val="00837041"/>
    <w:rsid w:val="008370F1"/>
    <w:rsid w:val="008371C5"/>
    <w:rsid w:val="008371F3"/>
    <w:rsid w:val="0083732F"/>
    <w:rsid w:val="008373C9"/>
    <w:rsid w:val="00837573"/>
    <w:rsid w:val="008376A6"/>
    <w:rsid w:val="00837753"/>
    <w:rsid w:val="008377BD"/>
    <w:rsid w:val="00837914"/>
    <w:rsid w:val="00840053"/>
    <w:rsid w:val="0084009B"/>
    <w:rsid w:val="008409A1"/>
    <w:rsid w:val="00840B8B"/>
    <w:rsid w:val="00840C14"/>
    <w:rsid w:val="008411C0"/>
    <w:rsid w:val="00841294"/>
    <w:rsid w:val="008413FB"/>
    <w:rsid w:val="0084186B"/>
    <w:rsid w:val="00841983"/>
    <w:rsid w:val="00841AD9"/>
    <w:rsid w:val="00841B88"/>
    <w:rsid w:val="0084203A"/>
    <w:rsid w:val="00842185"/>
    <w:rsid w:val="0084278F"/>
    <w:rsid w:val="00842A6C"/>
    <w:rsid w:val="00842C4C"/>
    <w:rsid w:val="00842CAA"/>
    <w:rsid w:val="00842CBB"/>
    <w:rsid w:val="00842D39"/>
    <w:rsid w:val="00842E1E"/>
    <w:rsid w:val="00842EE9"/>
    <w:rsid w:val="00842F6A"/>
    <w:rsid w:val="00843259"/>
    <w:rsid w:val="00843289"/>
    <w:rsid w:val="00843AFD"/>
    <w:rsid w:val="00843B13"/>
    <w:rsid w:val="00843D18"/>
    <w:rsid w:val="008444FF"/>
    <w:rsid w:val="008445C9"/>
    <w:rsid w:val="008447BA"/>
    <w:rsid w:val="008447C0"/>
    <w:rsid w:val="00844A15"/>
    <w:rsid w:val="00844AEF"/>
    <w:rsid w:val="00845166"/>
    <w:rsid w:val="008452FA"/>
    <w:rsid w:val="008453B3"/>
    <w:rsid w:val="008455C6"/>
    <w:rsid w:val="00845601"/>
    <w:rsid w:val="008456B4"/>
    <w:rsid w:val="00845C03"/>
    <w:rsid w:val="008463D9"/>
    <w:rsid w:val="0084647A"/>
    <w:rsid w:val="0084670A"/>
    <w:rsid w:val="0084678F"/>
    <w:rsid w:val="00846C22"/>
    <w:rsid w:val="0084744F"/>
    <w:rsid w:val="00847B55"/>
    <w:rsid w:val="00847CFE"/>
    <w:rsid w:val="00847DD1"/>
    <w:rsid w:val="00850084"/>
    <w:rsid w:val="00850498"/>
    <w:rsid w:val="0085058B"/>
    <w:rsid w:val="00850A37"/>
    <w:rsid w:val="00850CD2"/>
    <w:rsid w:val="00850F35"/>
    <w:rsid w:val="00851431"/>
    <w:rsid w:val="008515C3"/>
    <w:rsid w:val="00851831"/>
    <w:rsid w:val="008518AF"/>
    <w:rsid w:val="00851A5B"/>
    <w:rsid w:val="008520C9"/>
    <w:rsid w:val="00852354"/>
    <w:rsid w:val="00852409"/>
    <w:rsid w:val="008526C6"/>
    <w:rsid w:val="0085275E"/>
    <w:rsid w:val="00852A08"/>
    <w:rsid w:val="00852B80"/>
    <w:rsid w:val="00852D5D"/>
    <w:rsid w:val="00852E11"/>
    <w:rsid w:val="00852FB4"/>
    <w:rsid w:val="00853249"/>
    <w:rsid w:val="008533AB"/>
    <w:rsid w:val="008534FA"/>
    <w:rsid w:val="008537A0"/>
    <w:rsid w:val="00853C13"/>
    <w:rsid w:val="00853D7A"/>
    <w:rsid w:val="00853E9E"/>
    <w:rsid w:val="00854291"/>
    <w:rsid w:val="00854316"/>
    <w:rsid w:val="0085437D"/>
    <w:rsid w:val="00854396"/>
    <w:rsid w:val="008544DB"/>
    <w:rsid w:val="008547D0"/>
    <w:rsid w:val="008547FC"/>
    <w:rsid w:val="00854800"/>
    <w:rsid w:val="00854836"/>
    <w:rsid w:val="00854958"/>
    <w:rsid w:val="00854A26"/>
    <w:rsid w:val="00854BC7"/>
    <w:rsid w:val="00854D12"/>
    <w:rsid w:val="00854D78"/>
    <w:rsid w:val="00854FEB"/>
    <w:rsid w:val="0085501B"/>
    <w:rsid w:val="00855440"/>
    <w:rsid w:val="0085545A"/>
    <w:rsid w:val="008558D9"/>
    <w:rsid w:val="008559A2"/>
    <w:rsid w:val="00855A30"/>
    <w:rsid w:val="00855B2B"/>
    <w:rsid w:val="00855B68"/>
    <w:rsid w:val="00855C3C"/>
    <w:rsid w:val="00855DCD"/>
    <w:rsid w:val="00855EDC"/>
    <w:rsid w:val="00855F42"/>
    <w:rsid w:val="00855FDE"/>
    <w:rsid w:val="00855FE9"/>
    <w:rsid w:val="008562DB"/>
    <w:rsid w:val="0085686B"/>
    <w:rsid w:val="00856A99"/>
    <w:rsid w:val="00856E7E"/>
    <w:rsid w:val="00857040"/>
    <w:rsid w:val="008570F6"/>
    <w:rsid w:val="00857215"/>
    <w:rsid w:val="00857436"/>
    <w:rsid w:val="00857486"/>
    <w:rsid w:val="00857B17"/>
    <w:rsid w:val="00857B69"/>
    <w:rsid w:val="00857E4C"/>
    <w:rsid w:val="00860388"/>
    <w:rsid w:val="00860524"/>
    <w:rsid w:val="008606B9"/>
    <w:rsid w:val="008609D2"/>
    <w:rsid w:val="00860A8F"/>
    <w:rsid w:val="00860AF5"/>
    <w:rsid w:val="00860EDE"/>
    <w:rsid w:val="00860FEC"/>
    <w:rsid w:val="0086106A"/>
    <w:rsid w:val="0086109B"/>
    <w:rsid w:val="008611FF"/>
    <w:rsid w:val="008616A9"/>
    <w:rsid w:val="008616D2"/>
    <w:rsid w:val="008619E6"/>
    <w:rsid w:val="00861B3B"/>
    <w:rsid w:val="00861B42"/>
    <w:rsid w:val="00861D57"/>
    <w:rsid w:val="00861E1D"/>
    <w:rsid w:val="00862226"/>
    <w:rsid w:val="00862989"/>
    <w:rsid w:val="00862DBD"/>
    <w:rsid w:val="00862EA9"/>
    <w:rsid w:val="00863122"/>
    <w:rsid w:val="008633FC"/>
    <w:rsid w:val="0086354E"/>
    <w:rsid w:val="0086365F"/>
    <w:rsid w:val="0086382A"/>
    <w:rsid w:val="008638F7"/>
    <w:rsid w:val="00863907"/>
    <w:rsid w:val="00863C8D"/>
    <w:rsid w:val="0086440C"/>
    <w:rsid w:val="008646A0"/>
    <w:rsid w:val="0086480D"/>
    <w:rsid w:val="00864990"/>
    <w:rsid w:val="008649BD"/>
    <w:rsid w:val="00864B39"/>
    <w:rsid w:val="00864D1E"/>
    <w:rsid w:val="00864DC4"/>
    <w:rsid w:val="00864EDA"/>
    <w:rsid w:val="0086505F"/>
    <w:rsid w:val="008650E3"/>
    <w:rsid w:val="008652C4"/>
    <w:rsid w:val="00865310"/>
    <w:rsid w:val="00865FCB"/>
    <w:rsid w:val="008664B9"/>
    <w:rsid w:val="0086656B"/>
    <w:rsid w:val="008667E4"/>
    <w:rsid w:val="0086699F"/>
    <w:rsid w:val="008669C7"/>
    <w:rsid w:val="00866A60"/>
    <w:rsid w:val="00866D71"/>
    <w:rsid w:val="00867707"/>
    <w:rsid w:val="0086797C"/>
    <w:rsid w:val="00867DB0"/>
    <w:rsid w:val="00867DFE"/>
    <w:rsid w:val="00867E43"/>
    <w:rsid w:val="00867FC4"/>
    <w:rsid w:val="0087001A"/>
    <w:rsid w:val="00870628"/>
    <w:rsid w:val="0087097A"/>
    <w:rsid w:val="00870A46"/>
    <w:rsid w:val="00870D56"/>
    <w:rsid w:val="00870D97"/>
    <w:rsid w:val="00870EF7"/>
    <w:rsid w:val="0087136C"/>
    <w:rsid w:val="0087138A"/>
    <w:rsid w:val="00871561"/>
    <w:rsid w:val="0087158E"/>
    <w:rsid w:val="008717A2"/>
    <w:rsid w:val="008719B3"/>
    <w:rsid w:val="00871BC4"/>
    <w:rsid w:val="00871C07"/>
    <w:rsid w:val="00871C34"/>
    <w:rsid w:val="00871D3A"/>
    <w:rsid w:val="00871FED"/>
    <w:rsid w:val="008725DA"/>
    <w:rsid w:val="00872767"/>
    <w:rsid w:val="00872BD3"/>
    <w:rsid w:val="00872D66"/>
    <w:rsid w:val="00873054"/>
    <w:rsid w:val="00873561"/>
    <w:rsid w:val="00873601"/>
    <w:rsid w:val="00873656"/>
    <w:rsid w:val="00873C98"/>
    <w:rsid w:val="00874012"/>
    <w:rsid w:val="00874256"/>
    <w:rsid w:val="008742FC"/>
    <w:rsid w:val="0087439B"/>
    <w:rsid w:val="0087461C"/>
    <w:rsid w:val="008747F4"/>
    <w:rsid w:val="00874914"/>
    <w:rsid w:val="0087497C"/>
    <w:rsid w:val="00874B6B"/>
    <w:rsid w:val="00874C2F"/>
    <w:rsid w:val="008751B8"/>
    <w:rsid w:val="00875253"/>
    <w:rsid w:val="008752C0"/>
    <w:rsid w:val="008753B8"/>
    <w:rsid w:val="00875489"/>
    <w:rsid w:val="008757C0"/>
    <w:rsid w:val="0087591C"/>
    <w:rsid w:val="00875ABD"/>
    <w:rsid w:val="00875B18"/>
    <w:rsid w:val="00875C0A"/>
    <w:rsid w:val="00875C7C"/>
    <w:rsid w:val="00875EE5"/>
    <w:rsid w:val="00875F0E"/>
    <w:rsid w:val="00875F9B"/>
    <w:rsid w:val="00876039"/>
    <w:rsid w:val="008760E6"/>
    <w:rsid w:val="0087631C"/>
    <w:rsid w:val="0087635B"/>
    <w:rsid w:val="008763E2"/>
    <w:rsid w:val="008764A5"/>
    <w:rsid w:val="00876530"/>
    <w:rsid w:val="008765DA"/>
    <w:rsid w:val="00876954"/>
    <w:rsid w:val="00876BF7"/>
    <w:rsid w:val="00876C19"/>
    <w:rsid w:val="00876D6F"/>
    <w:rsid w:val="00876F13"/>
    <w:rsid w:val="0087716E"/>
    <w:rsid w:val="00877472"/>
    <w:rsid w:val="008777F5"/>
    <w:rsid w:val="008778D9"/>
    <w:rsid w:val="00877E4D"/>
    <w:rsid w:val="00877FC5"/>
    <w:rsid w:val="008800EA"/>
    <w:rsid w:val="0088068E"/>
    <w:rsid w:val="008806B1"/>
    <w:rsid w:val="00880ADB"/>
    <w:rsid w:val="008810E5"/>
    <w:rsid w:val="00881390"/>
    <w:rsid w:val="00881713"/>
    <w:rsid w:val="00881786"/>
    <w:rsid w:val="008818B5"/>
    <w:rsid w:val="00881A46"/>
    <w:rsid w:val="00881DA1"/>
    <w:rsid w:val="008820BF"/>
    <w:rsid w:val="00882449"/>
    <w:rsid w:val="008824D5"/>
    <w:rsid w:val="0088296C"/>
    <w:rsid w:val="00882B54"/>
    <w:rsid w:val="00882B65"/>
    <w:rsid w:val="00882C26"/>
    <w:rsid w:val="00883156"/>
    <w:rsid w:val="0088319D"/>
    <w:rsid w:val="008831EB"/>
    <w:rsid w:val="0088334A"/>
    <w:rsid w:val="008833BE"/>
    <w:rsid w:val="008834CF"/>
    <w:rsid w:val="00883B10"/>
    <w:rsid w:val="00883BD2"/>
    <w:rsid w:val="00883D95"/>
    <w:rsid w:val="00883F25"/>
    <w:rsid w:val="00884243"/>
    <w:rsid w:val="0088452F"/>
    <w:rsid w:val="0088453D"/>
    <w:rsid w:val="00884776"/>
    <w:rsid w:val="0088484A"/>
    <w:rsid w:val="0088495D"/>
    <w:rsid w:val="008849E2"/>
    <w:rsid w:val="00884B88"/>
    <w:rsid w:val="00884C81"/>
    <w:rsid w:val="00884D24"/>
    <w:rsid w:val="00884F1E"/>
    <w:rsid w:val="00884FB4"/>
    <w:rsid w:val="00884FD1"/>
    <w:rsid w:val="0088551F"/>
    <w:rsid w:val="00885636"/>
    <w:rsid w:val="00885B2E"/>
    <w:rsid w:val="00885BC7"/>
    <w:rsid w:val="00885C57"/>
    <w:rsid w:val="00885D19"/>
    <w:rsid w:val="00886293"/>
    <w:rsid w:val="008867EB"/>
    <w:rsid w:val="0088684D"/>
    <w:rsid w:val="00886A68"/>
    <w:rsid w:val="00886A72"/>
    <w:rsid w:val="00886A8F"/>
    <w:rsid w:val="00886DB8"/>
    <w:rsid w:val="00887488"/>
    <w:rsid w:val="008876A5"/>
    <w:rsid w:val="008876BE"/>
    <w:rsid w:val="00887BF9"/>
    <w:rsid w:val="00887C75"/>
    <w:rsid w:val="00887CE7"/>
    <w:rsid w:val="00887F58"/>
    <w:rsid w:val="00890392"/>
    <w:rsid w:val="0089041A"/>
    <w:rsid w:val="008906A1"/>
    <w:rsid w:val="00890847"/>
    <w:rsid w:val="00890957"/>
    <w:rsid w:val="00890AD9"/>
    <w:rsid w:val="00890C21"/>
    <w:rsid w:val="00890CD9"/>
    <w:rsid w:val="00890E7C"/>
    <w:rsid w:val="00890F42"/>
    <w:rsid w:val="0089109F"/>
    <w:rsid w:val="00891227"/>
    <w:rsid w:val="00891432"/>
    <w:rsid w:val="0089147E"/>
    <w:rsid w:val="0089183A"/>
    <w:rsid w:val="00891A91"/>
    <w:rsid w:val="00891DFC"/>
    <w:rsid w:val="00891F6F"/>
    <w:rsid w:val="00892252"/>
    <w:rsid w:val="008924DD"/>
    <w:rsid w:val="00892656"/>
    <w:rsid w:val="00892709"/>
    <w:rsid w:val="00892A37"/>
    <w:rsid w:val="00892B14"/>
    <w:rsid w:val="008931B9"/>
    <w:rsid w:val="008936E9"/>
    <w:rsid w:val="008936FC"/>
    <w:rsid w:val="00893AFA"/>
    <w:rsid w:val="00893BAB"/>
    <w:rsid w:val="00893E53"/>
    <w:rsid w:val="00893EFB"/>
    <w:rsid w:val="00894002"/>
    <w:rsid w:val="00894050"/>
    <w:rsid w:val="00894068"/>
    <w:rsid w:val="00894132"/>
    <w:rsid w:val="00894447"/>
    <w:rsid w:val="00894996"/>
    <w:rsid w:val="00894B2A"/>
    <w:rsid w:val="00894B54"/>
    <w:rsid w:val="00894CB3"/>
    <w:rsid w:val="00894D8B"/>
    <w:rsid w:val="00894EE2"/>
    <w:rsid w:val="0089500D"/>
    <w:rsid w:val="008951B2"/>
    <w:rsid w:val="0089547D"/>
    <w:rsid w:val="008954CC"/>
    <w:rsid w:val="008954E2"/>
    <w:rsid w:val="00895907"/>
    <w:rsid w:val="00895A39"/>
    <w:rsid w:val="00895A6D"/>
    <w:rsid w:val="00895AAD"/>
    <w:rsid w:val="008960DC"/>
    <w:rsid w:val="0089673E"/>
    <w:rsid w:val="00896A9B"/>
    <w:rsid w:val="00896BBF"/>
    <w:rsid w:val="00896D4F"/>
    <w:rsid w:val="008971AA"/>
    <w:rsid w:val="00897433"/>
    <w:rsid w:val="00897476"/>
    <w:rsid w:val="0089748D"/>
    <w:rsid w:val="008977E4"/>
    <w:rsid w:val="008979A0"/>
    <w:rsid w:val="00897C6E"/>
    <w:rsid w:val="00897CA2"/>
    <w:rsid w:val="008A02A0"/>
    <w:rsid w:val="008A0642"/>
    <w:rsid w:val="008A09B9"/>
    <w:rsid w:val="008A0A3C"/>
    <w:rsid w:val="008A0BBE"/>
    <w:rsid w:val="008A0FBD"/>
    <w:rsid w:val="008A1309"/>
    <w:rsid w:val="008A175F"/>
    <w:rsid w:val="008A1772"/>
    <w:rsid w:val="008A17B9"/>
    <w:rsid w:val="008A1A6D"/>
    <w:rsid w:val="008A1CF3"/>
    <w:rsid w:val="008A21C5"/>
    <w:rsid w:val="008A26E4"/>
    <w:rsid w:val="008A2703"/>
    <w:rsid w:val="008A2901"/>
    <w:rsid w:val="008A2E2A"/>
    <w:rsid w:val="008A2E6B"/>
    <w:rsid w:val="008A2FC6"/>
    <w:rsid w:val="008A3344"/>
    <w:rsid w:val="008A3B83"/>
    <w:rsid w:val="008A3EF1"/>
    <w:rsid w:val="008A40D9"/>
    <w:rsid w:val="008A4318"/>
    <w:rsid w:val="008A4409"/>
    <w:rsid w:val="008A445A"/>
    <w:rsid w:val="008A474A"/>
    <w:rsid w:val="008A486E"/>
    <w:rsid w:val="008A4935"/>
    <w:rsid w:val="008A4B5B"/>
    <w:rsid w:val="008A5164"/>
    <w:rsid w:val="008A527B"/>
    <w:rsid w:val="008A5388"/>
    <w:rsid w:val="008A5856"/>
    <w:rsid w:val="008A5D17"/>
    <w:rsid w:val="008A5DCD"/>
    <w:rsid w:val="008A5EAA"/>
    <w:rsid w:val="008A5FA4"/>
    <w:rsid w:val="008A6065"/>
    <w:rsid w:val="008A6124"/>
    <w:rsid w:val="008A629F"/>
    <w:rsid w:val="008A63A0"/>
    <w:rsid w:val="008A653C"/>
    <w:rsid w:val="008A65D0"/>
    <w:rsid w:val="008A660E"/>
    <w:rsid w:val="008A6641"/>
    <w:rsid w:val="008A6725"/>
    <w:rsid w:val="008A6779"/>
    <w:rsid w:val="008A6ACF"/>
    <w:rsid w:val="008A6FD1"/>
    <w:rsid w:val="008A7069"/>
    <w:rsid w:val="008A7287"/>
    <w:rsid w:val="008A74F4"/>
    <w:rsid w:val="008A7561"/>
    <w:rsid w:val="008A7D9D"/>
    <w:rsid w:val="008A7EF3"/>
    <w:rsid w:val="008A7F18"/>
    <w:rsid w:val="008AE104"/>
    <w:rsid w:val="008B0078"/>
    <w:rsid w:val="008B01E0"/>
    <w:rsid w:val="008B02AB"/>
    <w:rsid w:val="008B05ED"/>
    <w:rsid w:val="008B07D4"/>
    <w:rsid w:val="008B097D"/>
    <w:rsid w:val="008B0D2E"/>
    <w:rsid w:val="008B111A"/>
    <w:rsid w:val="008B13DD"/>
    <w:rsid w:val="008B155B"/>
    <w:rsid w:val="008B207A"/>
    <w:rsid w:val="008B2489"/>
    <w:rsid w:val="008B249A"/>
    <w:rsid w:val="008B2D07"/>
    <w:rsid w:val="008B2DFA"/>
    <w:rsid w:val="008B2EF9"/>
    <w:rsid w:val="008B31F8"/>
    <w:rsid w:val="008B3446"/>
    <w:rsid w:val="008B3710"/>
    <w:rsid w:val="008B3BD0"/>
    <w:rsid w:val="008B3FF6"/>
    <w:rsid w:val="008B40E0"/>
    <w:rsid w:val="008B41BE"/>
    <w:rsid w:val="008B4345"/>
    <w:rsid w:val="008B45C5"/>
    <w:rsid w:val="008B46F3"/>
    <w:rsid w:val="008B471F"/>
    <w:rsid w:val="008B4764"/>
    <w:rsid w:val="008B4B24"/>
    <w:rsid w:val="008B4CD4"/>
    <w:rsid w:val="008B4DF1"/>
    <w:rsid w:val="008B4E3B"/>
    <w:rsid w:val="008B52F7"/>
    <w:rsid w:val="008B5684"/>
    <w:rsid w:val="008B5787"/>
    <w:rsid w:val="008B5841"/>
    <w:rsid w:val="008B5A23"/>
    <w:rsid w:val="008B5BDB"/>
    <w:rsid w:val="008B5C32"/>
    <w:rsid w:val="008B62B3"/>
    <w:rsid w:val="008B634F"/>
    <w:rsid w:val="008B6512"/>
    <w:rsid w:val="008B672C"/>
    <w:rsid w:val="008B676C"/>
    <w:rsid w:val="008B6938"/>
    <w:rsid w:val="008B6EEF"/>
    <w:rsid w:val="008B6F80"/>
    <w:rsid w:val="008B76EF"/>
    <w:rsid w:val="008B7B7D"/>
    <w:rsid w:val="008B7C55"/>
    <w:rsid w:val="008B7F8D"/>
    <w:rsid w:val="008C018B"/>
    <w:rsid w:val="008C0546"/>
    <w:rsid w:val="008C06C7"/>
    <w:rsid w:val="008C0E56"/>
    <w:rsid w:val="008C0F65"/>
    <w:rsid w:val="008C0FE4"/>
    <w:rsid w:val="008C10B9"/>
    <w:rsid w:val="008C11EC"/>
    <w:rsid w:val="008C1787"/>
    <w:rsid w:val="008C1B0E"/>
    <w:rsid w:val="008C1E14"/>
    <w:rsid w:val="008C26A2"/>
    <w:rsid w:val="008C27EA"/>
    <w:rsid w:val="008C2F11"/>
    <w:rsid w:val="008C303F"/>
    <w:rsid w:val="008C3308"/>
    <w:rsid w:val="008C3360"/>
    <w:rsid w:val="008C3414"/>
    <w:rsid w:val="008C3427"/>
    <w:rsid w:val="008C352D"/>
    <w:rsid w:val="008C395D"/>
    <w:rsid w:val="008C42D2"/>
    <w:rsid w:val="008C47CC"/>
    <w:rsid w:val="008C4F59"/>
    <w:rsid w:val="008C52E3"/>
    <w:rsid w:val="008C54AD"/>
    <w:rsid w:val="008C56F8"/>
    <w:rsid w:val="008C5843"/>
    <w:rsid w:val="008C5896"/>
    <w:rsid w:val="008C5976"/>
    <w:rsid w:val="008C5A0C"/>
    <w:rsid w:val="008C5AB9"/>
    <w:rsid w:val="008C5AF1"/>
    <w:rsid w:val="008C60E4"/>
    <w:rsid w:val="008C6319"/>
    <w:rsid w:val="008C6468"/>
    <w:rsid w:val="008C6858"/>
    <w:rsid w:val="008C6933"/>
    <w:rsid w:val="008C6A95"/>
    <w:rsid w:val="008C6B0C"/>
    <w:rsid w:val="008C6FE7"/>
    <w:rsid w:val="008C71AC"/>
    <w:rsid w:val="008C73B8"/>
    <w:rsid w:val="008C752C"/>
    <w:rsid w:val="008C771D"/>
    <w:rsid w:val="008C77DA"/>
    <w:rsid w:val="008C783C"/>
    <w:rsid w:val="008C7B50"/>
    <w:rsid w:val="008C7BC7"/>
    <w:rsid w:val="008C7CA5"/>
    <w:rsid w:val="008C7DF3"/>
    <w:rsid w:val="008C7E95"/>
    <w:rsid w:val="008C7FED"/>
    <w:rsid w:val="008D031D"/>
    <w:rsid w:val="008D043E"/>
    <w:rsid w:val="008D04C4"/>
    <w:rsid w:val="008D0595"/>
    <w:rsid w:val="008D07ED"/>
    <w:rsid w:val="008D0A8E"/>
    <w:rsid w:val="008D0B74"/>
    <w:rsid w:val="008D0BAC"/>
    <w:rsid w:val="008D0C10"/>
    <w:rsid w:val="008D0D0D"/>
    <w:rsid w:val="008D1184"/>
    <w:rsid w:val="008D1558"/>
    <w:rsid w:val="008D1600"/>
    <w:rsid w:val="008D182E"/>
    <w:rsid w:val="008D1838"/>
    <w:rsid w:val="008D1BF4"/>
    <w:rsid w:val="008D1C77"/>
    <w:rsid w:val="008D1C9A"/>
    <w:rsid w:val="008D2168"/>
    <w:rsid w:val="008D21C2"/>
    <w:rsid w:val="008D26F6"/>
    <w:rsid w:val="008D2866"/>
    <w:rsid w:val="008D2DB6"/>
    <w:rsid w:val="008D303F"/>
    <w:rsid w:val="008D32B0"/>
    <w:rsid w:val="008D339D"/>
    <w:rsid w:val="008D3428"/>
    <w:rsid w:val="008D3481"/>
    <w:rsid w:val="008D34BE"/>
    <w:rsid w:val="008D387E"/>
    <w:rsid w:val="008D3E57"/>
    <w:rsid w:val="008D3EAD"/>
    <w:rsid w:val="008D4070"/>
    <w:rsid w:val="008D40B9"/>
    <w:rsid w:val="008D412C"/>
    <w:rsid w:val="008D47A5"/>
    <w:rsid w:val="008D4805"/>
    <w:rsid w:val="008D4AC8"/>
    <w:rsid w:val="008D4B33"/>
    <w:rsid w:val="008D4F25"/>
    <w:rsid w:val="008D4F9A"/>
    <w:rsid w:val="008D52D1"/>
    <w:rsid w:val="008D5C5E"/>
    <w:rsid w:val="008D5FA8"/>
    <w:rsid w:val="008D606E"/>
    <w:rsid w:val="008D6303"/>
    <w:rsid w:val="008D6A00"/>
    <w:rsid w:val="008D6C5D"/>
    <w:rsid w:val="008D6CCD"/>
    <w:rsid w:val="008D6E24"/>
    <w:rsid w:val="008D6F7B"/>
    <w:rsid w:val="008D701D"/>
    <w:rsid w:val="008D70CB"/>
    <w:rsid w:val="008D72BE"/>
    <w:rsid w:val="008D7676"/>
    <w:rsid w:val="008D7817"/>
    <w:rsid w:val="008D7A1E"/>
    <w:rsid w:val="008D7BAE"/>
    <w:rsid w:val="008D7EB0"/>
    <w:rsid w:val="008D7F6F"/>
    <w:rsid w:val="008E023F"/>
    <w:rsid w:val="008E041F"/>
    <w:rsid w:val="008E064F"/>
    <w:rsid w:val="008E08FD"/>
    <w:rsid w:val="008E0A04"/>
    <w:rsid w:val="008E0B17"/>
    <w:rsid w:val="008E0C38"/>
    <w:rsid w:val="008E0CF3"/>
    <w:rsid w:val="008E1567"/>
    <w:rsid w:val="008E16FC"/>
    <w:rsid w:val="008E1B0D"/>
    <w:rsid w:val="008E1D22"/>
    <w:rsid w:val="008E1FA5"/>
    <w:rsid w:val="008E2063"/>
    <w:rsid w:val="008E2238"/>
    <w:rsid w:val="008E2281"/>
    <w:rsid w:val="008E2287"/>
    <w:rsid w:val="008E26B9"/>
    <w:rsid w:val="008E26C4"/>
    <w:rsid w:val="008E2817"/>
    <w:rsid w:val="008E2855"/>
    <w:rsid w:val="008E2944"/>
    <w:rsid w:val="008E2C96"/>
    <w:rsid w:val="008E2DC0"/>
    <w:rsid w:val="008E2E5F"/>
    <w:rsid w:val="008E2EC0"/>
    <w:rsid w:val="008E322F"/>
    <w:rsid w:val="008E331F"/>
    <w:rsid w:val="008E3523"/>
    <w:rsid w:val="008E37D6"/>
    <w:rsid w:val="008E3F07"/>
    <w:rsid w:val="008E40BD"/>
    <w:rsid w:val="008E443C"/>
    <w:rsid w:val="008E447A"/>
    <w:rsid w:val="008E44BB"/>
    <w:rsid w:val="008E44C0"/>
    <w:rsid w:val="008E45BE"/>
    <w:rsid w:val="008E4635"/>
    <w:rsid w:val="008E47CF"/>
    <w:rsid w:val="008E4827"/>
    <w:rsid w:val="008E4984"/>
    <w:rsid w:val="008E4AB5"/>
    <w:rsid w:val="008E4CC4"/>
    <w:rsid w:val="008E4E77"/>
    <w:rsid w:val="008E4E80"/>
    <w:rsid w:val="008E5191"/>
    <w:rsid w:val="008E562B"/>
    <w:rsid w:val="008E5904"/>
    <w:rsid w:val="008E59F9"/>
    <w:rsid w:val="008E5BA7"/>
    <w:rsid w:val="008E5BAC"/>
    <w:rsid w:val="008E5F4B"/>
    <w:rsid w:val="008E61B9"/>
    <w:rsid w:val="008E6369"/>
    <w:rsid w:val="008E642C"/>
    <w:rsid w:val="008E65C6"/>
    <w:rsid w:val="008E667C"/>
    <w:rsid w:val="008E67E8"/>
    <w:rsid w:val="008E6A13"/>
    <w:rsid w:val="008E6A1E"/>
    <w:rsid w:val="008E6A3E"/>
    <w:rsid w:val="008E6AC5"/>
    <w:rsid w:val="008E6BA2"/>
    <w:rsid w:val="008E6D18"/>
    <w:rsid w:val="008E6F05"/>
    <w:rsid w:val="008E72B3"/>
    <w:rsid w:val="008E7437"/>
    <w:rsid w:val="008E74EE"/>
    <w:rsid w:val="008E7A37"/>
    <w:rsid w:val="008E7A78"/>
    <w:rsid w:val="008E7F08"/>
    <w:rsid w:val="008F0033"/>
    <w:rsid w:val="008F0077"/>
    <w:rsid w:val="008F011A"/>
    <w:rsid w:val="008F024A"/>
    <w:rsid w:val="008F047C"/>
    <w:rsid w:val="008F055F"/>
    <w:rsid w:val="008F095C"/>
    <w:rsid w:val="008F0F71"/>
    <w:rsid w:val="008F0F99"/>
    <w:rsid w:val="008F0FA4"/>
    <w:rsid w:val="008F0FC7"/>
    <w:rsid w:val="008F1076"/>
    <w:rsid w:val="008F10D4"/>
    <w:rsid w:val="008F2196"/>
    <w:rsid w:val="008F263D"/>
    <w:rsid w:val="008F2914"/>
    <w:rsid w:val="008F2CCD"/>
    <w:rsid w:val="008F2E2F"/>
    <w:rsid w:val="008F2E5E"/>
    <w:rsid w:val="008F3667"/>
    <w:rsid w:val="008F3724"/>
    <w:rsid w:val="008F3BFF"/>
    <w:rsid w:val="008F3CBD"/>
    <w:rsid w:val="008F3E76"/>
    <w:rsid w:val="008F3E83"/>
    <w:rsid w:val="008F4099"/>
    <w:rsid w:val="008F4179"/>
    <w:rsid w:val="008F4317"/>
    <w:rsid w:val="008F453E"/>
    <w:rsid w:val="008F47B3"/>
    <w:rsid w:val="008F4977"/>
    <w:rsid w:val="008F4EA7"/>
    <w:rsid w:val="008F4F8D"/>
    <w:rsid w:val="008F511A"/>
    <w:rsid w:val="008F5193"/>
    <w:rsid w:val="008F527D"/>
    <w:rsid w:val="008F55DF"/>
    <w:rsid w:val="008F5AC0"/>
    <w:rsid w:val="008F5AEE"/>
    <w:rsid w:val="008F5E34"/>
    <w:rsid w:val="008F61D5"/>
    <w:rsid w:val="008F640E"/>
    <w:rsid w:val="008F65C4"/>
    <w:rsid w:val="008F68D4"/>
    <w:rsid w:val="008F6FE4"/>
    <w:rsid w:val="008F7686"/>
    <w:rsid w:val="008F779D"/>
    <w:rsid w:val="008F7A48"/>
    <w:rsid w:val="00900071"/>
    <w:rsid w:val="0090017C"/>
    <w:rsid w:val="009003B8"/>
    <w:rsid w:val="00900801"/>
    <w:rsid w:val="00900AD6"/>
    <w:rsid w:val="00900BBA"/>
    <w:rsid w:val="00900C19"/>
    <w:rsid w:val="009011C9"/>
    <w:rsid w:val="00901AA8"/>
    <w:rsid w:val="00901EAC"/>
    <w:rsid w:val="00901F46"/>
    <w:rsid w:val="00901FF9"/>
    <w:rsid w:val="00902132"/>
    <w:rsid w:val="00902409"/>
    <w:rsid w:val="0090262D"/>
    <w:rsid w:val="009029D4"/>
    <w:rsid w:val="00902A4A"/>
    <w:rsid w:val="00902AF8"/>
    <w:rsid w:val="00902B0C"/>
    <w:rsid w:val="00902F5E"/>
    <w:rsid w:val="0090389E"/>
    <w:rsid w:val="00903AAA"/>
    <w:rsid w:val="00903AD5"/>
    <w:rsid w:val="00903C0E"/>
    <w:rsid w:val="00903C7C"/>
    <w:rsid w:val="009045F5"/>
    <w:rsid w:val="0090463C"/>
    <w:rsid w:val="00904AF8"/>
    <w:rsid w:val="00904BF7"/>
    <w:rsid w:val="00904E0C"/>
    <w:rsid w:val="00904FE6"/>
    <w:rsid w:val="00905370"/>
    <w:rsid w:val="00905587"/>
    <w:rsid w:val="00905A1C"/>
    <w:rsid w:val="00905A33"/>
    <w:rsid w:val="00905B94"/>
    <w:rsid w:val="00905BFA"/>
    <w:rsid w:val="00905DBD"/>
    <w:rsid w:val="00905F42"/>
    <w:rsid w:val="00905FB1"/>
    <w:rsid w:val="00905FE8"/>
    <w:rsid w:val="00906539"/>
    <w:rsid w:val="00906679"/>
    <w:rsid w:val="00907019"/>
    <w:rsid w:val="0090731F"/>
    <w:rsid w:val="0090734D"/>
    <w:rsid w:val="00907455"/>
    <w:rsid w:val="00907493"/>
    <w:rsid w:val="009076F1"/>
    <w:rsid w:val="00907BAF"/>
    <w:rsid w:val="00907EE3"/>
    <w:rsid w:val="0091038D"/>
    <w:rsid w:val="0091051F"/>
    <w:rsid w:val="009106AC"/>
    <w:rsid w:val="009106D5"/>
    <w:rsid w:val="0091088B"/>
    <w:rsid w:val="00910910"/>
    <w:rsid w:val="00910951"/>
    <w:rsid w:val="00910C5D"/>
    <w:rsid w:val="00910E48"/>
    <w:rsid w:val="0091176F"/>
    <w:rsid w:val="009117D3"/>
    <w:rsid w:val="009117D4"/>
    <w:rsid w:val="0091184D"/>
    <w:rsid w:val="00911931"/>
    <w:rsid w:val="009119D7"/>
    <w:rsid w:val="00911E9F"/>
    <w:rsid w:val="00911F1F"/>
    <w:rsid w:val="009122A5"/>
    <w:rsid w:val="0091250B"/>
    <w:rsid w:val="00912617"/>
    <w:rsid w:val="009126FD"/>
    <w:rsid w:val="00912B81"/>
    <w:rsid w:val="00912D22"/>
    <w:rsid w:val="00912D6C"/>
    <w:rsid w:val="00912E04"/>
    <w:rsid w:val="00912F74"/>
    <w:rsid w:val="00913075"/>
    <w:rsid w:val="00913233"/>
    <w:rsid w:val="0091328F"/>
    <w:rsid w:val="009133BA"/>
    <w:rsid w:val="009133E2"/>
    <w:rsid w:val="009133E9"/>
    <w:rsid w:val="0091341A"/>
    <w:rsid w:val="00913466"/>
    <w:rsid w:val="009136D4"/>
    <w:rsid w:val="00913830"/>
    <w:rsid w:val="009138AE"/>
    <w:rsid w:val="009138C7"/>
    <w:rsid w:val="00913BB7"/>
    <w:rsid w:val="00913D10"/>
    <w:rsid w:val="00913DD2"/>
    <w:rsid w:val="00913F30"/>
    <w:rsid w:val="00913F52"/>
    <w:rsid w:val="0091426F"/>
    <w:rsid w:val="009145C4"/>
    <w:rsid w:val="0091461C"/>
    <w:rsid w:val="00914882"/>
    <w:rsid w:val="00914B31"/>
    <w:rsid w:val="00914D98"/>
    <w:rsid w:val="00915519"/>
    <w:rsid w:val="009156BA"/>
    <w:rsid w:val="0091578A"/>
    <w:rsid w:val="00915A89"/>
    <w:rsid w:val="00915B15"/>
    <w:rsid w:val="009160E6"/>
    <w:rsid w:val="00916385"/>
    <w:rsid w:val="009164D8"/>
    <w:rsid w:val="0091661C"/>
    <w:rsid w:val="0091674B"/>
    <w:rsid w:val="00916D1F"/>
    <w:rsid w:val="00916D67"/>
    <w:rsid w:val="009177D3"/>
    <w:rsid w:val="0091795C"/>
    <w:rsid w:val="00917A39"/>
    <w:rsid w:val="00917C38"/>
    <w:rsid w:val="00917CBD"/>
    <w:rsid w:val="00917D74"/>
    <w:rsid w:val="00917E47"/>
    <w:rsid w:val="00917F11"/>
    <w:rsid w:val="009200EE"/>
    <w:rsid w:val="00920348"/>
    <w:rsid w:val="00920480"/>
    <w:rsid w:val="009205E7"/>
    <w:rsid w:val="00920815"/>
    <w:rsid w:val="00920A0E"/>
    <w:rsid w:val="00920D00"/>
    <w:rsid w:val="00920E23"/>
    <w:rsid w:val="009210D4"/>
    <w:rsid w:val="009210F6"/>
    <w:rsid w:val="0092138B"/>
    <w:rsid w:val="00921581"/>
    <w:rsid w:val="009218DC"/>
    <w:rsid w:val="00921B22"/>
    <w:rsid w:val="00921F41"/>
    <w:rsid w:val="00922185"/>
    <w:rsid w:val="00922249"/>
    <w:rsid w:val="0092228B"/>
    <w:rsid w:val="00922522"/>
    <w:rsid w:val="00922A4D"/>
    <w:rsid w:val="00922B12"/>
    <w:rsid w:val="00922D8A"/>
    <w:rsid w:val="00923047"/>
    <w:rsid w:val="009230C7"/>
    <w:rsid w:val="0092310F"/>
    <w:rsid w:val="00923180"/>
    <w:rsid w:val="0092348B"/>
    <w:rsid w:val="009238AA"/>
    <w:rsid w:val="0092393F"/>
    <w:rsid w:val="00923ABD"/>
    <w:rsid w:val="00923D6D"/>
    <w:rsid w:val="00924250"/>
    <w:rsid w:val="009243F1"/>
    <w:rsid w:val="0092446A"/>
    <w:rsid w:val="00924733"/>
    <w:rsid w:val="00924878"/>
    <w:rsid w:val="00924893"/>
    <w:rsid w:val="009248DD"/>
    <w:rsid w:val="00924AD0"/>
    <w:rsid w:val="00924C65"/>
    <w:rsid w:val="00924F93"/>
    <w:rsid w:val="0092510B"/>
    <w:rsid w:val="00925259"/>
    <w:rsid w:val="0092532B"/>
    <w:rsid w:val="009253BA"/>
    <w:rsid w:val="0092578B"/>
    <w:rsid w:val="009258EF"/>
    <w:rsid w:val="00925923"/>
    <w:rsid w:val="00925A0C"/>
    <w:rsid w:val="00925AD6"/>
    <w:rsid w:val="00925B6D"/>
    <w:rsid w:val="00925C1D"/>
    <w:rsid w:val="00925DB5"/>
    <w:rsid w:val="00925F98"/>
    <w:rsid w:val="00925FAA"/>
    <w:rsid w:val="0092600D"/>
    <w:rsid w:val="009262FA"/>
    <w:rsid w:val="0092645E"/>
    <w:rsid w:val="0092659D"/>
    <w:rsid w:val="009266D4"/>
    <w:rsid w:val="00926FA0"/>
    <w:rsid w:val="00926FD6"/>
    <w:rsid w:val="00927157"/>
    <w:rsid w:val="00927504"/>
    <w:rsid w:val="00927575"/>
    <w:rsid w:val="00927600"/>
    <w:rsid w:val="00927822"/>
    <w:rsid w:val="00927AB6"/>
    <w:rsid w:val="00927B47"/>
    <w:rsid w:val="00927B68"/>
    <w:rsid w:val="00927C45"/>
    <w:rsid w:val="00927C8C"/>
    <w:rsid w:val="00927D03"/>
    <w:rsid w:val="00927D2E"/>
    <w:rsid w:val="00930120"/>
    <w:rsid w:val="009302ED"/>
    <w:rsid w:val="0093037E"/>
    <w:rsid w:val="009303A8"/>
    <w:rsid w:val="009304DB"/>
    <w:rsid w:val="00930550"/>
    <w:rsid w:val="009305FD"/>
    <w:rsid w:val="009307FA"/>
    <w:rsid w:val="009308C4"/>
    <w:rsid w:val="0093091F"/>
    <w:rsid w:val="00930B7D"/>
    <w:rsid w:val="00930F61"/>
    <w:rsid w:val="00930FC3"/>
    <w:rsid w:val="00931032"/>
    <w:rsid w:val="009319F7"/>
    <w:rsid w:val="00931B5B"/>
    <w:rsid w:val="00931C65"/>
    <w:rsid w:val="00931DE3"/>
    <w:rsid w:val="009320BA"/>
    <w:rsid w:val="009323A2"/>
    <w:rsid w:val="009328FE"/>
    <w:rsid w:val="00932946"/>
    <w:rsid w:val="009329A0"/>
    <w:rsid w:val="00932B00"/>
    <w:rsid w:val="00933156"/>
    <w:rsid w:val="009332CA"/>
    <w:rsid w:val="00933504"/>
    <w:rsid w:val="00933784"/>
    <w:rsid w:val="00933882"/>
    <w:rsid w:val="009339B0"/>
    <w:rsid w:val="00933C51"/>
    <w:rsid w:val="00933D7F"/>
    <w:rsid w:val="00933DD1"/>
    <w:rsid w:val="00934579"/>
    <w:rsid w:val="00934F7E"/>
    <w:rsid w:val="009350BF"/>
    <w:rsid w:val="009350EB"/>
    <w:rsid w:val="0093521A"/>
    <w:rsid w:val="009352BC"/>
    <w:rsid w:val="0093533F"/>
    <w:rsid w:val="0093536C"/>
    <w:rsid w:val="009353BF"/>
    <w:rsid w:val="0093560E"/>
    <w:rsid w:val="00935BCC"/>
    <w:rsid w:val="00935D84"/>
    <w:rsid w:val="00936033"/>
    <w:rsid w:val="0093614D"/>
    <w:rsid w:val="0093638E"/>
    <w:rsid w:val="009363E9"/>
    <w:rsid w:val="00936410"/>
    <w:rsid w:val="009365C4"/>
    <w:rsid w:val="0093669B"/>
    <w:rsid w:val="00936799"/>
    <w:rsid w:val="00936B4D"/>
    <w:rsid w:val="00936B92"/>
    <w:rsid w:val="00936BE4"/>
    <w:rsid w:val="009370A7"/>
    <w:rsid w:val="009374B5"/>
    <w:rsid w:val="0093759C"/>
    <w:rsid w:val="0093774F"/>
    <w:rsid w:val="00937A95"/>
    <w:rsid w:val="00937F94"/>
    <w:rsid w:val="009403CE"/>
    <w:rsid w:val="009405EE"/>
    <w:rsid w:val="00940B44"/>
    <w:rsid w:val="00940C02"/>
    <w:rsid w:val="00940CC0"/>
    <w:rsid w:val="00940E2A"/>
    <w:rsid w:val="00940FC2"/>
    <w:rsid w:val="0094125B"/>
    <w:rsid w:val="0094169A"/>
    <w:rsid w:val="00941938"/>
    <w:rsid w:val="00941B41"/>
    <w:rsid w:val="00941B9E"/>
    <w:rsid w:val="00942009"/>
    <w:rsid w:val="0094266A"/>
    <w:rsid w:val="00942962"/>
    <w:rsid w:val="009429EA"/>
    <w:rsid w:val="00942A61"/>
    <w:rsid w:val="00942B73"/>
    <w:rsid w:val="00943230"/>
    <w:rsid w:val="0094366F"/>
    <w:rsid w:val="00943744"/>
    <w:rsid w:val="009437A9"/>
    <w:rsid w:val="0094381F"/>
    <w:rsid w:val="00943935"/>
    <w:rsid w:val="009441F3"/>
    <w:rsid w:val="00944221"/>
    <w:rsid w:val="00944489"/>
    <w:rsid w:val="009445FE"/>
    <w:rsid w:val="00944702"/>
    <w:rsid w:val="0094491F"/>
    <w:rsid w:val="00944E98"/>
    <w:rsid w:val="00944FC5"/>
    <w:rsid w:val="00945088"/>
    <w:rsid w:val="0094596F"/>
    <w:rsid w:val="00945A2E"/>
    <w:rsid w:val="00945B7A"/>
    <w:rsid w:val="00945E3A"/>
    <w:rsid w:val="00945FD0"/>
    <w:rsid w:val="0094605E"/>
    <w:rsid w:val="0094612E"/>
    <w:rsid w:val="0094628E"/>
    <w:rsid w:val="00946766"/>
    <w:rsid w:val="00946A7A"/>
    <w:rsid w:val="00946CEC"/>
    <w:rsid w:val="00946ECA"/>
    <w:rsid w:val="00946ED5"/>
    <w:rsid w:val="009471BE"/>
    <w:rsid w:val="00947531"/>
    <w:rsid w:val="00947619"/>
    <w:rsid w:val="009477DA"/>
    <w:rsid w:val="0094781D"/>
    <w:rsid w:val="00947A36"/>
    <w:rsid w:val="00947AFA"/>
    <w:rsid w:val="00947D76"/>
    <w:rsid w:val="00947E39"/>
    <w:rsid w:val="00950043"/>
    <w:rsid w:val="009500CB"/>
    <w:rsid w:val="009503BB"/>
    <w:rsid w:val="00950534"/>
    <w:rsid w:val="0095057F"/>
    <w:rsid w:val="0095073C"/>
    <w:rsid w:val="00950931"/>
    <w:rsid w:val="009509CC"/>
    <w:rsid w:val="00950BE5"/>
    <w:rsid w:val="00951066"/>
    <w:rsid w:val="0095146D"/>
    <w:rsid w:val="00951CBD"/>
    <w:rsid w:val="00951D26"/>
    <w:rsid w:val="009521CB"/>
    <w:rsid w:val="00952341"/>
    <w:rsid w:val="009524A7"/>
    <w:rsid w:val="00952711"/>
    <w:rsid w:val="009528D5"/>
    <w:rsid w:val="00952C1C"/>
    <w:rsid w:val="00952DCB"/>
    <w:rsid w:val="00952F39"/>
    <w:rsid w:val="009530DE"/>
    <w:rsid w:val="009531D3"/>
    <w:rsid w:val="0095358F"/>
    <w:rsid w:val="00953636"/>
    <w:rsid w:val="00953BAD"/>
    <w:rsid w:val="00953CF9"/>
    <w:rsid w:val="00953D6B"/>
    <w:rsid w:val="00953E0F"/>
    <w:rsid w:val="00953E97"/>
    <w:rsid w:val="00953ED6"/>
    <w:rsid w:val="00953EF5"/>
    <w:rsid w:val="009541E3"/>
    <w:rsid w:val="00954631"/>
    <w:rsid w:val="0095474E"/>
    <w:rsid w:val="00954926"/>
    <w:rsid w:val="00954B2C"/>
    <w:rsid w:val="00954C5F"/>
    <w:rsid w:val="00954E61"/>
    <w:rsid w:val="00954EA2"/>
    <w:rsid w:val="009554D0"/>
    <w:rsid w:val="0095577C"/>
    <w:rsid w:val="00956381"/>
    <w:rsid w:val="009569B7"/>
    <w:rsid w:val="00956ADA"/>
    <w:rsid w:val="009571C0"/>
    <w:rsid w:val="009571C6"/>
    <w:rsid w:val="00957241"/>
    <w:rsid w:val="0095759B"/>
    <w:rsid w:val="009576A2"/>
    <w:rsid w:val="00957D05"/>
    <w:rsid w:val="00957DB3"/>
    <w:rsid w:val="00957E06"/>
    <w:rsid w:val="00960050"/>
    <w:rsid w:val="009601B2"/>
    <w:rsid w:val="00960866"/>
    <w:rsid w:val="00960923"/>
    <w:rsid w:val="00960BA2"/>
    <w:rsid w:val="0096188A"/>
    <w:rsid w:val="0096220E"/>
    <w:rsid w:val="009622BB"/>
    <w:rsid w:val="009625BF"/>
    <w:rsid w:val="00962644"/>
    <w:rsid w:val="00962BFA"/>
    <w:rsid w:val="00963052"/>
    <w:rsid w:val="009630CD"/>
    <w:rsid w:val="00963178"/>
    <w:rsid w:val="00963415"/>
    <w:rsid w:val="00963548"/>
    <w:rsid w:val="00963835"/>
    <w:rsid w:val="00963967"/>
    <w:rsid w:val="00963A39"/>
    <w:rsid w:val="00963BD2"/>
    <w:rsid w:val="00964332"/>
    <w:rsid w:val="0096435A"/>
    <w:rsid w:val="009645A8"/>
    <w:rsid w:val="0096472B"/>
    <w:rsid w:val="00964C45"/>
    <w:rsid w:val="00964E20"/>
    <w:rsid w:val="00964E3C"/>
    <w:rsid w:val="0096505A"/>
    <w:rsid w:val="00965887"/>
    <w:rsid w:val="00965BA3"/>
    <w:rsid w:val="00965E47"/>
    <w:rsid w:val="00965F2F"/>
    <w:rsid w:val="009661CE"/>
    <w:rsid w:val="0096625C"/>
    <w:rsid w:val="009663C6"/>
    <w:rsid w:val="00966932"/>
    <w:rsid w:val="00966A47"/>
    <w:rsid w:val="00966BC0"/>
    <w:rsid w:val="00966CD6"/>
    <w:rsid w:val="00966D5B"/>
    <w:rsid w:val="00966E61"/>
    <w:rsid w:val="00966F98"/>
    <w:rsid w:val="0096766A"/>
    <w:rsid w:val="009677B2"/>
    <w:rsid w:val="009679E3"/>
    <w:rsid w:val="00967BEA"/>
    <w:rsid w:val="00967D38"/>
    <w:rsid w:val="00967EE2"/>
    <w:rsid w:val="00967F06"/>
    <w:rsid w:val="0097012C"/>
    <w:rsid w:val="009701DC"/>
    <w:rsid w:val="00970247"/>
    <w:rsid w:val="009704C9"/>
    <w:rsid w:val="009705E8"/>
    <w:rsid w:val="009707E4"/>
    <w:rsid w:val="00970B03"/>
    <w:rsid w:val="00970EC0"/>
    <w:rsid w:val="00970F3F"/>
    <w:rsid w:val="009711FF"/>
    <w:rsid w:val="009717F3"/>
    <w:rsid w:val="009719D2"/>
    <w:rsid w:val="00971C76"/>
    <w:rsid w:val="009721B4"/>
    <w:rsid w:val="0097227B"/>
    <w:rsid w:val="009723A6"/>
    <w:rsid w:val="009723E8"/>
    <w:rsid w:val="0097278E"/>
    <w:rsid w:val="00972E4D"/>
    <w:rsid w:val="00972FF9"/>
    <w:rsid w:val="009730F7"/>
    <w:rsid w:val="0097321B"/>
    <w:rsid w:val="00973379"/>
    <w:rsid w:val="00973513"/>
    <w:rsid w:val="00973514"/>
    <w:rsid w:val="0097353B"/>
    <w:rsid w:val="00974127"/>
    <w:rsid w:val="00974421"/>
    <w:rsid w:val="00974725"/>
    <w:rsid w:val="00974881"/>
    <w:rsid w:val="00974B92"/>
    <w:rsid w:val="00974DED"/>
    <w:rsid w:val="00974EC7"/>
    <w:rsid w:val="00975230"/>
    <w:rsid w:val="0097523B"/>
    <w:rsid w:val="00975329"/>
    <w:rsid w:val="009758A9"/>
    <w:rsid w:val="00975A3E"/>
    <w:rsid w:val="00975EF5"/>
    <w:rsid w:val="0097613D"/>
    <w:rsid w:val="0097650C"/>
    <w:rsid w:val="009766B1"/>
    <w:rsid w:val="009767DD"/>
    <w:rsid w:val="00976F45"/>
    <w:rsid w:val="00977085"/>
    <w:rsid w:val="0097714A"/>
    <w:rsid w:val="009771FF"/>
    <w:rsid w:val="0097720B"/>
    <w:rsid w:val="009775CB"/>
    <w:rsid w:val="00977886"/>
    <w:rsid w:val="00977A1A"/>
    <w:rsid w:val="00977AD9"/>
    <w:rsid w:val="00977E07"/>
    <w:rsid w:val="00977E21"/>
    <w:rsid w:val="00977FE6"/>
    <w:rsid w:val="009800A1"/>
    <w:rsid w:val="009800AD"/>
    <w:rsid w:val="00980328"/>
    <w:rsid w:val="009805C4"/>
    <w:rsid w:val="00980787"/>
    <w:rsid w:val="009807D7"/>
    <w:rsid w:val="009807E9"/>
    <w:rsid w:val="00980934"/>
    <w:rsid w:val="00980AF9"/>
    <w:rsid w:val="00980D29"/>
    <w:rsid w:val="00980DA6"/>
    <w:rsid w:val="00980DC2"/>
    <w:rsid w:val="00980E9C"/>
    <w:rsid w:val="00980F1A"/>
    <w:rsid w:val="00981036"/>
    <w:rsid w:val="009810C3"/>
    <w:rsid w:val="0098159F"/>
    <w:rsid w:val="0098178E"/>
    <w:rsid w:val="00981B00"/>
    <w:rsid w:val="00981EF4"/>
    <w:rsid w:val="00982083"/>
    <w:rsid w:val="0098282C"/>
    <w:rsid w:val="00982AF0"/>
    <w:rsid w:val="00982B5A"/>
    <w:rsid w:val="00982C79"/>
    <w:rsid w:val="009831B9"/>
    <w:rsid w:val="009833EB"/>
    <w:rsid w:val="009834E0"/>
    <w:rsid w:val="0098371E"/>
    <w:rsid w:val="0098380E"/>
    <w:rsid w:val="009838DD"/>
    <w:rsid w:val="00983D4C"/>
    <w:rsid w:val="00983DEB"/>
    <w:rsid w:val="00983E1E"/>
    <w:rsid w:val="00983E38"/>
    <w:rsid w:val="00983E66"/>
    <w:rsid w:val="00983F02"/>
    <w:rsid w:val="00984310"/>
    <w:rsid w:val="009845F2"/>
    <w:rsid w:val="0098465B"/>
    <w:rsid w:val="009846A2"/>
    <w:rsid w:val="009847BD"/>
    <w:rsid w:val="00984930"/>
    <w:rsid w:val="009849A1"/>
    <w:rsid w:val="00984B36"/>
    <w:rsid w:val="00984BC3"/>
    <w:rsid w:val="00984EFF"/>
    <w:rsid w:val="009851FF"/>
    <w:rsid w:val="009852AB"/>
    <w:rsid w:val="009853E4"/>
    <w:rsid w:val="00985505"/>
    <w:rsid w:val="00985641"/>
    <w:rsid w:val="009856EF"/>
    <w:rsid w:val="0098579A"/>
    <w:rsid w:val="0098583B"/>
    <w:rsid w:val="00985A29"/>
    <w:rsid w:val="00985E53"/>
    <w:rsid w:val="00985E7D"/>
    <w:rsid w:val="00985F49"/>
    <w:rsid w:val="009860C1"/>
    <w:rsid w:val="00986208"/>
    <w:rsid w:val="00986508"/>
    <w:rsid w:val="009865C6"/>
    <w:rsid w:val="00986730"/>
    <w:rsid w:val="00986789"/>
    <w:rsid w:val="00986CB2"/>
    <w:rsid w:val="00986CB3"/>
    <w:rsid w:val="00986F08"/>
    <w:rsid w:val="00987152"/>
    <w:rsid w:val="00987758"/>
    <w:rsid w:val="009877AF"/>
    <w:rsid w:val="00987A20"/>
    <w:rsid w:val="00987ABF"/>
    <w:rsid w:val="00987E71"/>
    <w:rsid w:val="00987EEC"/>
    <w:rsid w:val="0099006D"/>
    <w:rsid w:val="009900F8"/>
    <w:rsid w:val="0099018C"/>
    <w:rsid w:val="009902F5"/>
    <w:rsid w:val="00990466"/>
    <w:rsid w:val="009904A7"/>
    <w:rsid w:val="0099074E"/>
    <w:rsid w:val="00991062"/>
    <w:rsid w:val="009910B3"/>
    <w:rsid w:val="00991150"/>
    <w:rsid w:val="00991267"/>
    <w:rsid w:val="009914AA"/>
    <w:rsid w:val="0099175B"/>
    <w:rsid w:val="0099177D"/>
    <w:rsid w:val="009917CE"/>
    <w:rsid w:val="00991A6D"/>
    <w:rsid w:val="00991D0C"/>
    <w:rsid w:val="00991F05"/>
    <w:rsid w:val="00992163"/>
    <w:rsid w:val="00992320"/>
    <w:rsid w:val="009923F5"/>
    <w:rsid w:val="00992407"/>
    <w:rsid w:val="009925EA"/>
    <w:rsid w:val="00992749"/>
    <w:rsid w:val="009927F4"/>
    <w:rsid w:val="00993431"/>
    <w:rsid w:val="00993737"/>
    <w:rsid w:val="00993CE3"/>
    <w:rsid w:val="00993E47"/>
    <w:rsid w:val="00993E6D"/>
    <w:rsid w:val="009943AD"/>
    <w:rsid w:val="009945F6"/>
    <w:rsid w:val="00994A26"/>
    <w:rsid w:val="00994BEB"/>
    <w:rsid w:val="00994E22"/>
    <w:rsid w:val="00994F44"/>
    <w:rsid w:val="009950AF"/>
    <w:rsid w:val="009953C8"/>
    <w:rsid w:val="00995A6E"/>
    <w:rsid w:val="00995AD2"/>
    <w:rsid w:val="0099601A"/>
    <w:rsid w:val="00996186"/>
    <w:rsid w:val="00996319"/>
    <w:rsid w:val="0099631E"/>
    <w:rsid w:val="009967FE"/>
    <w:rsid w:val="009968CE"/>
    <w:rsid w:val="00996C0B"/>
    <w:rsid w:val="00996C2B"/>
    <w:rsid w:val="00996D62"/>
    <w:rsid w:val="00996E4E"/>
    <w:rsid w:val="00996FC8"/>
    <w:rsid w:val="00997245"/>
    <w:rsid w:val="00997717"/>
    <w:rsid w:val="00997812"/>
    <w:rsid w:val="00997BE6"/>
    <w:rsid w:val="00997E64"/>
    <w:rsid w:val="009A0371"/>
    <w:rsid w:val="009A04F7"/>
    <w:rsid w:val="009A0506"/>
    <w:rsid w:val="009A06A0"/>
    <w:rsid w:val="009A06A1"/>
    <w:rsid w:val="009A0774"/>
    <w:rsid w:val="009A0828"/>
    <w:rsid w:val="009A10A1"/>
    <w:rsid w:val="009A10C3"/>
    <w:rsid w:val="009A13F5"/>
    <w:rsid w:val="009A15AB"/>
    <w:rsid w:val="009A1BB3"/>
    <w:rsid w:val="009A1F43"/>
    <w:rsid w:val="009A1FC8"/>
    <w:rsid w:val="009A1FCD"/>
    <w:rsid w:val="009A24C4"/>
    <w:rsid w:val="009A2818"/>
    <w:rsid w:val="009A2AED"/>
    <w:rsid w:val="009A2C6D"/>
    <w:rsid w:val="009A2F6E"/>
    <w:rsid w:val="009A3186"/>
    <w:rsid w:val="009A31B7"/>
    <w:rsid w:val="009A327B"/>
    <w:rsid w:val="009A3782"/>
    <w:rsid w:val="009A37DB"/>
    <w:rsid w:val="009A3BEB"/>
    <w:rsid w:val="009A4359"/>
    <w:rsid w:val="009A440B"/>
    <w:rsid w:val="009A45DD"/>
    <w:rsid w:val="009A4640"/>
    <w:rsid w:val="009A4977"/>
    <w:rsid w:val="009A49FE"/>
    <w:rsid w:val="009A5152"/>
    <w:rsid w:val="009A5648"/>
    <w:rsid w:val="009A5772"/>
    <w:rsid w:val="009A5E2D"/>
    <w:rsid w:val="009A5EF9"/>
    <w:rsid w:val="009A6081"/>
    <w:rsid w:val="009A60BE"/>
    <w:rsid w:val="009A6112"/>
    <w:rsid w:val="009A631F"/>
    <w:rsid w:val="009A66C8"/>
    <w:rsid w:val="009A6A35"/>
    <w:rsid w:val="009A6B23"/>
    <w:rsid w:val="009A6BD9"/>
    <w:rsid w:val="009A6D6B"/>
    <w:rsid w:val="009A705D"/>
    <w:rsid w:val="009A70B4"/>
    <w:rsid w:val="009A719F"/>
    <w:rsid w:val="009A71FB"/>
    <w:rsid w:val="009A73BA"/>
    <w:rsid w:val="009A7748"/>
    <w:rsid w:val="009A778C"/>
    <w:rsid w:val="009A7957"/>
    <w:rsid w:val="009A7A82"/>
    <w:rsid w:val="009A7B35"/>
    <w:rsid w:val="009A7D24"/>
    <w:rsid w:val="009A7FD5"/>
    <w:rsid w:val="009B07AB"/>
    <w:rsid w:val="009B0A5E"/>
    <w:rsid w:val="009B0A9F"/>
    <w:rsid w:val="009B0BCD"/>
    <w:rsid w:val="009B1211"/>
    <w:rsid w:val="009B142B"/>
    <w:rsid w:val="009B143E"/>
    <w:rsid w:val="009B1509"/>
    <w:rsid w:val="009B151A"/>
    <w:rsid w:val="009B160A"/>
    <w:rsid w:val="009B1654"/>
    <w:rsid w:val="009B18D6"/>
    <w:rsid w:val="009B1A10"/>
    <w:rsid w:val="009B1CA5"/>
    <w:rsid w:val="009B1CC6"/>
    <w:rsid w:val="009B1D6B"/>
    <w:rsid w:val="009B1EB4"/>
    <w:rsid w:val="009B220F"/>
    <w:rsid w:val="009B24F5"/>
    <w:rsid w:val="009B27C7"/>
    <w:rsid w:val="009B29C6"/>
    <w:rsid w:val="009B2D79"/>
    <w:rsid w:val="009B2EC3"/>
    <w:rsid w:val="009B3056"/>
    <w:rsid w:val="009B3180"/>
    <w:rsid w:val="009B3669"/>
    <w:rsid w:val="009B3919"/>
    <w:rsid w:val="009B39CF"/>
    <w:rsid w:val="009B3A57"/>
    <w:rsid w:val="009B3B33"/>
    <w:rsid w:val="009B3B59"/>
    <w:rsid w:val="009B3BC4"/>
    <w:rsid w:val="009B408A"/>
    <w:rsid w:val="009B4091"/>
    <w:rsid w:val="009B4184"/>
    <w:rsid w:val="009B42AB"/>
    <w:rsid w:val="009B4686"/>
    <w:rsid w:val="009B4C05"/>
    <w:rsid w:val="009B4C87"/>
    <w:rsid w:val="009B4FCF"/>
    <w:rsid w:val="009B501A"/>
    <w:rsid w:val="009B506F"/>
    <w:rsid w:val="009B51DA"/>
    <w:rsid w:val="009B524E"/>
    <w:rsid w:val="009B531A"/>
    <w:rsid w:val="009B5821"/>
    <w:rsid w:val="009B5FF4"/>
    <w:rsid w:val="009B603B"/>
    <w:rsid w:val="009B62C5"/>
    <w:rsid w:val="009B6382"/>
    <w:rsid w:val="009B6756"/>
    <w:rsid w:val="009B6764"/>
    <w:rsid w:val="009B67E9"/>
    <w:rsid w:val="009B6BC3"/>
    <w:rsid w:val="009B6CF5"/>
    <w:rsid w:val="009B6E5C"/>
    <w:rsid w:val="009B71F9"/>
    <w:rsid w:val="009B74F3"/>
    <w:rsid w:val="009B790D"/>
    <w:rsid w:val="009B7D9B"/>
    <w:rsid w:val="009B7F3F"/>
    <w:rsid w:val="009C023E"/>
    <w:rsid w:val="009C03D0"/>
    <w:rsid w:val="009C05A2"/>
    <w:rsid w:val="009C0706"/>
    <w:rsid w:val="009C07F8"/>
    <w:rsid w:val="009C08C6"/>
    <w:rsid w:val="009C08EE"/>
    <w:rsid w:val="009C0C18"/>
    <w:rsid w:val="009C0DCF"/>
    <w:rsid w:val="009C0EBA"/>
    <w:rsid w:val="009C10A9"/>
    <w:rsid w:val="009C1145"/>
    <w:rsid w:val="009C115B"/>
    <w:rsid w:val="009C11FE"/>
    <w:rsid w:val="009C1BF1"/>
    <w:rsid w:val="009C1C3D"/>
    <w:rsid w:val="009C1DD0"/>
    <w:rsid w:val="009C1F6D"/>
    <w:rsid w:val="009C214C"/>
    <w:rsid w:val="009C2346"/>
    <w:rsid w:val="009C25C5"/>
    <w:rsid w:val="009C26B9"/>
    <w:rsid w:val="009C2A0B"/>
    <w:rsid w:val="009C2A5D"/>
    <w:rsid w:val="009C2BE4"/>
    <w:rsid w:val="009C2C42"/>
    <w:rsid w:val="009C2CA1"/>
    <w:rsid w:val="009C35CC"/>
    <w:rsid w:val="009C3B91"/>
    <w:rsid w:val="009C3BC0"/>
    <w:rsid w:val="009C3D90"/>
    <w:rsid w:val="009C3EFD"/>
    <w:rsid w:val="009C3FFB"/>
    <w:rsid w:val="009C406B"/>
    <w:rsid w:val="009C420A"/>
    <w:rsid w:val="009C4654"/>
    <w:rsid w:val="009C483D"/>
    <w:rsid w:val="009C48D1"/>
    <w:rsid w:val="009C4F9D"/>
    <w:rsid w:val="009C4FCB"/>
    <w:rsid w:val="009C512C"/>
    <w:rsid w:val="009C5166"/>
    <w:rsid w:val="009C538E"/>
    <w:rsid w:val="009C5459"/>
    <w:rsid w:val="009C55EE"/>
    <w:rsid w:val="009C56B3"/>
    <w:rsid w:val="009C59BD"/>
    <w:rsid w:val="009C5EF0"/>
    <w:rsid w:val="009C6120"/>
    <w:rsid w:val="009C61B7"/>
    <w:rsid w:val="009C6266"/>
    <w:rsid w:val="009C6289"/>
    <w:rsid w:val="009C6575"/>
    <w:rsid w:val="009C6731"/>
    <w:rsid w:val="009C6914"/>
    <w:rsid w:val="009C6E03"/>
    <w:rsid w:val="009C6EEC"/>
    <w:rsid w:val="009C70D8"/>
    <w:rsid w:val="009C71B3"/>
    <w:rsid w:val="009C72A9"/>
    <w:rsid w:val="009C72E8"/>
    <w:rsid w:val="009C73A3"/>
    <w:rsid w:val="009C7531"/>
    <w:rsid w:val="009C7551"/>
    <w:rsid w:val="009C79A2"/>
    <w:rsid w:val="009C79B6"/>
    <w:rsid w:val="009C79E1"/>
    <w:rsid w:val="009C7BAB"/>
    <w:rsid w:val="009C7BE3"/>
    <w:rsid w:val="009D046F"/>
    <w:rsid w:val="009D079F"/>
    <w:rsid w:val="009D0C1A"/>
    <w:rsid w:val="009D0CA8"/>
    <w:rsid w:val="009D0FBC"/>
    <w:rsid w:val="009D1323"/>
    <w:rsid w:val="009D145F"/>
    <w:rsid w:val="009D1581"/>
    <w:rsid w:val="009D1902"/>
    <w:rsid w:val="009D24E9"/>
    <w:rsid w:val="009D2ED4"/>
    <w:rsid w:val="009D3144"/>
    <w:rsid w:val="009D320D"/>
    <w:rsid w:val="009D32C2"/>
    <w:rsid w:val="009D3634"/>
    <w:rsid w:val="009D37E9"/>
    <w:rsid w:val="009D3A2D"/>
    <w:rsid w:val="009D3A9E"/>
    <w:rsid w:val="009D3EFB"/>
    <w:rsid w:val="009D4088"/>
    <w:rsid w:val="009D4113"/>
    <w:rsid w:val="009D43D0"/>
    <w:rsid w:val="009D4425"/>
    <w:rsid w:val="009D4ACB"/>
    <w:rsid w:val="009D4B5B"/>
    <w:rsid w:val="009D4D54"/>
    <w:rsid w:val="009D4EAC"/>
    <w:rsid w:val="009D5148"/>
    <w:rsid w:val="009D52AB"/>
    <w:rsid w:val="009D52F6"/>
    <w:rsid w:val="009D5339"/>
    <w:rsid w:val="009D58FD"/>
    <w:rsid w:val="009D5BEC"/>
    <w:rsid w:val="009D5CD4"/>
    <w:rsid w:val="009D5CF3"/>
    <w:rsid w:val="009D5DD4"/>
    <w:rsid w:val="009D5EDA"/>
    <w:rsid w:val="009D5F1C"/>
    <w:rsid w:val="009D6104"/>
    <w:rsid w:val="009D62EB"/>
    <w:rsid w:val="009D6566"/>
    <w:rsid w:val="009D6692"/>
    <w:rsid w:val="009D66B0"/>
    <w:rsid w:val="009D69A8"/>
    <w:rsid w:val="009D69BA"/>
    <w:rsid w:val="009D69C4"/>
    <w:rsid w:val="009D6AF7"/>
    <w:rsid w:val="009D6FB3"/>
    <w:rsid w:val="009D716F"/>
    <w:rsid w:val="009D75AB"/>
    <w:rsid w:val="009D76BD"/>
    <w:rsid w:val="009D7CC3"/>
    <w:rsid w:val="009E0212"/>
    <w:rsid w:val="009E02E9"/>
    <w:rsid w:val="009E08D1"/>
    <w:rsid w:val="009E0925"/>
    <w:rsid w:val="009E0A83"/>
    <w:rsid w:val="009E0BF7"/>
    <w:rsid w:val="009E0F31"/>
    <w:rsid w:val="009E0FDF"/>
    <w:rsid w:val="009E1118"/>
    <w:rsid w:val="009E11CD"/>
    <w:rsid w:val="009E123B"/>
    <w:rsid w:val="009E1548"/>
    <w:rsid w:val="009E1880"/>
    <w:rsid w:val="009E1A68"/>
    <w:rsid w:val="009E220F"/>
    <w:rsid w:val="009E23C2"/>
    <w:rsid w:val="009E2542"/>
    <w:rsid w:val="009E27CA"/>
    <w:rsid w:val="009E2AAB"/>
    <w:rsid w:val="009E2B33"/>
    <w:rsid w:val="009E2C87"/>
    <w:rsid w:val="009E2F24"/>
    <w:rsid w:val="009E2F94"/>
    <w:rsid w:val="009E2FDB"/>
    <w:rsid w:val="009E35AB"/>
    <w:rsid w:val="009E3859"/>
    <w:rsid w:val="009E3BA3"/>
    <w:rsid w:val="009E3D9C"/>
    <w:rsid w:val="009E3E17"/>
    <w:rsid w:val="009E3ECB"/>
    <w:rsid w:val="009E3F6C"/>
    <w:rsid w:val="009E4619"/>
    <w:rsid w:val="009E467D"/>
    <w:rsid w:val="009E46DF"/>
    <w:rsid w:val="009E474D"/>
    <w:rsid w:val="009E49F3"/>
    <w:rsid w:val="009E4E6B"/>
    <w:rsid w:val="009E4FB8"/>
    <w:rsid w:val="009E50E0"/>
    <w:rsid w:val="009E51B4"/>
    <w:rsid w:val="009E53C7"/>
    <w:rsid w:val="009E5662"/>
    <w:rsid w:val="009E572B"/>
    <w:rsid w:val="009E588F"/>
    <w:rsid w:val="009E5C65"/>
    <w:rsid w:val="009E632C"/>
    <w:rsid w:val="009E651D"/>
    <w:rsid w:val="009E6696"/>
    <w:rsid w:val="009E6726"/>
    <w:rsid w:val="009E6B8C"/>
    <w:rsid w:val="009E6C78"/>
    <w:rsid w:val="009E700F"/>
    <w:rsid w:val="009E725B"/>
    <w:rsid w:val="009E79BF"/>
    <w:rsid w:val="009F0352"/>
    <w:rsid w:val="009F037E"/>
    <w:rsid w:val="009F0438"/>
    <w:rsid w:val="009F04BF"/>
    <w:rsid w:val="009F06FC"/>
    <w:rsid w:val="009F0776"/>
    <w:rsid w:val="009F0894"/>
    <w:rsid w:val="009F0DC9"/>
    <w:rsid w:val="009F0F59"/>
    <w:rsid w:val="009F0FE8"/>
    <w:rsid w:val="009F11A7"/>
    <w:rsid w:val="009F1298"/>
    <w:rsid w:val="009F12AD"/>
    <w:rsid w:val="009F1729"/>
    <w:rsid w:val="009F17EC"/>
    <w:rsid w:val="009F18DA"/>
    <w:rsid w:val="009F19C9"/>
    <w:rsid w:val="009F1ACC"/>
    <w:rsid w:val="009F1ADE"/>
    <w:rsid w:val="009F1C9C"/>
    <w:rsid w:val="009F1D5B"/>
    <w:rsid w:val="009F1FBC"/>
    <w:rsid w:val="009F209B"/>
    <w:rsid w:val="009F2118"/>
    <w:rsid w:val="009F22D5"/>
    <w:rsid w:val="009F22E6"/>
    <w:rsid w:val="009F334C"/>
    <w:rsid w:val="009F336F"/>
    <w:rsid w:val="009F3414"/>
    <w:rsid w:val="009F36D6"/>
    <w:rsid w:val="009F38BE"/>
    <w:rsid w:val="009F4699"/>
    <w:rsid w:val="009F4936"/>
    <w:rsid w:val="009F4BC9"/>
    <w:rsid w:val="009F4FE3"/>
    <w:rsid w:val="009F57DF"/>
    <w:rsid w:val="009F5E49"/>
    <w:rsid w:val="009F6008"/>
    <w:rsid w:val="009F674E"/>
    <w:rsid w:val="009F674F"/>
    <w:rsid w:val="009F6E3A"/>
    <w:rsid w:val="009F6EA5"/>
    <w:rsid w:val="009F6F77"/>
    <w:rsid w:val="009F7451"/>
    <w:rsid w:val="009F75DA"/>
    <w:rsid w:val="009F77F5"/>
    <w:rsid w:val="009F78B6"/>
    <w:rsid w:val="009F78C1"/>
    <w:rsid w:val="009F791F"/>
    <w:rsid w:val="009F7A49"/>
    <w:rsid w:val="009F7A77"/>
    <w:rsid w:val="009F7B4E"/>
    <w:rsid w:val="009F7B96"/>
    <w:rsid w:val="009F7CDA"/>
    <w:rsid w:val="009F7E1E"/>
    <w:rsid w:val="009F7E7D"/>
    <w:rsid w:val="00A00471"/>
    <w:rsid w:val="00A005A8"/>
    <w:rsid w:val="00A008E6"/>
    <w:rsid w:val="00A00917"/>
    <w:rsid w:val="00A00D68"/>
    <w:rsid w:val="00A00E6C"/>
    <w:rsid w:val="00A011C7"/>
    <w:rsid w:val="00A0139D"/>
    <w:rsid w:val="00A01479"/>
    <w:rsid w:val="00A0148A"/>
    <w:rsid w:val="00A01512"/>
    <w:rsid w:val="00A01543"/>
    <w:rsid w:val="00A016DC"/>
    <w:rsid w:val="00A018B4"/>
    <w:rsid w:val="00A01C92"/>
    <w:rsid w:val="00A01C93"/>
    <w:rsid w:val="00A01F81"/>
    <w:rsid w:val="00A01F88"/>
    <w:rsid w:val="00A02009"/>
    <w:rsid w:val="00A02078"/>
    <w:rsid w:val="00A02112"/>
    <w:rsid w:val="00A022A0"/>
    <w:rsid w:val="00A0276B"/>
    <w:rsid w:val="00A02E18"/>
    <w:rsid w:val="00A03158"/>
    <w:rsid w:val="00A0318B"/>
    <w:rsid w:val="00A037E2"/>
    <w:rsid w:val="00A0386A"/>
    <w:rsid w:val="00A03D31"/>
    <w:rsid w:val="00A03F5A"/>
    <w:rsid w:val="00A03FF1"/>
    <w:rsid w:val="00A04318"/>
    <w:rsid w:val="00A0432F"/>
    <w:rsid w:val="00A04498"/>
    <w:rsid w:val="00A0452A"/>
    <w:rsid w:val="00A045EA"/>
    <w:rsid w:val="00A0482E"/>
    <w:rsid w:val="00A04838"/>
    <w:rsid w:val="00A05229"/>
    <w:rsid w:val="00A052B6"/>
    <w:rsid w:val="00A0568B"/>
    <w:rsid w:val="00A05709"/>
    <w:rsid w:val="00A05D92"/>
    <w:rsid w:val="00A060CE"/>
    <w:rsid w:val="00A062CA"/>
    <w:rsid w:val="00A06359"/>
    <w:rsid w:val="00A0664D"/>
    <w:rsid w:val="00A0697D"/>
    <w:rsid w:val="00A06AB8"/>
    <w:rsid w:val="00A06EA0"/>
    <w:rsid w:val="00A076CB"/>
    <w:rsid w:val="00A07892"/>
    <w:rsid w:val="00A0791E"/>
    <w:rsid w:val="00A0796D"/>
    <w:rsid w:val="00A07AB8"/>
    <w:rsid w:val="00A07CFC"/>
    <w:rsid w:val="00A07DDE"/>
    <w:rsid w:val="00A07E6C"/>
    <w:rsid w:val="00A10141"/>
    <w:rsid w:val="00A103C3"/>
    <w:rsid w:val="00A103E2"/>
    <w:rsid w:val="00A10512"/>
    <w:rsid w:val="00A1087F"/>
    <w:rsid w:val="00A11163"/>
    <w:rsid w:val="00A111B2"/>
    <w:rsid w:val="00A11669"/>
    <w:rsid w:val="00A11866"/>
    <w:rsid w:val="00A11AC2"/>
    <w:rsid w:val="00A11BE4"/>
    <w:rsid w:val="00A11D3F"/>
    <w:rsid w:val="00A11DF2"/>
    <w:rsid w:val="00A11F36"/>
    <w:rsid w:val="00A12152"/>
    <w:rsid w:val="00A121AA"/>
    <w:rsid w:val="00A121CF"/>
    <w:rsid w:val="00A12738"/>
    <w:rsid w:val="00A12A4D"/>
    <w:rsid w:val="00A12C87"/>
    <w:rsid w:val="00A12D4A"/>
    <w:rsid w:val="00A12E01"/>
    <w:rsid w:val="00A12E7E"/>
    <w:rsid w:val="00A133E8"/>
    <w:rsid w:val="00A133F9"/>
    <w:rsid w:val="00A1343C"/>
    <w:rsid w:val="00A1347D"/>
    <w:rsid w:val="00A13638"/>
    <w:rsid w:val="00A13711"/>
    <w:rsid w:val="00A1387D"/>
    <w:rsid w:val="00A138BF"/>
    <w:rsid w:val="00A13A7D"/>
    <w:rsid w:val="00A13BEE"/>
    <w:rsid w:val="00A13C83"/>
    <w:rsid w:val="00A13DD0"/>
    <w:rsid w:val="00A13DE7"/>
    <w:rsid w:val="00A145A0"/>
    <w:rsid w:val="00A1463C"/>
    <w:rsid w:val="00A146F0"/>
    <w:rsid w:val="00A148BB"/>
    <w:rsid w:val="00A14C3D"/>
    <w:rsid w:val="00A1515A"/>
    <w:rsid w:val="00A15160"/>
    <w:rsid w:val="00A153F4"/>
    <w:rsid w:val="00A1566C"/>
    <w:rsid w:val="00A15857"/>
    <w:rsid w:val="00A15A1A"/>
    <w:rsid w:val="00A15BA9"/>
    <w:rsid w:val="00A15BEE"/>
    <w:rsid w:val="00A15D4B"/>
    <w:rsid w:val="00A15D7C"/>
    <w:rsid w:val="00A15E23"/>
    <w:rsid w:val="00A15F80"/>
    <w:rsid w:val="00A162D5"/>
    <w:rsid w:val="00A16376"/>
    <w:rsid w:val="00A169DF"/>
    <w:rsid w:val="00A16C08"/>
    <w:rsid w:val="00A16D33"/>
    <w:rsid w:val="00A16DC3"/>
    <w:rsid w:val="00A16E07"/>
    <w:rsid w:val="00A16F13"/>
    <w:rsid w:val="00A1707E"/>
    <w:rsid w:val="00A177E7"/>
    <w:rsid w:val="00A17B59"/>
    <w:rsid w:val="00A17F73"/>
    <w:rsid w:val="00A2040E"/>
    <w:rsid w:val="00A20815"/>
    <w:rsid w:val="00A208CE"/>
    <w:rsid w:val="00A20A55"/>
    <w:rsid w:val="00A20DE4"/>
    <w:rsid w:val="00A20E00"/>
    <w:rsid w:val="00A2108D"/>
    <w:rsid w:val="00A2119A"/>
    <w:rsid w:val="00A212A0"/>
    <w:rsid w:val="00A213DA"/>
    <w:rsid w:val="00A21450"/>
    <w:rsid w:val="00A217A8"/>
    <w:rsid w:val="00A219F3"/>
    <w:rsid w:val="00A21AE0"/>
    <w:rsid w:val="00A21F4F"/>
    <w:rsid w:val="00A221AE"/>
    <w:rsid w:val="00A224B7"/>
    <w:rsid w:val="00A22EA9"/>
    <w:rsid w:val="00A2322D"/>
    <w:rsid w:val="00A237C7"/>
    <w:rsid w:val="00A2394B"/>
    <w:rsid w:val="00A23A72"/>
    <w:rsid w:val="00A23B91"/>
    <w:rsid w:val="00A23BA0"/>
    <w:rsid w:val="00A23D3C"/>
    <w:rsid w:val="00A24110"/>
    <w:rsid w:val="00A243F6"/>
    <w:rsid w:val="00A2478B"/>
    <w:rsid w:val="00A24B04"/>
    <w:rsid w:val="00A24CB3"/>
    <w:rsid w:val="00A24D28"/>
    <w:rsid w:val="00A25101"/>
    <w:rsid w:val="00A25531"/>
    <w:rsid w:val="00A255A4"/>
    <w:rsid w:val="00A256EF"/>
    <w:rsid w:val="00A258BB"/>
    <w:rsid w:val="00A25A30"/>
    <w:rsid w:val="00A25A73"/>
    <w:rsid w:val="00A25B7B"/>
    <w:rsid w:val="00A261B0"/>
    <w:rsid w:val="00A262F1"/>
    <w:rsid w:val="00A263E2"/>
    <w:rsid w:val="00A2643A"/>
    <w:rsid w:val="00A26502"/>
    <w:rsid w:val="00A269A4"/>
    <w:rsid w:val="00A26B25"/>
    <w:rsid w:val="00A27049"/>
    <w:rsid w:val="00A27265"/>
    <w:rsid w:val="00A274EE"/>
    <w:rsid w:val="00A27693"/>
    <w:rsid w:val="00A27D27"/>
    <w:rsid w:val="00A27D9E"/>
    <w:rsid w:val="00A27F8C"/>
    <w:rsid w:val="00A3049B"/>
    <w:rsid w:val="00A3063B"/>
    <w:rsid w:val="00A309D4"/>
    <w:rsid w:val="00A30A90"/>
    <w:rsid w:val="00A30B99"/>
    <w:rsid w:val="00A30C7E"/>
    <w:rsid w:val="00A30D5C"/>
    <w:rsid w:val="00A30F65"/>
    <w:rsid w:val="00A3112E"/>
    <w:rsid w:val="00A31322"/>
    <w:rsid w:val="00A316E2"/>
    <w:rsid w:val="00A31858"/>
    <w:rsid w:val="00A318DB"/>
    <w:rsid w:val="00A31B47"/>
    <w:rsid w:val="00A31DEC"/>
    <w:rsid w:val="00A320EB"/>
    <w:rsid w:val="00A322D1"/>
    <w:rsid w:val="00A325AC"/>
    <w:rsid w:val="00A32BA4"/>
    <w:rsid w:val="00A32BD9"/>
    <w:rsid w:val="00A32D9E"/>
    <w:rsid w:val="00A32DC6"/>
    <w:rsid w:val="00A32DE3"/>
    <w:rsid w:val="00A32DE9"/>
    <w:rsid w:val="00A32E20"/>
    <w:rsid w:val="00A32E7C"/>
    <w:rsid w:val="00A32FAE"/>
    <w:rsid w:val="00A330C2"/>
    <w:rsid w:val="00A336DA"/>
    <w:rsid w:val="00A33D01"/>
    <w:rsid w:val="00A33E29"/>
    <w:rsid w:val="00A34184"/>
    <w:rsid w:val="00A34468"/>
    <w:rsid w:val="00A34475"/>
    <w:rsid w:val="00A349D3"/>
    <w:rsid w:val="00A34D39"/>
    <w:rsid w:val="00A354B3"/>
    <w:rsid w:val="00A355B6"/>
    <w:rsid w:val="00A359C1"/>
    <w:rsid w:val="00A35C26"/>
    <w:rsid w:val="00A35CF3"/>
    <w:rsid w:val="00A35E74"/>
    <w:rsid w:val="00A360CC"/>
    <w:rsid w:val="00A363C2"/>
    <w:rsid w:val="00A365C8"/>
    <w:rsid w:val="00A3692A"/>
    <w:rsid w:val="00A36A27"/>
    <w:rsid w:val="00A36B29"/>
    <w:rsid w:val="00A372AC"/>
    <w:rsid w:val="00A37329"/>
    <w:rsid w:val="00A37353"/>
    <w:rsid w:val="00A37499"/>
    <w:rsid w:val="00A37722"/>
    <w:rsid w:val="00A37B07"/>
    <w:rsid w:val="00A37D78"/>
    <w:rsid w:val="00A37DBE"/>
    <w:rsid w:val="00A37DD9"/>
    <w:rsid w:val="00A3E525"/>
    <w:rsid w:val="00A40677"/>
    <w:rsid w:val="00A406F9"/>
    <w:rsid w:val="00A40719"/>
    <w:rsid w:val="00A4098E"/>
    <w:rsid w:val="00A40B77"/>
    <w:rsid w:val="00A40C9A"/>
    <w:rsid w:val="00A40FF9"/>
    <w:rsid w:val="00A41152"/>
    <w:rsid w:val="00A41235"/>
    <w:rsid w:val="00A415D8"/>
    <w:rsid w:val="00A417BB"/>
    <w:rsid w:val="00A418E8"/>
    <w:rsid w:val="00A41CC7"/>
    <w:rsid w:val="00A41D6F"/>
    <w:rsid w:val="00A41DDB"/>
    <w:rsid w:val="00A41EE1"/>
    <w:rsid w:val="00A420B3"/>
    <w:rsid w:val="00A42266"/>
    <w:rsid w:val="00A42700"/>
    <w:rsid w:val="00A42A58"/>
    <w:rsid w:val="00A42EF1"/>
    <w:rsid w:val="00A432A5"/>
    <w:rsid w:val="00A432D7"/>
    <w:rsid w:val="00A43311"/>
    <w:rsid w:val="00A433A7"/>
    <w:rsid w:val="00A43751"/>
    <w:rsid w:val="00A43773"/>
    <w:rsid w:val="00A438CD"/>
    <w:rsid w:val="00A43C47"/>
    <w:rsid w:val="00A43C8A"/>
    <w:rsid w:val="00A43CC8"/>
    <w:rsid w:val="00A43EA9"/>
    <w:rsid w:val="00A4405B"/>
    <w:rsid w:val="00A440D4"/>
    <w:rsid w:val="00A44188"/>
    <w:rsid w:val="00A4423E"/>
    <w:rsid w:val="00A44437"/>
    <w:rsid w:val="00A445B2"/>
    <w:rsid w:val="00A445C3"/>
    <w:rsid w:val="00A44646"/>
    <w:rsid w:val="00A4471E"/>
    <w:rsid w:val="00A4495D"/>
    <w:rsid w:val="00A44F24"/>
    <w:rsid w:val="00A45002"/>
    <w:rsid w:val="00A450EF"/>
    <w:rsid w:val="00A45B0C"/>
    <w:rsid w:val="00A45D4A"/>
    <w:rsid w:val="00A45F18"/>
    <w:rsid w:val="00A46073"/>
    <w:rsid w:val="00A4615E"/>
    <w:rsid w:val="00A469EE"/>
    <w:rsid w:val="00A46A00"/>
    <w:rsid w:val="00A46C1C"/>
    <w:rsid w:val="00A46EE0"/>
    <w:rsid w:val="00A46FA9"/>
    <w:rsid w:val="00A47161"/>
    <w:rsid w:val="00A47417"/>
    <w:rsid w:val="00A4747C"/>
    <w:rsid w:val="00A47C9F"/>
    <w:rsid w:val="00A50060"/>
    <w:rsid w:val="00A50699"/>
    <w:rsid w:val="00A507B0"/>
    <w:rsid w:val="00A50B3D"/>
    <w:rsid w:val="00A50C7B"/>
    <w:rsid w:val="00A513A6"/>
    <w:rsid w:val="00A51986"/>
    <w:rsid w:val="00A51A37"/>
    <w:rsid w:val="00A51A5B"/>
    <w:rsid w:val="00A51E8C"/>
    <w:rsid w:val="00A51EC0"/>
    <w:rsid w:val="00A51F07"/>
    <w:rsid w:val="00A51F40"/>
    <w:rsid w:val="00A51FC3"/>
    <w:rsid w:val="00A52100"/>
    <w:rsid w:val="00A52254"/>
    <w:rsid w:val="00A52815"/>
    <w:rsid w:val="00A5297A"/>
    <w:rsid w:val="00A52D7A"/>
    <w:rsid w:val="00A52EB1"/>
    <w:rsid w:val="00A5306C"/>
    <w:rsid w:val="00A5311F"/>
    <w:rsid w:val="00A531BA"/>
    <w:rsid w:val="00A532D9"/>
    <w:rsid w:val="00A532DA"/>
    <w:rsid w:val="00A53326"/>
    <w:rsid w:val="00A5397F"/>
    <w:rsid w:val="00A53CEA"/>
    <w:rsid w:val="00A53E69"/>
    <w:rsid w:val="00A53F48"/>
    <w:rsid w:val="00A54169"/>
    <w:rsid w:val="00A541B5"/>
    <w:rsid w:val="00A54818"/>
    <w:rsid w:val="00A549D8"/>
    <w:rsid w:val="00A54ACA"/>
    <w:rsid w:val="00A54DCF"/>
    <w:rsid w:val="00A55072"/>
    <w:rsid w:val="00A551ED"/>
    <w:rsid w:val="00A55267"/>
    <w:rsid w:val="00A5528D"/>
    <w:rsid w:val="00A55536"/>
    <w:rsid w:val="00A55728"/>
    <w:rsid w:val="00A557C5"/>
    <w:rsid w:val="00A55A85"/>
    <w:rsid w:val="00A55C20"/>
    <w:rsid w:val="00A56223"/>
    <w:rsid w:val="00A5629D"/>
    <w:rsid w:val="00A56362"/>
    <w:rsid w:val="00A5656F"/>
    <w:rsid w:val="00A56586"/>
    <w:rsid w:val="00A5668A"/>
    <w:rsid w:val="00A567BD"/>
    <w:rsid w:val="00A56D16"/>
    <w:rsid w:val="00A573DA"/>
    <w:rsid w:val="00A574A0"/>
    <w:rsid w:val="00A5776F"/>
    <w:rsid w:val="00A57987"/>
    <w:rsid w:val="00A57CD5"/>
    <w:rsid w:val="00A6006B"/>
    <w:rsid w:val="00A60435"/>
    <w:rsid w:val="00A604AB"/>
    <w:rsid w:val="00A608F8"/>
    <w:rsid w:val="00A6097D"/>
    <w:rsid w:val="00A60A4B"/>
    <w:rsid w:val="00A60B5D"/>
    <w:rsid w:val="00A60B79"/>
    <w:rsid w:val="00A60B96"/>
    <w:rsid w:val="00A61291"/>
    <w:rsid w:val="00A617F4"/>
    <w:rsid w:val="00A61828"/>
    <w:rsid w:val="00A6199F"/>
    <w:rsid w:val="00A61B2B"/>
    <w:rsid w:val="00A61B30"/>
    <w:rsid w:val="00A61CDC"/>
    <w:rsid w:val="00A62047"/>
    <w:rsid w:val="00A62230"/>
    <w:rsid w:val="00A6267D"/>
    <w:rsid w:val="00A62682"/>
    <w:rsid w:val="00A62889"/>
    <w:rsid w:val="00A628E0"/>
    <w:rsid w:val="00A6296A"/>
    <w:rsid w:val="00A629E6"/>
    <w:rsid w:val="00A62A67"/>
    <w:rsid w:val="00A62BB3"/>
    <w:rsid w:val="00A62DBA"/>
    <w:rsid w:val="00A634D5"/>
    <w:rsid w:val="00A634E4"/>
    <w:rsid w:val="00A6378B"/>
    <w:rsid w:val="00A638C9"/>
    <w:rsid w:val="00A63AA2"/>
    <w:rsid w:val="00A63B67"/>
    <w:rsid w:val="00A63BB8"/>
    <w:rsid w:val="00A64637"/>
    <w:rsid w:val="00A646E5"/>
    <w:rsid w:val="00A6473C"/>
    <w:rsid w:val="00A648C9"/>
    <w:rsid w:val="00A649A0"/>
    <w:rsid w:val="00A64BD5"/>
    <w:rsid w:val="00A650BC"/>
    <w:rsid w:val="00A6526B"/>
    <w:rsid w:val="00A65324"/>
    <w:rsid w:val="00A65626"/>
    <w:rsid w:val="00A6563C"/>
    <w:rsid w:val="00A657A1"/>
    <w:rsid w:val="00A65E40"/>
    <w:rsid w:val="00A660A8"/>
    <w:rsid w:val="00A667B8"/>
    <w:rsid w:val="00A66824"/>
    <w:rsid w:val="00A66CE0"/>
    <w:rsid w:val="00A67135"/>
    <w:rsid w:val="00A67178"/>
    <w:rsid w:val="00A671A1"/>
    <w:rsid w:val="00A6739F"/>
    <w:rsid w:val="00A679E2"/>
    <w:rsid w:val="00A67DBB"/>
    <w:rsid w:val="00A67E45"/>
    <w:rsid w:val="00A67F19"/>
    <w:rsid w:val="00A701E8"/>
    <w:rsid w:val="00A701FF"/>
    <w:rsid w:val="00A706EC"/>
    <w:rsid w:val="00A70877"/>
    <w:rsid w:val="00A70915"/>
    <w:rsid w:val="00A70943"/>
    <w:rsid w:val="00A710A0"/>
    <w:rsid w:val="00A7126E"/>
    <w:rsid w:val="00A71347"/>
    <w:rsid w:val="00A714FC"/>
    <w:rsid w:val="00A7185E"/>
    <w:rsid w:val="00A7208A"/>
    <w:rsid w:val="00A720F7"/>
    <w:rsid w:val="00A72220"/>
    <w:rsid w:val="00A72317"/>
    <w:rsid w:val="00A7242D"/>
    <w:rsid w:val="00A7257B"/>
    <w:rsid w:val="00A7279D"/>
    <w:rsid w:val="00A72928"/>
    <w:rsid w:val="00A72B0A"/>
    <w:rsid w:val="00A72C7E"/>
    <w:rsid w:val="00A72D39"/>
    <w:rsid w:val="00A72ED8"/>
    <w:rsid w:val="00A72F5F"/>
    <w:rsid w:val="00A73088"/>
    <w:rsid w:val="00A730E2"/>
    <w:rsid w:val="00A731E2"/>
    <w:rsid w:val="00A7322B"/>
    <w:rsid w:val="00A7332E"/>
    <w:rsid w:val="00A7373E"/>
    <w:rsid w:val="00A739E9"/>
    <w:rsid w:val="00A73BA7"/>
    <w:rsid w:val="00A73C8E"/>
    <w:rsid w:val="00A73D27"/>
    <w:rsid w:val="00A74064"/>
    <w:rsid w:val="00A74603"/>
    <w:rsid w:val="00A746FC"/>
    <w:rsid w:val="00A74713"/>
    <w:rsid w:val="00A74FD2"/>
    <w:rsid w:val="00A7507E"/>
    <w:rsid w:val="00A751A4"/>
    <w:rsid w:val="00A7534B"/>
    <w:rsid w:val="00A7552A"/>
    <w:rsid w:val="00A7569A"/>
    <w:rsid w:val="00A757D4"/>
    <w:rsid w:val="00A758F1"/>
    <w:rsid w:val="00A75A4D"/>
    <w:rsid w:val="00A75A58"/>
    <w:rsid w:val="00A75BBD"/>
    <w:rsid w:val="00A75C32"/>
    <w:rsid w:val="00A75C46"/>
    <w:rsid w:val="00A75D1A"/>
    <w:rsid w:val="00A75E0F"/>
    <w:rsid w:val="00A76119"/>
    <w:rsid w:val="00A761F5"/>
    <w:rsid w:val="00A764EA"/>
    <w:rsid w:val="00A7657D"/>
    <w:rsid w:val="00A76591"/>
    <w:rsid w:val="00A76768"/>
    <w:rsid w:val="00A7695E"/>
    <w:rsid w:val="00A76CA3"/>
    <w:rsid w:val="00A77009"/>
    <w:rsid w:val="00A778DE"/>
    <w:rsid w:val="00A7799B"/>
    <w:rsid w:val="00A77F23"/>
    <w:rsid w:val="00A77F2F"/>
    <w:rsid w:val="00A80C86"/>
    <w:rsid w:val="00A80E69"/>
    <w:rsid w:val="00A80EAB"/>
    <w:rsid w:val="00A80F92"/>
    <w:rsid w:val="00A81027"/>
    <w:rsid w:val="00A811E4"/>
    <w:rsid w:val="00A812A7"/>
    <w:rsid w:val="00A816C1"/>
    <w:rsid w:val="00A81819"/>
    <w:rsid w:val="00A81A00"/>
    <w:rsid w:val="00A81B1B"/>
    <w:rsid w:val="00A81CBE"/>
    <w:rsid w:val="00A81FB9"/>
    <w:rsid w:val="00A8205E"/>
    <w:rsid w:val="00A82088"/>
    <w:rsid w:val="00A82136"/>
    <w:rsid w:val="00A82325"/>
    <w:rsid w:val="00A825B7"/>
    <w:rsid w:val="00A82709"/>
    <w:rsid w:val="00A82928"/>
    <w:rsid w:val="00A82B26"/>
    <w:rsid w:val="00A82BDB"/>
    <w:rsid w:val="00A82C3D"/>
    <w:rsid w:val="00A82E6F"/>
    <w:rsid w:val="00A82F61"/>
    <w:rsid w:val="00A82FA5"/>
    <w:rsid w:val="00A83146"/>
    <w:rsid w:val="00A83576"/>
    <w:rsid w:val="00A836F4"/>
    <w:rsid w:val="00A83AC4"/>
    <w:rsid w:val="00A83CBB"/>
    <w:rsid w:val="00A83D48"/>
    <w:rsid w:val="00A83D96"/>
    <w:rsid w:val="00A83EDF"/>
    <w:rsid w:val="00A83F60"/>
    <w:rsid w:val="00A8413C"/>
    <w:rsid w:val="00A8460D"/>
    <w:rsid w:val="00A84689"/>
    <w:rsid w:val="00A8469C"/>
    <w:rsid w:val="00A847D2"/>
    <w:rsid w:val="00A8490F"/>
    <w:rsid w:val="00A849A6"/>
    <w:rsid w:val="00A849FF"/>
    <w:rsid w:val="00A84C8B"/>
    <w:rsid w:val="00A84CF0"/>
    <w:rsid w:val="00A84D8C"/>
    <w:rsid w:val="00A84E5E"/>
    <w:rsid w:val="00A84ED6"/>
    <w:rsid w:val="00A85218"/>
    <w:rsid w:val="00A8547F"/>
    <w:rsid w:val="00A855CD"/>
    <w:rsid w:val="00A85A86"/>
    <w:rsid w:val="00A861B7"/>
    <w:rsid w:val="00A8642C"/>
    <w:rsid w:val="00A86837"/>
    <w:rsid w:val="00A8684E"/>
    <w:rsid w:val="00A86A4E"/>
    <w:rsid w:val="00A86CED"/>
    <w:rsid w:val="00A86DC5"/>
    <w:rsid w:val="00A86DD4"/>
    <w:rsid w:val="00A86F87"/>
    <w:rsid w:val="00A87241"/>
    <w:rsid w:val="00A872BF"/>
    <w:rsid w:val="00A873B9"/>
    <w:rsid w:val="00A87427"/>
    <w:rsid w:val="00A8761C"/>
    <w:rsid w:val="00A876E7"/>
    <w:rsid w:val="00A877C4"/>
    <w:rsid w:val="00A87EAF"/>
    <w:rsid w:val="00A87EBF"/>
    <w:rsid w:val="00A87F51"/>
    <w:rsid w:val="00A900B0"/>
    <w:rsid w:val="00A90412"/>
    <w:rsid w:val="00A90AB1"/>
    <w:rsid w:val="00A90F41"/>
    <w:rsid w:val="00A90F59"/>
    <w:rsid w:val="00A91148"/>
    <w:rsid w:val="00A91419"/>
    <w:rsid w:val="00A9144B"/>
    <w:rsid w:val="00A91DC1"/>
    <w:rsid w:val="00A92140"/>
    <w:rsid w:val="00A9252B"/>
    <w:rsid w:val="00A9273F"/>
    <w:rsid w:val="00A92750"/>
    <w:rsid w:val="00A929EB"/>
    <w:rsid w:val="00A92B06"/>
    <w:rsid w:val="00A92DE2"/>
    <w:rsid w:val="00A93114"/>
    <w:rsid w:val="00A93545"/>
    <w:rsid w:val="00A93695"/>
    <w:rsid w:val="00A93794"/>
    <w:rsid w:val="00A93842"/>
    <w:rsid w:val="00A9389C"/>
    <w:rsid w:val="00A93A19"/>
    <w:rsid w:val="00A93AD9"/>
    <w:rsid w:val="00A943E7"/>
    <w:rsid w:val="00A94764"/>
    <w:rsid w:val="00A9476A"/>
    <w:rsid w:val="00A94849"/>
    <w:rsid w:val="00A94C8F"/>
    <w:rsid w:val="00A94CBA"/>
    <w:rsid w:val="00A95082"/>
    <w:rsid w:val="00A951E9"/>
    <w:rsid w:val="00A95352"/>
    <w:rsid w:val="00A957EA"/>
    <w:rsid w:val="00A9598D"/>
    <w:rsid w:val="00A95A18"/>
    <w:rsid w:val="00A95A4F"/>
    <w:rsid w:val="00A95BB5"/>
    <w:rsid w:val="00A95D09"/>
    <w:rsid w:val="00A95E27"/>
    <w:rsid w:val="00A95E31"/>
    <w:rsid w:val="00A95FA7"/>
    <w:rsid w:val="00A960B2"/>
    <w:rsid w:val="00A96180"/>
    <w:rsid w:val="00A96318"/>
    <w:rsid w:val="00A963B2"/>
    <w:rsid w:val="00A9647B"/>
    <w:rsid w:val="00A964C4"/>
    <w:rsid w:val="00A964CB"/>
    <w:rsid w:val="00A9650F"/>
    <w:rsid w:val="00A96F3A"/>
    <w:rsid w:val="00A96FBE"/>
    <w:rsid w:val="00A9705D"/>
    <w:rsid w:val="00A97122"/>
    <w:rsid w:val="00A97ABA"/>
    <w:rsid w:val="00A97D53"/>
    <w:rsid w:val="00AA0344"/>
    <w:rsid w:val="00AA03F6"/>
    <w:rsid w:val="00AA083D"/>
    <w:rsid w:val="00AA0891"/>
    <w:rsid w:val="00AA1099"/>
    <w:rsid w:val="00AA122D"/>
    <w:rsid w:val="00AA1338"/>
    <w:rsid w:val="00AA13D0"/>
    <w:rsid w:val="00AA160C"/>
    <w:rsid w:val="00AA1628"/>
    <w:rsid w:val="00AA168C"/>
    <w:rsid w:val="00AA1BC9"/>
    <w:rsid w:val="00AA22B0"/>
    <w:rsid w:val="00AA2454"/>
    <w:rsid w:val="00AA2525"/>
    <w:rsid w:val="00AA2928"/>
    <w:rsid w:val="00AA29E0"/>
    <w:rsid w:val="00AA2D31"/>
    <w:rsid w:val="00AA324C"/>
    <w:rsid w:val="00AA3261"/>
    <w:rsid w:val="00AA33C8"/>
    <w:rsid w:val="00AA34CD"/>
    <w:rsid w:val="00AA37FB"/>
    <w:rsid w:val="00AA3DE6"/>
    <w:rsid w:val="00AA4008"/>
    <w:rsid w:val="00AA4233"/>
    <w:rsid w:val="00AA4639"/>
    <w:rsid w:val="00AA4967"/>
    <w:rsid w:val="00AA4AFB"/>
    <w:rsid w:val="00AA4B59"/>
    <w:rsid w:val="00AA4CE6"/>
    <w:rsid w:val="00AA4DFE"/>
    <w:rsid w:val="00AA4FAA"/>
    <w:rsid w:val="00AA52ED"/>
    <w:rsid w:val="00AA59CC"/>
    <w:rsid w:val="00AA5AFB"/>
    <w:rsid w:val="00AA5C30"/>
    <w:rsid w:val="00AA5E32"/>
    <w:rsid w:val="00AA5EB4"/>
    <w:rsid w:val="00AA5F26"/>
    <w:rsid w:val="00AA6226"/>
    <w:rsid w:val="00AA6339"/>
    <w:rsid w:val="00AA683E"/>
    <w:rsid w:val="00AA68F9"/>
    <w:rsid w:val="00AA6A49"/>
    <w:rsid w:val="00AA6C31"/>
    <w:rsid w:val="00AA6DDB"/>
    <w:rsid w:val="00AA73E9"/>
    <w:rsid w:val="00AA76A4"/>
    <w:rsid w:val="00AA794F"/>
    <w:rsid w:val="00AA7C89"/>
    <w:rsid w:val="00AA7CA1"/>
    <w:rsid w:val="00AA7F25"/>
    <w:rsid w:val="00AA7F63"/>
    <w:rsid w:val="00AB012B"/>
    <w:rsid w:val="00AB0397"/>
    <w:rsid w:val="00AB0570"/>
    <w:rsid w:val="00AB0777"/>
    <w:rsid w:val="00AB0852"/>
    <w:rsid w:val="00AB08B6"/>
    <w:rsid w:val="00AB09B1"/>
    <w:rsid w:val="00AB09E8"/>
    <w:rsid w:val="00AB0B79"/>
    <w:rsid w:val="00AB0BB4"/>
    <w:rsid w:val="00AB1251"/>
    <w:rsid w:val="00AB1475"/>
    <w:rsid w:val="00AB14C8"/>
    <w:rsid w:val="00AB1505"/>
    <w:rsid w:val="00AB192D"/>
    <w:rsid w:val="00AB1983"/>
    <w:rsid w:val="00AB1B0D"/>
    <w:rsid w:val="00AB1CEB"/>
    <w:rsid w:val="00AB1D2A"/>
    <w:rsid w:val="00AB229A"/>
    <w:rsid w:val="00AB22AE"/>
    <w:rsid w:val="00AB2564"/>
    <w:rsid w:val="00AB28B2"/>
    <w:rsid w:val="00AB2978"/>
    <w:rsid w:val="00AB29F0"/>
    <w:rsid w:val="00AB2A0A"/>
    <w:rsid w:val="00AB2C55"/>
    <w:rsid w:val="00AB300A"/>
    <w:rsid w:val="00AB3110"/>
    <w:rsid w:val="00AB3134"/>
    <w:rsid w:val="00AB31D0"/>
    <w:rsid w:val="00AB31E1"/>
    <w:rsid w:val="00AB333F"/>
    <w:rsid w:val="00AB3445"/>
    <w:rsid w:val="00AB376F"/>
    <w:rsid w:val="00AB387F"/>
    <w:rsid w:val="00AB3BD9"/>
    <w:rsid w:val="00AB3D50"/>
    <w:rsid w:val="00AB3F95"/>
    <w:rsid w:val="00AB4590"/>
    <w:rsid w:val="00AB4655"/>
    <w:rsid w:val="00AB4837"/>
    <w:rsid w:val="00AB4846"/>
    <w:rsid w:val="00AB4B38"/>
    <w:rsid w:val="00AB4E1D"/>
    <w:rsid w:val="00AB5265"/>
    <w:rsid w:val="00AB5898"/>
    <w:rsid w:val="00AB59AF"/>
    <w:rsid w:val="00AB59E2"/>
    <w:rsid w:val="00AB5AA0"/>
    <w:rsid w:val="00AB5C17"/>
    <w:rsid w:val="00AB5D53"/>
    <w:rsid w:val="00AB6093"/>
    <w:rsid w:val="00AB6437"/>
    <w:rsid w:val="00AB66CC"/>
    <w:rsid w:val="00AB66D3"/>
    <w:rsid w:val="00AB671E"/>
    <w:rsid w:val="00AB6AB5"/>
    <w:rsid w:val="00AB6C49"/>
    <w:rsid w:val="00AB7058"/>
    <w:rsid w:val="00AB708C"/>
    <w:rsid w:val="00AB726E"/>
    <w:rsid w:val="00AB7696"/>
    <w:rsid w:val="00AB7B67"/>
    <w:rsid w:val="00AC0113"/>
    <w:rsid w:val="00AC04D6"/>
    <w:rsid w:val="00AC06E6"/>
    <w:rsid w:val="00AC0818"/>
    <w:rsid w:val="00AC0AB3"/>
    <w:rsid w:val="00AC0AC3"/>
    <w:rsid w:val="00AC0E02"/>
    <w:rsid w:val="00AC0E88"/>
    <w:rsid w:val="00AC1097"/>
    <w:rsid w:val="00AC1448"/>
    <w:rsid w:val="00AC1B93"/>
    <w:rsid w:val="00AC1E86"/>
    <w:rsid w:val="00AC236B"/>
    <w:rsid w:val="00AC2568"/>
    <w:rsid w:val="00AC26A2"/>
    <w:rsid w:val="00AC282C"/>
    <w:rsid w:val="00AC294D"/>
    <w:rsid w:val="00AC2B7B"/>
    <w:rsid w:val="00AC2BFD"/>
    <w:rsid w:val="00AC2D91"/>
    <w:rsid w:val="00AC2EC4"/>
    <w:rsid w:val="00AC2F7C"/>
    <w:rsid w:val="00AC3171"/>
    <w:rsid w:val="00AC334B"/>
    <w:rsid w:val="00AC35B3"/>
    <w:rsid w:val="00AC35D4"/>
    <w:rsid w:val="00AC35D6"/>
    <w:rsid w:val="00AC3620"/>
    <w:rsid w:val="00AC368B"/>
    <w:rsid w:val="00AC3900"/>
    <w:rsid w:val="00AC3920"/>
    <w:rsid w:val="00AC3972"/>
    <w:rsid w:val="00AC3B14"/>
    <w:rsid w:val="00AC3EEF"/>
    <w:rsid w:val="00AC42B5"/>
    <w:rsid w:val="00AC435E"/>
    <w:rsid w:val="00AC49E4"/>
    <w:rsid w:val="00AC4E27"/>
    <w:rsid w:val="00AC4EBE"/>
    <w:rsid w:val="00AC4EDF"/>
    <w:rsid w:val="00AC5118"/>
    <w:rsid w:val="00AC53A7"/>
    <w:rsid w:val="00AC5430"/>
    <w:rsid w:val="00AC558D"/>
    <w:rsid w:val="00AC56B2"/>
    <w:rsid w:val="00AC5B59"/>
    <w:rsid w:val="00AC6054"/>
    <w:rsid w:val="00AC6311"/>
    <w:rsid w:val="00AC632C"/>
    <w:rsid w:val="00AC6341"/>
    <w:rsid w:val="00AC64C2"/>
    <w:rsid w:val="00AC6687"/>
    <w:rsid w:val="00AC67AD"/>
    <w:rsid w:val="00AC68D1"/>
    <w:rsid w:val="00AC6BA6"/>
    <w:rsid w:val="00AC6E62"/>
    <w:rsid w:val="00AC6EB8"/>
    <w:rsid w:val="00AC7320"/>
    <w:rsid w:val="00AC7448"/>
    <w:rsid w:val="00AC74E9"/>
    <w:rsid w:val="00AC76BB"/>
    <w:rsid w:val="00AC7D67"/>
    <w:rsid w:val="00AC7FA2"/>
    <w:rsid w:val="00AD0388"/>
    <w:rsid w:val="00AD03FE"/>
    <w:rsid w:val="00AD0431"/>
    <w:rsid w:val="00AD061F"/>
    <w:rsid w:val="00AD0650"/>
    <w:rsid w:val="00AD06B3"/>
    <w:rsid w:val="00AD08F5"/>
    <w:rsid w:val="00AD0BAF"/>
    <w:rsid w:val="00AD0D33"/>
    <w:rsid w:val="00AD0DFD"/>
    <w:rsid w:val="00AD0E9C"/>
    <w:rsid w:val="00AD1059"/>
    <w:rsid w:val="00AD1195"/>
    <w:rsid w:val="00AD1425"/>
    <w:rsid w:val="00AD15B5"/>
    <w:rsid w:val="00AD1DF9"/>
    <w:rsid w:val="00AD21FF"/>
    <w:rsid w:val="00AD22A9"/>
    <w:rsid w:val="00AD240D"/>
    <w:rsid w:val="00AD2413"/>
    <w:rsid w:val="00AD248D"/>
    <w:rsid w:val="00AD251C"/>
    <w:rsid w:val="00AD25C8"/>
    <w:rsid w:val="00AD25DE"/>
    <w:rsid w:val="00AD2630"/>
    <w:rsid w:val="00AD2665"/>
    <w:rsid w:val="00AD27AD"/>
    <w:rsid w:val="00AD28F4"/>
    <w:rsid w:val="00AD2969"/>
    <w:rsid w:val="00AD29DD"/>
    <w:rsid w:val="00AD2AD1"/>
    <w:rsid w:val="00AD2B26"/>
    <w:rsid w:val="00AD2C71"/>
    <w:rsid w:val="00AD2D32"/>
    <w:rsid w:val="00AD2D3B"/>
    <w:rsid w:val="00AD2FCC"/>
    <w:rsid w:val="00AD3110"/>
    <w:rsid w:val="00AD32AD"/>
    <w:rsid w:val="00AD3485"/>
    <w:rsid w:val="00AD38EA"/>
    <w:rsid w:val="00AD3ABB"/>
    <w:rsid w:val="00AD3D5E"/>
    <w:rsid w:val="00AD41A8"/>
    <w:rsid w:val="00AD4AA0"/>
    <w:rsid w:val="00AD4D1C"/>
    <w:rsid w:val="00AD4E7A"/>
    <w:rsid w:val="00AD5093"/>
    <w:rsid w:val="00AD5105"/>
    <w:rsid w:val="00AD519B"/>
    <w:rsid w:val="00AD54D2"/>
    <w:rsid w:val="00AD56FF"/>
    <w:rsid w:val="00AD5DC2"/>
    <w:rsid w:val="00AD5F4A"/>
    <w:rsid w:val="00AD64DF"/>
    <w:rsid w:val="00AD67AE"/>
    <w:rsid w:val="00AD69B6"/>
    <w:rsid w:val="00AD6B00"/>
    <w:rsid w:val="00AD6D19"/>
    <w:rsid w:val="00AD6EAF"/>
    <w:rsid w:val="00AD7134"/>
    <w:rsid w:val="00AD71F9"/>
    <w:rsid w:val="00AD7AD0"/>
    <w:rsid w:val="00AD7BAB"/>
    <w:rsid w:val="00AD7D6E"/>
    <w:rsid w:val="00AD7D8C"/>
    <w:rsid w:val="00AE00DC"/>
    <w:rsid w:val="00AE040A"/>
    <w:rsid w:val="00AE0412"/>
    <w:rsid w:val="00AE09A3"/>
    <w:rsid w:val="00AE0B5B"/>
    <w:rsid w:val="00AE138C"/>
    <w:rsid w:val="00AE13C2"/>
    <w:rsid w:val="00AE178C"/>
    <w:rsid w:val="00AE199C"/>
    <w:rsid w:val="00AE1D7F"/>
    <w:rsid w:val="00AE248B"/>
    <w:rsid w:val="00AE24A7"/>
    <w:rsid w:val="00AE24B3"/>
    <w:rsid w:val="00AE2645"/>
    <w:rsid w:val="00AE292F"/>
    <w:rsid w:val="00AE29B3"/>
    <w:rsid w:val="00AE2A8B"/>
    <w:rsid w:val="00AE2B3C"/>
    <w:rsid w:val="00AE2B76"/>
    <w:rsid w:val="00AE2C3D"/>
    <w:rsid w:val="00AE2E94"/>
    <w:rsid w:val="00AE2FE8"/>
    <w:rsid w:val="00AE2FF4"/>
    <w:rsid w:val="00AE3250"/>
    <w:rsid w:val="00AE33F3"/>
    <w:rsid w:val="00AE3429"/>
    <w:rsid w:val="00AE34CA"/>
    <w:rsid w:val="00AE34FD"/>
    <w:rsid w:val="00AE3551"/>
    <w:rsid w:val="00AE366A"/>
    <w:rsid w:val="00AE3DA8"/>
    <w:rsid w:val="00AE41CF"/>
    <w:rsid w:val="00AE43B4"/>
    <w:rsid w:val="00AE44D2"/>
    <w:rsid w:val="00AE4920"/>
    <w:rsid w:val="00AE4A51"/>
    <w:rsid w:val="00AE4BEF"/>
    <w:rsid w:val="00AE4E4A"/>
    <w:rsid w:val="00AE4FDF"/>
    <w:rsid w:val="00AE568C"/>
    <w:rsid w:val="00AE56D3"/>
    <w:rsid w:val="00AE59A4"/>
    <w:rsid w:val="00AE6089"/>
    <w:rsid w:val="00AE60BE"/>
    <w:rsid w:val="00AE61E2"/>
    <w:rsid w:val="00AE6719"/>
    <w:rsid w:val="00AE6898"/>
    <w:rsid w:val="00AE68DF"/>
    <w:rsid w:val="00AE68EA"/>
    <w:rsid w:val="00AE7149"/>
    <w:rsid w:val="00AE7433"/>
    <w:rsid w:val="00AE7660"/>
    <w:rsid w:val="00AE768C"/>
    <w:rsid w:val="00AE7B6C"/>
    <w:rsid w:val="00AF01A4"/>
    <w:rsid w:val="00AF0388"/>
    <w:rsid w:val="00AF05B3"/>
    <w:rsid w:val="00AF05F1"/>
    <w:rsid w:val="00AF0A7F"/>
    <w:rsid w:val="00AF0AE8"/>
    <w:rsid w:val="00AF0D76"/>
    <w:rsid w:val="00AF0FAF"/>
    <w:rsid w:val="00AF1196"/>
    <w:rsid w:val="00AF1210"/>
    <w:rsid w:val="00AF17E2"/>
    <w:rsid w:val="00AF18E0"/>
    <w:rsid w:val="00AF1EB3"/>
    <w:rsid w:val="00AF1F6A"/>
    <w:rsid w:val="00AF2660"/>
    <w:rsid w:val="00AF29EB"/>
    <w:rsid w:val="00AF31F9"/>
    <w:rsid w:val="00AF3223"/>
    <w:rsid w:val="00AF3358"/>
    <w:rsid w:val="00AF3415"/>
    <w:rsid w:val="00AF3553"/>
    <w:rsid w:val="00AF37A9"/>
    <w:rsid w:val="00AF37D0"/>
    <w:rsid w:val="00AF3943"/>
    <w:rsid w:val="00AF39C0"/>
    <w:rsid w:val="00AF3D57"/>
    <w:rsid w:val="00AF3F9E"/>
    <w:rsid w:val="00AF400E"/>
    <w:rsid w:val="00AF4430"/>
    <w:rsid w:val="00AF4784"/>
    <w:rsid w:val="00AF4B8C"/>
    <w:rsid w:val="00AF4F5C"/>
    <w:rsid w:val="00AF5533"/>
    <w:rsid w:val="00AF5797"/>
    <w:rsid w:val="00AF5E38"/>
    <w:rsid w:val="00AF621C"/>
    <w:rsid w:val="00AF63E0"/>
    <w:rsid w:val="00AF64AD"/>
    <w:rsid w:val="00AF665B"/>
    <w:rsid w:val="00AF6CD0"/>
    <w:rsid w:val="00AF7405"/>
    <w:rsid w:val="00AF74EA"/>
    <w:rsid w:val="00AF795A"/>
    <w:rsid w:val="00AF7D9F"/>
    <w:rsid w:val="00AF7FB3"/>
    <w:rsid w:val="00AF7FE4"/>
    <w:rsid w:val="00B0037B"/>
    <w:rsid w:val="00B003F7"/>
    <w:rsid w:val="00B0062C"/>
    <w:rsid w:val="00B00860"/>
    <w:rsid w:val="00B008B5"/>
    <w:rsid w:val="00B00986"/>
    <w:rsid w:val="00B00BC0"/>
    <w:rsid w:val="00B00D0A"/>
    <w:rsid w:val="00B0103A"/>
    <w:rsid w:val="00B01217"/>
    <w:rsid w:val="00B018E9"/>
    <w:rsid w:val="00B01963"/>
    <w:rsid w:val="00B01A7E"/>
    <w:rsid w:val="00B01BBA"/>
    <w:rsid w:val="00B01E69"/>
    <w:rsid w:val="00B01F59"/>
    <w:rsid w:val="00B02343"/>
    <w:rsid w:val="00B024D7"/>
    <w:rsid w:val="00B02B37"/>
    <w:rsid w:val="00B02CEF"/>
    <w:rsid w:val="00B02EC5"/>
    <w:rsid w:val="00B0330D"/>
    <w:rsid w:val="00B03333"/>
    <w:rsid w:val="00B03830"/>
    <w:rsid w:val="00B03B3A"/>
    <w:rsid w:val="00B03D73"/>
    <w:rsid w:val="00B03F7F"/>
    <w:rsid w:val="00B043BE"/>
    <w:rsid w:val="00B04BBE"/>
    <w:rsid w:val="00B0546A"/>
    <w:rsid w:val="00B056F4"/>
    <w:rsid w:val="00B0570F"/>
    <w:rsid w:val="00B05743"/>
    <w:rsid w:val="00B05951"/>
    <w:rsid w:val="00B0599F"/>
    <w:rsid w:val="00B05B54"/>
    <w:rsid w:val="00B05B7A"/>
    <w:rsid w:val="00B05C44"/>
    <w:rsid w:val="00B05D39"/>
    <w:rsid w:val="00B05DD4"/>
    <w:rsid w:val="00B061A2"/>
    <w:rsid w:val="00B062C3"/>
    <w:rsid w:val="00B062DB"/>
    <w:rsid w:val="00B063E1"/>
    <w:rsid w:val="00B06444"/>
    <w:rsid w:val="00B06646"/>
    <w:rsid w:val="00B068B8"/>
    <w:rsid w:val="00B06A8D"/>
    <w:rsid w:val="00B06B19"/>
    <w:rsid w:val="00B06C66"/>
    <w:rsid w:val="00B06DDC"/>
    <w:rsid w:val="00B06F02"/>
    <w:rsid w:val="00B06F1F"/>
    <w:rsid w:val="00B070EE"/>
    <w:rsid w:val="00B07112"/>
    <w:rsid w:val="00B07507"/>
    <w:rsid w:val="00B0772E"/>
    <w:rsid w:val="00B0797F"/>
    <w:rsid w:val="00B07A95"/>
    <w:rsid w:val="00B07E03"/>
    <w:rsid w:val="00B10057"/>
    <w:rsid w:val="00B10437"/>
    <w:rsid w:val="00B1048B"/>
    <w:rsid w:val="00B104C6"/>
    <w:rsid w:val="00B104FC"/>
    <w:rsid w:val="00B10A36"/>
    <w:rsid w:val="00B10B2F"/>
    <w:rsid w:val="00B10DF0"/>
    <w:rsid w:val="00B10E30"/>
    <w:rsid w:val="00B114FC"/>
    <w:rsid w:val="00B1158D"/>
    <w:rsid w:val="00B115E0"/>
    <w:rsid w:val="00B11BBF"/>
    <w:rsid w:val="00B11E03"/>
    <w:rsid w:val="00B11F97"/>
    <w:rsid w:val="00B120A1"/>
    <w:rsid w:val="00B12507"/>
    <w:rsid w:val="00B12542"/>
    <w:rsid w:val="00B1265E"/>
    <w:rsid w:val="00B1277D"/>
    <w:rsid w:val="00B1280E"/>
    <w:rsid w:val="00B12827"/>
    <w:rsid w:val="00B128B9"/>
    <w:rsid w:val="00B12DE1"/>
    <w:rsid w:val="00B12DEE"/>
    <w:rsid w:val="00B12F6E"/>
    <w:rsid w:val="00B13C04"/>
    <w:rsid w:val="00B13FFB"/>
    <w:rsid w:val="00B144C7"/>
    <w:rsid w:val="00B1466E"/>
    <w:rsid w:val="00B1472A"/>
    <w:rsid w:val="00B14787"/>
    <w:rsid w:val="00B1483A"/>
    <w:rsid w:val="00B149D3"/>
    <w:rsid w:val="00B14A0D"/>
    <w:rsid w:val="00B14C7B"/>
    <w:rsid w:val="00B14D02"/>
    <w:rsid w:val="00B15034"/>
    <w:rsid w:val="00B150C8"/>
    <w:rsid w:val="00B15334"/>
    <w:rsid w:val="00B15414"/>
    <w:rsid w:val="00B15478"/>
    <w:rsid w:val="00B1563D"/>
    <w:rsid w:val="00B15B72"/>
    <w:rsid w:val="00B15DDB"/>
    <w:rsid w:val="00B15FD2"/>
    <w:rsid w:val="00B16228"/>
    <w:rsid w:val="00B16252"/>
    <w:rsid w:val="00B16768"/>
    <w:rsid w:val="00B167F9"/>
    <w:rsid w:val="00B16CE4"/>
    <w:rsid w:val="00B17853"/>
    <w:rsid w:val="00B200F9"/>
    <w:rsid w:val="00B20101"/>
    <w:rsid w:val="00B208A3"/>
    <w:rsid w:val="00B20F94"/>
    <w:rsid w:val="00B21399"/>
    <w:rsid w:val="00B21682"/>
    <w:rsid w:val="00B21DDC"/>
    <w:rsid w:val="00B21DFB"/>
    <w:rsid w:val="00B22CBB"/>
    <w:rsid w:val="00B22D43"/>
    <w:rsid w:val="00B23154"/>
    <w:rsid w:val="00B23165"/>
    <w:rsid w:val="00B231B4"/>
    <w:rsid w:val="00B239E7"/>
    <w:rsid w:val="00B23CA7"/>
    <w:rsid w:val="00B23D34"/>
    <w:rsid w:val="00B2419F"/>
    <w:rsid w:val="00B24A00"/>
    <w:rsid w:val="00B24BE4"/>
    <w:rsid w:val="00B24D66"/>
    <w:rsid w:val="00B25169"/>
    <w:rsid w:val="00B25953"/>
    <w:rsid w:val="00B259D2"/>
    <w:rsid w:val="00B25C83"/>
    <w:rsid w:val="00B25DC5"/>
    <w:rsid w:val="00B26018"/>
    <w:rsid w:val="00B26051"/>
    <w:rsid w:val="00B26105"/>
    <w:rsid w:val="00B26385"/>
    <w:rsid w:val="00B264AF"/>
    <w:rsid w:val="00B26882"/>
    <w:rsid w:val="00B26928"/>
    <w:rsid w:val="00B269AD"/>
    <w:rsid w:val="00B26BD5"/>
    <w:rsid w:val="00B27024"/>
    <w:rsid w:val="00B3010B"/>
    <w:rsid w:val="00B3015C"/>
    <w:rsid w:val="00B301B0"/>
    <w:rsid w:val="00B30235"/>
    <w:rsid w:val="00B30286"/>
    <w:rsid w:val="00B302DB"/>
    <w:rsid w:val="00B30634"/>
    <w:rsid w:val="00B307CD"/>
    <w:rsid w:val="00B3094D"/>
    <w:rsid w:val="00B30AD7"/>
    <w:rsid w:val="00B30AF6"/>
    <w:rsid w:val="00B30ECF"/>
    <w:rsid w:val="00B3134F"/>
    <w:rsid w:val="00B31391"/>
    <w:rsid w:val="00B316F9"/>
    <w:rsid w:val="00B319A2"/>
    <w:rsid w:val="00B31B02"/>
    <w:rsid w:val="00B31BEF"/>
    <w:rsid w:val="00B31C02"/>
    <w:rsid w:val="00B31F41"/>
    <w:rsid w:val="00B3228E"/>
    <w:rsid w:val="00B32358"/>
    <w:rsid w:val="00B324CD"/>
    <w:rsid w:val="00B32681"/>
    <w:rsid w:val="00B326E5"/>
    <w:rsid w:val="00B32836"/>
    <w:rsid w:val="00B32E95"/>
    <w:rsid w:val="00B32E96"/>
    <w:rsid w:val="00B32ECC"/>
    <w:rsid w:val="00B32F26"/>
    <w:rsid w:val="00B33119"/>
    <w:rsid w:val="00B3325F"/>
    <w:rsid w:val="00B33299"/>
    <w:rsid w:val="00B33455"/>
    <w:rsid w:val="00B3370F"/>
    <w:rsid w:val="00B339C0"/>
    <w:rsid w:val="00B33A83"/>
    <w:rsid w:val="00B33A97"/>
    <w:rsid w:val="00B33B74"/>
    <w:rsid w:val="00B33BBC"/>
    <w:rsid w:val="00B33CBA"/>
    <w:rsid w:val="00B33CF1"/>
    <w:rsid w:val="00B33D3D"/>
    <w:rsid w:val="00B33DB6"/>
    <w:rsid w:val="00B33E7F"/>
    <w:rsid w:val="00B34053"/>
    <w:rsid w:val="00B340DC"/>
    <w:rsid w:val="00B340DD"/>
    <w:rsid w:val="00B34487"/>
    <w:rsid w:val="00B344A4"/>
    <w:rsid w:val="00B34532"/>
    <w:rsid w:val="00B347A5"/>
    <w:rsid w:val="00B347FD"/>
    <w:rsid w:val="00B348FA"/>
    <w:rsid w:val="00B34C88"/>
    <w:rsid w:val="00B3535A"/>
    <w:rsid w:val="00B3535D"/>
    <w:rsid w:val="00B3556C"/>
    <w:rsid w:val="00B35752"/>
    <w:rsid w:val="00B35914"/>
    <w:rsid w:val="00B35926"/>
    <w:rsid w:val="00B35BF8"/>
    <w:rsid w:val="00B35D07"/>
    <w:rsid w:val="00B35DF0"/>
    <w:rsid w:val="00B36070"/>
    <w:rsid w:val="00B36288"/>
    <w:rsid w:val="00B36349"/>
    <w:rsid w:val="00B367E4"/>
    <w:rsid w:val="00B36A72"/>
    <w:rsid w:val="00B36EA5"/>
    <w:rsid w:val="00B372C9"/>
    <w:rsid w:val="00B372D3"/>
    <w:rsid w:val="00B373C2"/>
    <w:rsid w:val="00B377B5"/>
    <w:rsid w:val="00B377D2"/>
    <w:rsid w:val="00B378D3"/>
    <w:rsid w:val="00B379A2"/>
    <w:rsid w:val="00B37D56"/>
    <w:rsid w:val="00B40304"/>
    <w:rsid w:val="00B403D1"/>
    <w:rsid w:val="00B405E3"/>
    <w:rsid w:val="00B40CD2"/>
    <w:rsid w:val="00B41233"/>
    <w:rsid w:val="00B413E2"/>
    <w:rsid w:val="00B41576"/>
    <w:rsid w:val="00B41612"/>
    <w:rsid w:val="00B4161B"/>
    <w:rsid w:val="00B4165E"/>
    <w:rsid w:val="00B4174F"/>
    <w:rsid w:val="00B4176D"/>
    <w:rsid w:val="00B41B32"/>
    <w:rsid w:val="00B41E17"/>
    <w:rsid w:val="00B41E1D"/>
    <w:rsid w:val="00B41E7D"/>
    <w:rsid w:val="00B41F5E"/>
    <w:rsid w:val="00B42588"/>
    <w:rsid w:val="00B42658"/>
    <w:rsid w:val="00B4265D"/>
    <w:rsid w:val="00B42A2A"/>
    <w:rsid w:val="00B42E57"/>
    <w:rsid w:val="00B42EA1"/>
    <w:rsid w:val="00B43161"/>
    <w:rsid w:val="00B431A4"/>
    <w:rsid w:val="00B431B2"/>
    <w:rsid w:val="00B43386"/>
    <w:rsid w:val="00B434DF"/>
    <w:rsid w:val="00B437B0"/>
    <w:rsid w:val="00B43B1B"/>
    <w:rsid w:val="00B43DAF"/>
    <w:rsid w:val="00B4476C"/>
    <w:rsid w:val="00B448EB"/>
    <w:rsid w:val="00B4497A"/>
    <w:rsid w:val="00B44D9F"/>
    <w:rsid w:val="00B44E5D"/>
    <w:rsid w:val="00B45104"/>
    <w:rsid w:val="00B45152"/>
    <w:rsid w:val="00B4520D"/>
    <w:rsid w:val="00B4523F"/>
    <w:rsid w:val="00B45D56"/>
    <w:rsid w:val="00B45E4F"/>
    <w:rsid w:val="00B463D3"/>
    <w:rsid w:val="00B463E6"/>
    <w:rsid w:val="00B46439"/>
    <w:rsid w:val="00B467E6"/>
    <w:rsid w:val="00B469A2"/>
    <w:rsid w:val="00B46E33"/>
    <w:rsid w:val="00B472F3"/>
    <w:rsid w:val="00B473BD"/>
    <w:rsid w:val="00B47410"/>
    <w:rsid w:val="00B47793"/>
    <w:rsid w:val="00B478C3"/>
    <w:rsid w:val="00B478C4"/>
    <w:rsid w:val="00B47EF3"/>
    <w:rsid w:val="00B47FDC"/>
    <w:rsid w:val="00B501E7"/>
    <w:rsid w:val="00B502BC"/>
    <w:rsid w:val="00B50411"/>
    <w:rsid w:val="00B505E3"/>
    <w:rsid w:val="00B506CC"/>
    <w:rsid w:val="00B50735"/>
    <w:rsid w:val="00B507A2"/>
    <w:rsid w:val="00B507E5"/>
    <w:rsid w:val="00B50D22"/>
    <w:rsid w:val="00B50E73"/>
    <w:rsid w:val="00B50FE6"/>
    <w:rsid w:val="00B5104E"/>
    <w:rsid w:val="00B51CBB"/>
    <w:rsid w:val="00B51DA9"/>
    <w:rsid w:val="00B520E0"/>
    <w:rsid w:val="00B52114"/>
    <w:rsid w:val="00B52177"/>
    <w:rsid w:val="00B524FB"/>
    <w:rsid w:val="00B5266D"/>
    <w:rsid w:val="00B527EA"/>
    <w:rsid w:val="00B52D36"/>
    <w:rsid w:val="00B52EB7"/>
    <w:rsid w:val="00B53328"/>
    <w:rsid w:val="00B5332C"/>
    <w:rsid w:val="00B5344C"/>
    <w:rsid w:val="00B53C6E"/>
    <w:rsid w:val="00B5407F"/>
    <w:rsid w:val="00B54255"/>
    <w:rsid w:val="00B5429A"/>
    <w:rsid w:val="00B542EC"/>
    <w:rsid w:val="00B5470D"/>
    <w:rsid w:val="00B5479B"/>
    <w:rsid w:val="00B54AC3"/>
    <w:rsid w:val="00B54B0B"/>
    <w:rsid w:val="00B54C5C"/>
    <w:rsid w:val="00B54D71"/>
    <w:rsid w:val="00B54D76"/>
    <w:rsid w:val="00B54E11"/>
    <w:rsid w:val="00B5555A"/>
    <w:rsid w:val="00B55647"/>
    <w:rsid w:val="00B5581C"/>
    <w:rsid w:val="00B55D3A"/>
    <w:rsid w:val="00B55EBF"/>
    <w:rsid w:val="00B55FDD"/>
    <w:rsid w:val="00B560EA"/>
    <w:rsid w:val="00B56250"/>
    <w:rsid w:val="00B5629A"/>
    <w:rsid w:val="00B56687"/>
    <w:rsid w:val="00B56AB8"/>
    <w:rsid w:val="00B56B67"/>
    <w:rsid w:val="00B56D1B"/>
    <w:rsid w:val="00B571FC"/>
    <w:rsid w:val="00B5741A"/>
    <w:rsid w:val="00B574D3"/>
    <w:rsid w:val="00B57556"/>
    <w:rsid w:val="00B5777E"/>
    <w:rsid w:val="00B578C0"/>
    <w:rsid w:val="00B5791B"/>
    <w:rsid w:val="00B57A7C"/>
    <w:rsid w:val="00B600DB"/>
    <w:rsid w:val="00B6010F"/>
    <w:rsid w:val="00B602A7"/>
    <w:rsid w:val="00B602A9"/>
    <w:rsid w:val="00B602CF"/>
    <w:rsid w:val="00B603A6"/>
    <w:rsid w:val="00B60667"/>
    <w:rsid w:val="00B6067A"/>
    <w:rsid w:val="00B60728"/>
    <w:rsid w:val="00B60766"/>
    <w:rsid w:val="00B60B95"/>
    <w:rsid w:val="00B60BD1"/>
    <w:rsid w:val="00B61084"/>
    <w:rsid w:val="00B6116A"/>
    <w:rsid w:val="00B61563"/>
    <w:rsid w:val="00B61680"/>
    <w:rsid w:val="00B6178B"/>
    <w:rsid w:val="00B61C2E"/>
    <w:rsid w:val="00B61EEE"/>
    <w:rsid w:val="00B61FD8"/>
    <w:rsid w:val="00B620B2"/>
    <w:rsid w:val="00B6254E"/>
    <w:rsid w:val="00B62AB6"/>
    <w:rsid w:val="00B62B15"/>
    <w:rsid w:val="00B62D0D"/>
    <w:rsid w:val="00B630B1"/>
    <w:rsid w:val="00B63134"/>
    <w:rsid w:val="00B63297"/>
    <w:rsid w:val="00B63622"/>
    <w:rsid w:val="00B637FE"/>
    <w:rsid w:val="00B639D7"/>
    <w:rsid w:val="00B63A3F"/>
    <w:rsid w:val="00B63DDE"/>
    <w:rsid w:val="00B63F33"/>
    <w:rsid w:val="00B64247"/>
    <w:rsid w:val="00B64448"/>
    <w:rsid w:val="00B64758"/>
    <w:rsid w:val="00B64D77"/>
    <w:rsid w:val="00B64FE2"/>
    <w:rsid w:val="00B651CA"/>
    <w:rsid w:val="00B65600"/>
    <w:rsid w:val="00B6579F"/>
    <w:rsid w:val="00B65A53"/>
    <w:rsid w:val="00B65DC4"/>
    <w:rsid w:val="00B662D5"/>
    <w:rsid w:val="00B66338"/>
    <w:rsid w:val="00B66551"/>
    <w:rsid w:val="00B66595"/>
    <w:rsid w:val="00B6662C"/>
    <w:rsid w:val="00B66A1E"/>
    <w:rsid w:val="00B66ACD"/>
    <w:rsid w:val="00B66C64"/>
    <w:rsid w:val="00B67003"/>
    <w:rsid w:val="00B67297"/>
    <w:rsid w:val="00B676E3"/>
    <w:rsid w:val="00B679AF"/>
    <w:rsid w:val="00B67D57"/>
    <w:rsid w:val="00B67E50"/>
    <w:rsid w:val="00B67EEE"/>
    <w:rsid w:val="00B70091"/>
    <w:rsid w:val="00B703AF"/>
    <w:rsid w:val="00B704A6"/>
    <w:rsid w:val="00B70529"/>
    <w:rsid w:val="00B70739"/>
    <w:rsid w:val="00B70855"/>
    <w:rsid w:val="00B7099B"/>
    <w:rsid w:val="00B70A67"/>
    <w:rsid w:val="00B70AD6"/>
    <w:rsid w:val="00B70B44"/>
    <w:rsid w:val="00B71063"/>
    <w:rsid w:val="00B7111D"/>
    <w:rsid w:val="00B71183"/>
    <w:rsid w:val="00B7125C"/>
    <w:rsid w:val="00B71D39"/>
    <w:rsid w:val="00B71DEA"/>
    <w:rsid w:val="00B721DA"/>
    <w:rsid w:val="00B722CA"/>
    <w:rsid w:val="00B72A56"/>
    <w:rsid w:val="00B72AE9"/>
    <w:rsid w:val="00B72CB8"/>
    <w:rsid w:val="00B72F2E"/>
    <w:rsid w:val="00B730A0"/>
    <w:rsid w:val="00B73518"/>
    <w:rsid w:val="00B73683"/>
    <w:rsid w:val="00B7399B"/>
    <w:rsid w:val="00B73B18"/>
    <w:rsid w:val="00B73D2A"/>
    <w:rsid w:val="00B73F5F"/>
    <w:rsid w:val="00B7417C"/>
    <w:rsid w:val="00B7422E"/>
    <w:rsid w:val="00B74296"/>
    <w:rsid w:val="00B74325"/>
    <w:rsid w:val="00B746DE"/>
    <w:rsid w:val="00B747C6"/>
    <w:rsid w:val="00B749E3"/>
    <w:rsid w:val="00B74A82"/>
    <w:rsid w:val="00B74B1F"/>
    <w:rsid w:val="00B74B5A"/>
    <w:rsid w:val="00B75252"/>
    <w:rsid w:val="00B752D3"/>
    <w:rsid w:val="00B75519"/>
    <w:rsid w:val="00B75804"/>
    <w:rsid w:val="00B75B1A"/>
    <w:rsid w:val="00B75B37"/>
    <w:rsid w:val="00B75B4E"/>
    <w:rsid w:val="00B75EAD"/>
    <w:rsid w:val="00B760AB"/>
    <w:rsid w:val="00B761F3"/>
    <w:rsid w:val="00B763F1"/>
    <w:rsid w:val="00B76413"/>
    <w:rsid w:val="00B76447"/>
    <w:rsid w:val="00B7665B"/>
    <w:rsid w:val="00B76C7C"/>
    <w:rsid w:val="00B7717B"/>
    <w:rsid w:val="00B77231"/>
    <w:rsid w:val="00B77457"/>
    <w:rsid w:val="00B77611"/>
    <w:rsid w:val="00B77777"/>
    <w:rsid w:val="00B777CA"/>
    <w:rsid w:val="00B77858"/>
    <w:rsid w:val="00B77A59"/>
    <w:rsid w:val="00B77B06"/>
    <w:rsid w:val="00B77B13"/>
    <w:rsid w:val="00B77E3B"/>
    <w:rsid w:val="00B77F1B"/>
    <w:rsid w:val="00B77FDF"/>
    <w:rsid w:val="00B80101"/>
    <w:rsid w:val="00B8015A"/>
    <w:rsid w:val="00B80333"/>
    <w:rsid w:val="00B804B7"/>
    <w:rsid w:val="00B80784"/>
    <w:rsid w:val="00B809ED"/>
    <w:rsid w:val="00B80CD8"/>
    <w:rsid w:val="00B80E33"/>
    <w:rsid w:val="00B80F48"/>
    <w:rsid w:val="00B81146"/>
    <w:rsid w:val="00B813FA"/>
    <w:rsid w:val="00B81528"/>
    <w:rsid w:val="00B815AB"/>
    <w:rsid w:val="00B816C4"/>
    <w:rsid w:val="00B8184E"/>
    <w:rsid w:val="00B81960"/>
    <w:rsid w:val="00B819CB"/>
    <w:rsid w:val="00B81A68"/>
    <w:rsid w:val="00B81D3F"/>
    <w:rsid w:val="00B81EF0"/>
    <w:rsid w:val="00B81F6B"/>
    <w:rsid w:val="00B820A4"/>
    <w:rsid w:val="00B82458"/>
    <w:rsid w:val="00B824F7"/>
    <w:rsid w:val="00B82B19"/>
    <w:rsid w:val="00B82B25"/>
    <w:rsid w:val="00B82C74"/>
    <w:rsid w:val="00B82CBA"/>
    <w:rsid w:val="00B82F02"/>
    <w:rsid w:val="00B833C9"/>
    <w:rsid w:val="00B8351D"/>
    <w:rsid w:val="00B83589"/>
    <w:rsid w:val="00B837F6"/>
    <w:rsid w:val="00B83803"/>
    <w:rsid w:val="00B838C0"/>
    <w:rsid w:val="00B83EA2"/>
    <w:rsid w:val="00B841F9"/>
    <w:rsid w:val="00B842F2"/>
    <w:rsid w:val="00B84FFE"/>
    <w:rsid w:val="00B852EB"/>
    <w:rsid w:val="00B8532A"/>
    <w:rsid w:val="00B853AD"/>
    <w:rsid w:val="00B853CE"/>
    <w:rsid w:val="00B855E6"/>
    <w:rsid w:val="00B858D1"/>
    <w:rsid w:val="00B85E55"/>
    <w:rsid w:val="00B85F90"/>
    <w:rsid w:val="00B86060"/>
    <w:rsid w:val="00B86834"/>
    <w:rsid w:val="00B8687D"/>
    <w:rsid w:val="00B86A5F"/>
    <w:rsid w:val="00B86B01"/>
    <w:rsid w:val="00B87456"/>
    <w:rsid w:val="00B87B7A"/>
    <w:rsid w:val="00B90941"/>
    <w:rsid w:val="00B90D63"/>
    <w:rsid w:val="00B910C7"/>
    <w:rsid w:val="00B91124"/>
    <w:rsid w:val="00B912D0"/>
    <w:rsid w:val="00B9153F"/>
    <w:rsid w:val="00B91564"/>
    <w:rsid w:val="00B917A9"/>
    <w:rsid w:val="00B918E6"/>
    <w:rsid w:val="00B91C29"/>
    <w:rsid w:val="00B92273"/>
    <w:rsid w:val="00B92826"/>
    <w:rsid w:val="00B92984"/>
    <w:rsid w:val="00B92998"/>
    <w:rsid w:val="00B92A5C"/>
    <w:rsid w:val="00B92D81"/>
    <w:rsid w:val="00B931B6"/>
    <w:rsid w:val="00B9341A"/>
    <w:rsid w:val="00B9390B"/>
    <w:rsid w:val="00B93A7A"/>
    <w:rsid w:val="00B93B33"/>
    <w:rsid w:val="00B93BA4"/>
    <w:rsid w:val="00B93C67"/>
    <w:rsid w:val="00B93EE1"/>
    <w:rsid w:val="00B93F71"/>
    <w:rsid w:val="00B9407F"/>
    <w:rsid w:val="00B944C6"/>
    <w:rsid w:val="00B9478F"/>
    <w:rsid w:val="00B9486C"/>
    <w:rsid w:val="00B94883"/>
    <w:rsid w:val="00B94FB4"/>
    <w:rsid w:val="00B94FB8"/>
    <w:rsid w:val="00B95009"/>
    <w:rsid w:val="00B9512C"/>
    <w:rsid w:val="00B9514F"/>
    <w:rsid w:val="00B951CC"/>
    <w:rsid w:val="00B952AC"/>
    <w:rsid w:val="00B958E7"/>
    <w:rsid w:val="00B96014"/>
    <w:rsid w:val="00B961E6"/>
    <w:rsid w:val="00B965A4"/>
    <w:rsid w:val="00B966D7"/>
    <w:rsid w:val="00B968FA"/>
    <w:rsid w:val="00B96957"/>
    <w:rsid w:val="00B96AA2"/>
    <w:rsid w:val="00B96ACB"/>
    <w:rsid w:val="00B96D7E"/>
    <w:rsid w:val="00B96DD3"/>
    <w:rsid w:val="00B96FF5"/>
    <w:rsid w:val="00B97077"/>
    <w:rsid w:val="00B979DE"/>
    <w:rsid w:val="00B97D0B"/>
    <w:rsid w:val="00B97D26"/>
    <w:rsid w:val="00B97D75"/>
    <w:rsid w:val="00B97E7C"/>
    <w:rsid w:val="00B97F72"/>
    <w:rsid w:val="00B97FC5"/>
    <w:rsid w:val="00B97FE6"/>
    <w:rsid w:val="00BA014E"/>
    <w:rsid w:val="00BA046D"/>
    <w:rsid w:val="00BA0C05"/>
    <w:rsid w:val="00BA0F42"/>
    <w:rsid w:val="00BA11BA"/>
    <w:rsid w:val="00BA1213"/>
    <w:rsid w:val="00BA1318"/>
    <w:rsid w:val="00BA13CD"/>
    <w:rsid w:val="00BA1552"/>
    <w:rsid w:val="00BA18F7"/>
    <w:rsid w:val="00BA19AE"/>
    <w:rsid w:val="00BA1E16"/>
    <w:rsid w:val="00BA2692"/>
    <w:rsid w:val="00BA278E"/>
    <w:rsid w:val="00BA282F"/>
    <w:rsid w:val="00BA2874"/>
    <w:rsid w:val="00BA28FF"/>
    <w:rsid w:val="00BA2B90"/>
    <w:rsid w:val="00BA2C9C"/>
    <w:rsid w:val="00BA2E47"/>
    <w:rsid w:val="00BA2EEA"/>
    <w:rsid w:val="00BA2F98"/>
    <w:rsid w:val="00BA3123"/>
    <w:rsid w:val="00BA3658"/>
    <w:rsid w:val="00BA3B53"/>
    <w:rsid w:val="00BA3CCC"/>
    <w:rsid w:val="00BA420D"/>
    <w:rsid w:val="00BA444D"/>
    <w:rsid w:val="00BA44A4"/>
    <w:rsid w:val="00BA46F1"/>
    <w:rsid w:val="00BA4702"/>
    <w:rsid w:val="00BA47A7"/>
    <w:rsid w:val="00BA4844"/>
    <w:rsid w:val="00BA4B87"/>
    <w:rsid w:val="00BA4CAF"/>
    <w:rsid w:val="00BA4F09"/>
    <w:rsid w:val="00BA50AA"/>
    <w:rsid w:val="00BA50EE"/>
    <w:rsid w:val="00BA53AB"/>
    <w:rsid w:val="00BA5587"/>
    <w:rsid w:val="00BA5B57"/>
    <w:rsid w:val="00BA5BF2"/>
    <w:rsid w:val="00BA60BF"/>
    <w:rsid w:val="00BA6639"/>
    <w:rsid w:val="00BA68B8"/>
    <w:rsid w:val="00BA6A61"/>
    <w:rsid w:val="00BA6A79"/>
    <w:rsid w:val="00BA7116"/>
    <w:rsid w:val="00BA725F"/>
    <w:rsid w:val="00BA78FF"/>
    <w:rsid w:val="00BA7A1E"/>
    <w:rsid w:val="00BA7E84"/>
    <w:rsid w:val="00BA7EB5"/>
    <w:rsid w:val="00BA7F0D"/>
    <w:rsid w:val="00BB011F"/>
    <w:rsid w:val="00BB0467"/>
    <w:rsid w:val="00BB0581"/>
    <w:rsid w:val="00BB08DD"/>
    <w:rsid w:val="00BB0CDE"/>
    <w:rsid w:val="00BB100E"/>
    <w:rsid w:val="00BB10BB"/>
    <w:rsid w:val="00BB110D"/>
    <w:rsid w:val="00BB1294"/>
    <w:rsid w:val="00BB12D2"/>
    <w:rsid w:val="00BB1343"/>
    <w:rsid w:val="00BB1634"/>
    <w:rsid w:val="00BB182F"/>
    <w:rsid w:val="00BB1918"/>
    <w:rsid w:val="00BB1B4E"/>
    <w:rsid w:val="00BB1CB3"/>
    <w:rsid w:val="00BB1CD0"/>
    <w:rsid w:val="00BB1CDF"/>
    <w:rsid w:val="00BB225D"/>
    <w:rsid w:val="00BB242E"/>
    <w:rsid w:val="00BB2440"/>
    <w:rsid w:val="00BB2962"/>
    <w:rsid w:val="00BB2A3A"/>
    <w:rsid w:val="00BB2B21"/>
    <w:rsid w:val="00BB2F4C"/>
    <w:rsid w:val="00BB3264"/>
    <w:rsid w:val="00BB3314"/>
    <w:rsid w:val="00BB332C"/>
    <w:rsid w:val="00BB356F"/>
    <w:rsid w:val="00BB363E"/>
    <w:rsid w:val="00BB3833"/>
    <w:rsid w:val="00BB388B"/>
    <w:rsid w:val="00BB400F"/>
    <w:rsid w:val="00BB4286"/>
    <w:rsid w:val="00BB440F"/>
    <w:rsid w:val="00BB4506"/>
    <w:rsid w:val="00BB470E"/>
    <w:rsid w:val="00BB483D"/>
    <w:rsid w:val="00BB5061"/>
    <w:rsid w:val="00BB507D"/>
    <w:rsid w:val="00BB5131"/>
    <w:rsid w:val="00BB52A7"/>
    <w:rsid w:val="00BB542F"/>
    <w:rsid w:val="00BB5745"/>
    <w:rsid w:val="00BB5782"/>
    <w:rsid w:val="00BB57D8"/>
    <w:rsid w:val="00BB57FE"/>
    <w:rsid w:val="00BB589F"/>
    <w:rsid w:val="00BB5A0F"/>
    <w:rsid w:val="00BB5E1F"/>
    <w:rsid w:val="00BB600A"/>
    <w:rsid w:val="00BB606D"/>
    <w:rsid w:val="00BB6545"/>
    <w:rsid w:val="00BB667A"/>
    <w:rsid w:val="00BB6767"/>
    <w:rsid w:val="00BB6786"/>
    <w:rsid w:val="00BB6856"/>
    <w:rsid w:val="00BB6A32"/>
    <w:rsid w:val="00BB6ACD"/>
    <w:rsid w:val="00BB6AD5"/>
    <w:rsid w:val="00BB6D52"/>
    <w:rsid w:val="00BB7013"/>
    <w:rsid w:val="00BB7157"/>
    <w:rsid w:val="00BB717D"/>
    <w:rsid w:val="00BB7397"/>
    <w:rsid w:val="00BB77FC"/>
    <w:rsid w:val="00BB78F2"/>
    <w:rsid w:val="00BB7930"/>
    <w:rsid w:val="00BB7B42"/>
    <w:rsid w:val="00BB7D5C"/>
    <w:rsid w:val="00BB7E3E"/>
    <w:rsid w:val="00BB7FF2"/>
    <w:rsid w:val="00BC04A5"/>
    <w:rsid w:val="00BC085C"/>
    <w:rsid w:val="00BC0898"/>
    <w:rsid w:val="00BC098F"/>
    <w:rsid w:val="00BC0C64"/>
    <w:rsid w:val="00BC0EAC"/>
    <w:rsid w:val="00BC0FA0"/>
    <w:rsid w:val="00BC11FE"/>
    <w:rsid w:val="00BC1206"/>
    <w:rsid w:val="00BC1210"/>
    <w:rsid w:val="00BC1821"/>
    <w:rsid w:val="00BC1AF6"/>
    <w:rsid w:val="00BC2022"/>
    <w:rsid w:val="00BC20B2"/>
    <w:rsid w:val="00BC24F0"/>
    <w:rsid w:val="00BC24FB"/>
    <w:rsid w:val="00BC253D"/>
    <w:rsid w:val="00BC2822"/>
    <w:rsid w:val="00BC28DC"/>
    <w:rsid w:val="00BC2A2A"/>
    <w:rsid w:val="00BC2BDF"/>
    <w:rsid w:val="00BC2E13"/>
    <w:rsid w:val="00BC2E78"/>
    <w:rsid w:val="00BC35CC"/>
    <w:rsid w:val="00BC375F"/>
    <w:rsid w:val="00BC37DB"/>
    <w:rsid w:val="00BC3891"/>
    <w:rsid w:val="00BC39D0"/>
    <w:rsid w:val="00BC3FA6"/>
    <w:rsid w:val="00BC42A1"/>
    <w:rsid w:val="00BC47F1"/>
    <w:rsid w:val="00BC4867"/>
    <w:rsid w:val="00BC48AA"/>
    <w:rsid w:val="00BC4BA9"/>
    <w:rsid w:val="00BC4C51"/>
    <w:rsid w:val="00BC4CBD"/>
    <w:rsid w:val="00BC4CEC"/>
    <w:rsid w:val="00BC4DFB"/>
    <w:rsid w:val="00BC5000"/>
    <w:rsid w:val="00BC508F"/>
    <w:rsid w:val="00BC512E"/>
    <w:rsid w:val="00BC536F"/>
    <w:rsid w:val="00BC5578"/>
    <w:rsid w:val="00BC567F"/>
    <w:rsid w:val="00BC598E"/>
    <w:rsid w:val="00BC59DA"/>
    <w:rsid w:val="00BC5A2B"/>
    <w:rsid w:val="00BC5B3A"/>
    <w:rsid w:val="00BC5C68"/>
    <w:rsid w:val="00BC5EDD"/>
    <w:rsid w:val="00BC5F55"/>
    <w:rsid w:val="00BC6283"/>
    <w:rsid w:val="00BC641F"/>
    <w:rsid w:val="00BC6592"/>
    <w:rsid w:val="00BC674D"/>
    <w:rsid w:val="00BC688F"/>
    <w:rsid w:val="00BC6936"/>
    <w:rsid w:val="00BC6B59"/>
    <w:rsid w:val="00BC6C65"/>
    <w:rsid w:val="00BC6C93"/>
    <w:rsid w:val="00BC6CE3"/>
    <w:rsid w:val="00BC705D"/>
    <w:rsid w:val="00BC74B4"/>
    <w:rsid w:val="00BC7701"/>
    <w:rsid w:val="00BC7ACB"/>
    <w:rsid w:val="00BC7CA9"/>
    <w:rsid w:val="00BC7E93"/>
    <w:rsid w:val="00BC7ECF"/>
    <w:rsid w:val="00BC7EFE"/>
    <w:rsid w:val="00BC7FDB"/>
    <w:rsid w:val="00BD0047"/>
    <w:rsid w:val="00BD013A"/>
    <w:rsid w:val="00BD0769"/>
    <w:rsid w:val="00BD0785"/>
    <w:rsid w:val="00BD095F"/>
    <w:rsid w:val="00BD0DF6"/>
    <w:rsid w:val="00BD1029"/>
    <w:rsid w:val="00BD10C9"/>
    <w:rsid w:val="00BD1B07"/>
    <w:rsid w:val="00BD1BC7"/>
    <w:rsid w:val="00BD2034"/>
    <w:rsid w:val="00BD2303"/>
    <w:rsid w:val="00BD2366"/>
    <w:rsid w:val="00BD23BF"/>
    <w:rsid w:val="00BD2601"/>
    <w:rsid w:val="00BD2685"/>
    <w:rsid w:val="00BD296F"/>
    <w:rsid w:val="00BD2B73"/>
    <w:rsid w:val="00BD2BCF"/>
    <w:rsid w:val="00BD2F20"/>
    <w:rsid w:val="00BD31A8"/>
    <w:rsid w:val="00BD3253"/>
    <w:rsid w:val="00BD3316"/>
    <w:rsid w:val="00BD34B6"/>
    <w:rsid w:val="00BD395B"/>
    <w:rsid w:val="00BD4089"/>
    <w:rsid w:val="00BD4232"/>
    <w:rsid w:val="00BD42C3"/>
    <w:rsid w:val="00BD42D0"/>
    <w:rsid w:val="00BD4336"/>
    <w:rsid w:val="00BD440E"/>
    <w:rsid w:val="00BD480C"/>
    <w:rsid w:val="00BD496D"/>
    <w:rsid w:val="00BD4A9A"/>
    <w:rsid w:val="00BD503C"/>
    <w:rsid w:val="00BD50E2"/>
    <w:rsid w:val="00BD5529"/>
    <w:rsid w:val="00BD55DD"/>
    <w:rsid w:val="00BD56C1"/>
    <w:rsid w:val="00BD6135"/>
    <w:rsid w:val="00BD6188"/>
    <w:rsid w:val="00BD6349"/>
    <w:rsid w:val="00BD64F9"/>
    <w:rsid w:val="00BD6940"/>
    <w:rsid w:val="00BD6B22"/>
    <w:rsid w:val="00BD6F91"/>
    <w:rsid w:val="00BD6FD3"/>
    <w:rsid w:val="00BD751B"/>
    <w:rsid w:val="00BD756B"/>
    <w:rsid w:val="00BD76C3"/>
    <w:rsid w:val="00BD78F4"/>
    <w:rsid w:val="00BD7A15"/>
    <w:rsid w:val="00BD7A58"/>
    <w:rsid w:val="00BD7A9A"/>
    <w:rsid w:val="00BD7C28"/>
    <w:rsid w:val="00BD7CA3"/>
    <w:rsid w:val="00BD7CDB"/>
    <w:rsid w:val="00BD7D47"/>
    <w:rsid w:val="00BD7E42"/>
    <w:rsid w:val="00BD7E68"/>
    <w:rsid w:val="00BE00EF"/>
    <w:rsid w:val="00BE013F"/>
    <w:rsid w:val="00BE0170"/>
    <w:rsid w:val="00BE0217"/>
    <w:rsid w:val="00BE02FC"/>
    <w:rsid w:val="00BE037B"/>
    <w:rsid w:val="00BE04EA"/>
    <w:rsid w:val="00BE0646"/>
    <w:rsid w:val="00BE0958"/>
    <w:rsid w:val="00BE0A2A"/>
    <w:rsid w:val="00BE1003"/>
    <w:rsid w:val="00BE1270"/>
    <w:rsid w:val="00BE141F"/>
    <w:rsid w:val="00BE1722"/>
    <w:rsid w:val="00BE1E73"/>
    <w:rsid w:val="00BE236E"/>
    <w:rsid w:val="00BE24C9"/>
    <w:rsid w:val="00BE2515"/>
    <w:rsid w:val="00BE258E"/>
    <w:rsid w:val="00BE28C7"/>
    <w:rsid w:val="00BE2A04"/>
    <w:rsid w:val="00BE2EE4"/>
    <w:rsid w:val="00BE31FD"/>
    <w:rsid w:val="00BE333F"/>
    <w:rsid w:val="00BE3661"/>
    <w:rsid w:val="00BE371E"/>
    <w:rsid w:val="00BE380D"/>
    <w:rsid w:val="00BE38F0"/>
    <w:rsid w:val="00BE398A"/>
    <w:rsid w:val="00BE3B86"/>
    <w:rsid w:val="00BE3CC5"/>
    <w:rsid w:val="00BE3DDB"/>
    <w:rsid w:val="00BE3FCE"/>
    <w:rsid w:val="00BE41DD"/>
    <w:rsid w:val="00BE4256"/>
    <w:rsid w:val="00BE4991"/>
    <w:rsid w:val="00BE4B2F"/>
    <w:rsid w:val="00BE4B30"/>
    <w:rsid w:val="00BE4C6D"/>
    <w:rsid w:val="00BE51F1"/>
    <w:rsid w:val="00BE54DD"/>
    <w:rsid w:val="00BE54EE"/>
    <w:rsid w:val="00BE5518"/>
    <w:rsid w:val="00BE577F"/>
    <w:rsid w:val="00BE5AD9"/>
    <w:rsid w:val="00BE6393"/>
    <w:rsid w:val="00BE63AC"/>
    <w:rsid w:val="00BE65BB"/>
    <w:rsid w:val="00BE664E"/>
    <w:rsid w:val="00BE6684"/>
    <w:rsid w:val="00BE673E"/>
    <w:rsid w:val="00BE6B6C"/>
    <w:rsid w:val="00BE6E47"/>
    <w:rsid w:val="00BE70F6"/>
    <w:rsid w:val="00BE7236"/>
    <w:rsid w:val="00BE7546"/>
    <w:rsid w:val="00BE7770"/>
    <w:rsid w:val="00BE7923"/>
    <w:rsid w:val="00BE7CC2"/>
    <w:rsid w:val="00BE7D0E"/>
    <w:rsid w:val="00BE7D53"/>
    <w:rsid w:val="00BE7F92"/>
    <w:rsid w:val="00BE7FAC"/>
    <w:rsid w:val="00BF00A1"/>
    <w:rsid w:val="00BF00EB"/>
    <w:rsid w:val="00BF0599"/>
    <w:rsid w:val="00BF0654"/>
    <w:rsid w:val="00BF0718"/>
    <w:rsid w:val="00BF073A"/>
    <w:rsid w:val="00BF07F0"/>
    <w:rsid w:val="00BF080A"/>
    <w:rsid w:val="00BF08C3"/>
    <w:rsid w:val="00BF0A13"/>
    <w:rsid w:val="00BF0C92"/>
    <w:rsid w:val="00BF0E09"/>
    <w:rsid w:val="00BF0EFD"/>
    <w:rsid w:val="00BF12B5"/>
    <w:rsid w:val="00BF136D"/>
    <w:rsid w:val="00BF1594"/>
    <w:rsid w:val="00BF174A"/>
    <w:rsid w:val="00BF1C51"/>
    <w:rsid w:val="00BF222A"/>
    <w:rsid w:val="00BF22C3"/>
    <w:rsid w:val="00BF22EF"/>
    <w:rsid w:val="00BF25EB"/>
    <w:rsid w:val="00BF2CDA"/>
    <w:rsid w:val="00BF2D9A"/>
    <w:rsid w:val="00BF31A9"/>
    <w:rsid w:val="00BF3255"/>
    <w:rsid w:val="00BF3347"/>
    <w:rsid w:val="00BF36F2"/>
    <w:rsid w:val="00BF3876"/>
    <w:rsid w:val="00BF39F3"/>
    <w:rsid w:val="00BF3FE2"/>
    <w:rsid w:val="00BF40FD"/>
    <w:rsid w:val="00BF43D3"/>
    <w:rsid w:val="00BF45FF"/>
    <w:rsid w:val="00BF482F"/>
    <w:rsid w:val="00BF4CC9"/>
    <w:rsid w:val="00BF4D41"/>
    <w:rsid w:val="00BF4E73"/>
    <w:rsid w:val="00BF5197"/>
    <w:rsid w:val="00BF52F9"/>
    <w:rsid w:val="00BF54B5"/>
    <w:rsid w:val="00BF55B3"/>
    <w:rsid w:val="00BF5761"/>
    <w:rsid w:val="00BF5A5A"/>
    <w:rsid w:val="00BF5FB2"/>
    <w:rsid w:val="00BF6547"/>
    <w:rsid w:val="00BF6B43"/>
    <w:rsid w:val="00BF6B6C"/>
    <w:rsid w:val="00BF6BE2"/>
    <w:rsid w:val="00BF6C87"/>
    <w:rsid w:val="00BF6E4E"/>
    <w:rsid w:val="00BF6ED7"/>
    <w:rsid w:val="00BF703D"/>
    <w:rsid w:val="00BF7291"/>
    <w:rsid w:val="00BF73C6"/>
    <w:rsid w:val="00BF75F2"/>
    <w:rsid w:val="00BF7BDF"/>
    <w:rsid w:val="00BF7F21"/>
    <w:rsid w:val="00C0000A"/>
    <w:rsid w:val="00C0000F"/>
    <w:rsid w:val="00C00119"/>
    <w:rsid w:val="00C00291"/>
    <w:rsid w:val="00C008A6"/>
    <w:rsid w:val="00C00A41"/>
    <w:rsid w:val="00C00B33"/>
    <w:rsid w:val="00C00C98"/>
    <w:rsid w:val="00C00FB9"/>
    <w:rsid w:val="00C01B02"/>
    <w:rsid w:val="00C01C80"/>
    <w:rsid w:val="00C01CC4"/>
    <w:rsid w:val="00C01F2D"/>
    <w:rsid w:val="00C021A2"/>
    <w:rsid w:val="00C0269B"/>
    <w:rsid w:val="00C026CB"/>
    <w:rsid w:val="00C0276D"/>
    <w:rsid w:val="00C029F5"/>
    <w:rsid w:val="00C02DC1"/>
    <w:rsid w:val="00C02E0C"/>
    <w:rsid w:val="00C02EEF"/>
    <w:rsid w:val="00C02FC9"/>
    <w:rsid w:val="00C0308F"/>
    <w:rsid w:val="00C0333E"/>
    <w:rsid w:val="00C03586"/>
    <w:rsid w:val="00C03C18"/>
    <w:rsid w:val="00C03EC9"/>
    <w:rsid w:val="00C0451C"/>
    <w:rsid w:val="00C046E0"/>
    <w:rsid w:val="00C047E8"/>
    <w:rsid w:val="00C047FB"/>
    <w:rsid w:val="00C047FE"/>
    <w:rsid w:val="00C048E1"/>
    <w:rsid w:val="00C04A28"/>
    <w:rsid w:val="00C04D51"/>
    <w:rsid w:val="00C04E6E"/>
    <w:rsid w:val="00C05663"/>
    <w:rsid w:val="00C05806"/>
    <w:rsid w:val="00C059B8"/>
    <w:rsid w:val="00C05B60"/>
    <w:rsid w:val="00C05C95"/>
    <w:rsid w:val="00C05D2B"/>
    <w:rsid w:val="00C05F90"/>
    <w:rsid w:val="00C064DB"/>
    <w:rsid w:val="00C06553"/>
    <w:rsid w:val="00C06A38"/>
    <w:rsid w:val="00C06DF3"/>
    <w:rsid w:val="00C06FF7"/>
    <w:rsid w:val="00C07151"/>
    <w:rsid w:val="00C0762F"/>
    <w:rsid w:val="00C0763A"/>
    <w:rsid w:val="00C07680"/>
    <w:rsid w:val="00C077D8"/>
    <w:rsid w:val="00C07860"/>
    <w:rsid w:val="00C07915"/>
    <w:rsid w:val="00C07CF8"/>
    <w:rsid w:val="00C07EAA"/>
    <w:rsid w:val="00C07EC2"/>
    <w:rsid w:val="00C07F46"/>
    <w:rsid w:val="00C07F80"/>
    <w:rsid w:val="00C102FB"/>
    <w:rsid w:val="00C1062D"/>
    <w:rsid w:val="00C10858"/>
    <w:rsid w:val="00C108FA"/>
    <w:rsid w:val="00C10ACC"/>
    <w:rsid w:val="00C10DC9"/>
    <w:rsid w:val="00C11100"/>
    <w:rsid w:val="00C11336"/>
    <w:rsid w:val="00C117DC"/>
    <w:rsid w:val="00C11B05"/>
    <w:rsid w:val="00C11B10"/>
    <w:rsid w:val="00C11C0E"/>
    <w:rsid w:val="00C11C2D"/>
    <w:rsid w:val="00C11CAA"/>
    <w:rsid w:val="00C11D2D"/>
    <w:rsid w:val="00C11E9E"/>
    <w:rsid w:val="00C11F5B"/>
    <w:rsid w:val="00C125B9"/>
    <w:rsid w:val="00C1268B"/>
    <w:rsid w:val="00C126D3"/>
    <w:rsid w:val="00C128BB"/>
    <w:rsid w:val="00C12E1F"/>
    <w:rsid w:val="00C12E23"/>
    <w:rsid w:val="00C12E45"/>
    <w:rsid w:val="00C12E87"/>
    <w:rsid w:val="00C13137"/>
    <w:rsid w:val="00C13196"/>
    <w:rsid w:val="00C134F5"/>
    <w:rsid w:val="00C139DC"/>
    <w:rsid w:val="00C13DED"/>
    <w:rsid w:val="00C140E6"/>
    <w:rsid w:val="00C142D0"/>
    <w:rsid w:val="00C143A8"/>
    <w:rsid w:val="00C145B6"/>
    <w:rsid w:val="00C1460B"/>
    <w:rsid w:val="00C1493F"/>
    <w:rsid w:val="00C14A53"/>
    <w:rsid w:val="00C14A60"/>
    <w:rsid w:val="00C1519E"/>
    <w:rsid w:val="00C1527C"/>
    <w:rsid w:val="00C15743"/>
    <w:rsid w:val="00C1574A"/>
    <w:rsid w:val="00C15845"/>
    <w:rsid w:val="00C15A36"/>
    <w:rsid w:val="00C15CB8"/>
    <w:rsid w:val="00C15D3D"/>
    <w:rsid w:val="00C15D75"/>
    <w:rsid w:val="00C15E39"/>
    <w:rsid w:val="00C15E80"/>
    <w:rsid w:val="00C15FA3"/>
    <w:rsid w:val="00C1638D"/>
    <w:rsid w:val="00C16591"/>
    <w:rsid w:val="00C16599"/>
    <w:rsid w:val="00C165A2"/>
    <w:rsid w:val="00C165C9"/>
    <w:rsid w:val="00C16701"/>
    <w:rsid w:val="00C16A46"/>
    <w:rsid w:val="00C16C4C"/>
    <w:rsid w:val="00C16D62"/>
    <w:rsid w:val="00C170D7"/>
    <w:rsid w:val="00C17240"/>
    <w:rsid w:val="00C17261"/>
    <w:rsid w:val="00C1729D"/>
    <w:rsid w:val="00C17512"/>
    <w:rsid w:val="00C1756E"/>
    <w:rsid w:val="00C1765C"/>
    <w:rsid w:val="00C17776"/>
    <w:rsid w:val="00C17BEB"/>
    <w:rsid w:val="00C17D30"/>
    <w:rsid w:val="00C17F29"/>
    <w:rsid w:val="00C2025E"/>
    <w:rsid w:val="00C20282"/>
    <w:rsid w:val="00C2081A"/>
    <w:rsid w:val="00C20A16"/>
    <w:rsid w:val="00C20C07"/>
    <w:rsid w:val="00C20F10"/>
    <w:rsid w:val="00C211B7"/>
    <w:rsid w:val="00C21756"/>
    <w:rsid w:val="00C2178C"/>
    <w:rsid w:val="00C217CB"/>
    <w:rsid w:val="00C21807"/>
    <w:rsid w:val="00C21A20"/>
    <w:rsid w:val="00C21F3D"/>
    <w:rsid w:val="00C221D5"/>
    <w:rsid w:val="00C225DE"/>
    <w:rsid w:val="00C225E7"/>
    <w:rsid w:val="00C22A79"/>
    <w:rsid w:val="00C22AFF"/>
    <w:rsid w:val="00C2311C"/>
    <w:rsid w:val="00C232BD"/>
    <w:rsid w:val="00C23533"/>
    <w:rsid w:val="00C236C7"/>
    <w:rsid w:val="00C23F2D"/>
    <w:rsid w:val="00C24096"/>
    <w:rsid w:val="00C240E4"/>
    <w:rsid w:val="00C24124"/>
    <w:rsid w:val="00C24136"/>
    <w:rsid w:val="00C24280"/>
    <w:rsid w:val="00C24288"/>
    <w:rsid w:val="00C2470B"/>
    <w:rsid w:val="00C2479E"/>
    <w:rsid w:val="00C247FA"/>
    <w:rsid w:val="00C24C04"/>
    <w:rsid w:val="00C254BC"/>
    <w:rsid w:val="00C25D64"/>
    <w:rsid w:val="00C25E83"/>
    <w:rsid w:val="00C266BE"/>
    <w:rsid w:val="00C2686C"/>
    <w:rsid w:val="00C26923"/>
    <w:rsid w:val="00C26CFA"/>
    <w:rsid w:val="00C27395"/>
    <w:rsid w:val="00C2753C"/>
    <w:rsid w:val="00C27540"/>
    <w:rsid w:val="00C27618"/>
    <w:rsid w:val="00C27741"/>
    <w:rsid w:val="00C27918"/>
    <w:rsid w:val="00C279AD"/>
    <w:rsid w:val="00C27A8C"/>
    <w:rsid w:val="00C27BB1"/>
    <w:rsid w:val="00C27BF0"/>
    <w:rsid w:val="00C301D8"/>
    <w:rsid w:val="00C30644"/>
    <w:rsid w:val="00C30982"/>
    <w:rsid w:val="00C309FE"/>
    <w:rsid w:val="00C30AA7"/>
    <w:rsid w:val="00C310D1"/>
    <w:rsid w:val="00C3119B"/>
    <w:rsid w:val="00C3130B"/>
    <w:rsid w:val="00C31323"/>
    <w:rsid w:val="00C31875"/>
    <w:rsid w:val="00C318AE"/>
    <w:rsid w:val="00C319EF"/>
    <w:rsid w:val="00C31A55"/>
    <w:rsid w:val="00C31DE0"/>
    <w:rsid w:val="00C321CC"/>
    <w:rsid w:val="00C32520"/>
    <w:rsid w:val="00C32955"/>
    <w:rsid w:val="00C3299B"/>
    <w:rsid w:val="00C32CB4"/>
    <w:rsid w:val="00C32CFC"/>
    <w:rsid w:val="00C32F0D"/>
    <w:rsid w:val="00C3311B"/>
    <w:rsid w:val="00C33328"/>
    <w:rsid w:val="00C335DB"/>
    <w:rsid w:val="00C33697"/>
    <w:rsid w:val="00C337E6"/>
    <w:rsid w:val="00C33A0D"/>
    <w:rsid w:val="00C33AE8"/>
    <w:rsid w:val="00C33C35"/>
    <w:rsid w:val="00C33E13"/>
    <w:rsid w:val="00C33EE0"/>
    <w:rsid w:val="00C3433C"/>
    <w:rsid w:val="00C346A0"/>
    <w:rsid w:val="00C349C4"/>
    <w:rsid w:val="00C34EE3"/>
    <w:rsid w:val="00C35004"/>
    <w:rsid w:val="00C3504C"/>
    <w:rsid w:val="00C3505B"/>
    <w:rsid w:val="00C353B0"/>
    <w:rsid w:val="00C35641"/>
    <w:rsid w:val="00C35E32"/>
    <w:rsid w:val="00C35F3E"/>
    <w:rsid w:val="00C365EF"/>
    <w:rsid w:val="00C3671B"/>
    <w:rsid w:val="00C3675C"/>
    <w:rsid w:val="00C368F0"/>
    <w:rsid w:val="00C36BBF"/>
    <w:rsid w:val="00C36C7C"/>
    <w:rsid w:val="00C36DEE"/>
    <w:rsid w:val="00C36F2B"/>
    <w:rsid w:val="00C37121"/>
    <w:rsid w:val="00C373DF"/>
    <w:rsid w:val="00C37527"/>
    <w:rsid w:val="00C37DDF"/>
    <w:rsid w:val="00C37E1E"/>
    <w:rsid w:val="00C37FB1"/>
    <w:rsid w:val="00C40055"/>
    <w:rsid w:val="00C401CF"/>
    <w:rsid w:val="00C40441"/>
    <w:rsid w:val="00C408D9"/>
    <w:rsid w:val="00C409A9"/>
    <w:rsid w:val="00C40AD2"/>
    <w:rsid w:val="00C40B89"/>
    <w:rsid w:val="00C40C1B"/>
    <w:rsid w:val="00C4162B"/>
    <w:rsid w:val="00C4162C"/>
    <w:rsid w:val="00C416FF"/>
    <w:rsid w:val="00C4195B"/>
    <w:rsid w:val="00C41F49"/>
    <w:rsid w:val="00C427FB"/>
    <w:rsid w:val="00C42B3B"/>
    <w:rsid w:val="00C42CF6"/>
    <w:rsid w:val="00C42EF6"/>
    <w:rsid w:val="00C42F06"/>
    <w:rsid w:val="00C431C8"/>
    <w:rsid w:val="00C438DE"/>
    <w:rsid w:val="00C43910"/>
    <w:rsid w:val="00C43BA1"/>
    <w:rsid w:val="00C43C20"/>
    <w:rsid w:val="00C43DAA"/>
    <w:rsid w:val="00C43DB1"/>
    <w:rsid w:val="00C43FDC"/>
    <w:rsid w:val="00C441D2"/>
    <w:rsid w:val="00C44360"/>
    <w:rsid w:val="00C4439F"/>
    <w:rsid w:val="00C4459C"/>
    <w:rsid w:val="00C44E7A"/>
    <w:rsid w:val="00C44FA4"/>
    <w:rsid w:val="00C451DA"/>
    <w:rsid w:val="00C4584B"/>
    <w:rsid w:val="00C45944"/>
    <w:rsid w:val="00C45B34"/>
    <w:rsid w:val="00C46219"/>
    <w:rsid w:val="00C46307"/>
    <w:rsid w:val="00C465D8"/>
    <w:rsid w:val="00C46B2A"/>
    <w:rsid w:val="00C46B2F"/>
    <w:rsid w:val="00C46CC6"/>
    <w:rsid w:val="00C47034"/>
    <w:rsid w:val="00C473D2"/>
    <w:rsid w:val="00C47542"/>
    <w:rsid w:val="00C477D9"/>
    <w:rsid w:val="00C478A6"/>
    <w:rsid w:val="00C47996"/>
    <w:rsid w:val="00C47DA2"/>
    <w:rsid w:val="00C47DBA"/>
    <w:rsid w:val="00C47DFC"/>
    <w:rsid w:val="00C47E29"/>
    <w:rsid w:val="00C47E3B"/>
    <w:rsid w:val="00C47FCE"/>
    <w:rsid w:val="00C500A6"/>
    <w:rsid w:val="00C500EC"/>
    <w:rsid w:val="00C50245"/>
    <w:rsid w:val="00C50524"/>
    <w:rsid w:val="00C505D3"/>
    <w:rsid w:val="00C50606"/>
    <w:rsid w:val="00C50638"/>
    <w:rsid w:val="00C508EF"/>
    <w:rsid w:val="00C50C1E"/>
    <w:rsid w:val="00C50C54"/>
    <w:rsid w:val="00C50C64"/>
    <w:rsid w:val="00C510A6"/>
    <w:rsid w:val="00C51201"/>
    <w:rsid w:val="00C513F1"/>
    <w:rsid w:val="00C51709"/>
    <w:rsid w:val="00C51716"/>
    <w:rsid w:val="00C5171D"/>
    <w:rsid w:val="00C51BA2"/>
    <w:rsid w:val="00C51C3F"/>
    <w:rsid w:val="00C51D4D"/>
    <w:rsid w:val="00C51F60"/>
    <w:rsid w:val="00C521FA"/>
    <w:rsid w:val="00C5246F"/>
    <w:rsid w:val="00C5262E"/>
    <w:rsid w:val="00C52A9A"/>
    <w:rsid w:val="00C52B6B"/>
    <w:rsid w:val="00C52E24"/>
    <w:rsid w:val="00C52E40"/>
    <w:rsid w:val="00C52F5C"/>
    <w:rsid w:val="00C53434"/>
    <w:rsid w:val="00C5350B"/>
    <w:rsid w:val="00C535D5"/>
    <w:rsid w:val="00C538A7"/>
    <w:rsid w:val="00C53968"/>
    <w:rsid w:val="00C53AB4"/>
    <w:rsid w:val="00C53BB5"/>
    <w:rsid w:val="00C53D2E"/>
    <w:rsid w:val="00C53E79"/>
    <w:rsid w:val="00C53FE4"/>
    <w:rsid w:val="00C5405C"/>
    <w:rsid w:val="00C540A7"/>
    <w:rsid w:val="00C54872"/>
    <w:rsid w:val="00C549DF"/>
    <w:rsid w:val="00C549E5"/>
    <w:rsid w:val="00C54C5D"/>
    <w:rsid w:val="00C54CCF"/>
    <w:rsid w:val="00C54D58"/>
    <w:rsid w:val="00C54E1B"/>
    <w:rsid w:val="00C55101"/>
    <w:rsid w:val="00C55130"/>
    <w:rsid w:val="00C554E6"/>
    <w:rsid w:val="00C55832"/>
    <w:rsid w:val="00C55B11"/>
    <w:rsid w:val="00C55D87"/>
    <w:rsid w:val="00C55EF4"/>
    <w:rsid w:val="00C56175"/>
    <w:rsid w:val="00C56445"/>
    <w:rsid w:val="00C566A4"/>
    <w:rsid w:val="00C56B3D"/>
    <w:rsid w:val="00C56C17"/>
    <w:rsid w:val="00C56DE2"/>
    <w:rsid w:val="00C56E22"/>
    <w:rsid w:val="00C56FEB"/>
    <w:rsid w:val="00C57059"/>
    <w:rsid w:val="00C570BA"/>
    <w:rsid w:val="00C57256"/>
    <w:rsid w:val="00C572BE"/>
    <w:rsid w:val="00C5787C"/>
    <w:rsid w:val="00C57A99"/>
    <w:rsid w:val="00C57BE4"/>
    <w:rsid w:val="00C57C7F"/>
    <w:rsid w:val="00C5DCEC"/>
    <w:rsid w:val="00C60188"/>
    <w:rsid w:val="00C602E5"/>
    <w:rsid w:val="00C6052B"/>
    <w:rsid w:val="00C605D1"/>
    <w:rsid w:val="00C60730"/>
    <w:rsid w:val="00C608E3"/>
    <w:rsid w:val="00C60A23"/>
    <w:rsid w:val="00C60A2F"/>
    <w:rsid w:val="00C60E8C"/>
    <w:rsid w:val="00C611C6"/>
    <w:rsid w:val="00C61383"/>
    <w:rsid w:val="00C613E0"/>
    <w:rsid w:val="00C614C8"/>
    <w:rsid w:val="00C61724"/>
    <w:rsid w:val="00C61948"/>
    <w:rsid w:val="00C61A47"/>
    <w:rsid w:val="00C61A9A"/>
    <w:rsid w:val="00C61D5F"/>
    <w:rsid w:val="00C61E1F"/>
    <w:rsid w:val="00C61F78"/>
    <w:rsid w:val="00C62185"/>
    <w:rsid w:val="00C6220F"/>
    <w:rsid w:val="00C6238C"/>
    <w:rsid w:val="00C62DFC"/>
    <w:rsid w:val="00C62F77"/>
    <w:rsid w:val="00C63092"/>
    <w:rsid w:val="00C631F0"/>
    <w:rsid w:val="00C6320A"/>
    <w:rsid w:val="00C63B12"/>
    <w:rsid w:val="00C63D2A"/>
    <w:rsid w:val="00C6423D"/>
    <w:rsid w:val="00C6471F"/>
    <w:rsid w:val="00C64B56"/>
    <w:rsid w:val="00C64D33"/>
    <w:rsid w:val="00C64FF9"/>
    <w:rsid w:val="00C650A8"/>
    <w:rsid w:val="00C65537"/>
    <w:rsid w:val="00C656F2"/>
    <w:rsid w:val="00C65813"/>
    <w:rsid w:val="00C65A2D"/>
    <w:rsid w:val="00C65A98"/>
    <w:rsid w:val="00C65AD4"/>
    <w:rsid w:val="00C65CCA"/>
    <w:rsid w:val="00C65DF8"/>
    <w:rsid w:val="00C6632D"/>
    <w:rsid w:val="00C6664A"/>
    <w:rsid w:val="00C66A4A"/>
    <w:rsid w:val="00C66B71"/>
    <w:rsid w:val="00C66C45"/>
    <w:rsid w:val="00C66D6D"/>
    <w:rsid w:val="00C66E9E"/>
    <w:rsid w:val="00C66F8D"/>
    <w:rsid w:val="00C67177"/>
    <w:rsid w:val="00C675A2"/>
    <w:rsid w:val="00C677C0"/>
    <w:rsid w:val="00C677CA"/>
    <w:rsid w:val="00C67865"/>
    <w:rsid w:val="00C67917"/>
    <w:rsid w:val="00C67A17"/>
    <w:rsid w:val="00C67C81"/>
    <w:rsid w:val="00C67C96"/>
    <w:rsid w:val="00C67EDA"/>
    <w:rsid w:val="00C67F1E"/>
    <w:rsid w:val="00C700DA"/>
    <w:rsid w:val="00C70283"/>
    <w:rsid w:val="00C70695"/>
    <w:rsid w:val="00C70FA5"/>
    <w:rsid w:val="00C711D7"/>
    <w:rsid w:val="00C71410"/>
    <w:rsid w:val="00C715EF"/>
    <w:rsid w:val="00C71873"/>
    <w:rsid w:val="00C719BB"/>
    <w:rsid w:val="00C71F28"/>
    <w:rsid w:val="00C727E3"/>
    <w:rsid w:val="00C7299A"/>
    <w:rsid w:val="00C729D6"/>
    <w:rsid w:val="00C72DF0"/>
    <w:rsid w:val="00C72F54"/>
    <w:rsid w:val="00C73068"/>
    <w:rsid w:val="00C7320E"/>
    <w:rsid w:val="00C73368"/>
    <w:rsid w:val="00C7337B"/>
    <w:rsid w:val="00C73522"/>
    <w:rsid w:val="00C73705"/>
    <w:rsid w:val="00C738F7"/>
    <w:rsid w:val="00C73BF0"/>
    <w:rsid w:val="00C74110"/>
    <w:rsid w:val="00C741E7"/>
    <w:rsid w:val="00C743C1"/>
    <w:rsid w:val="00C747B8"/>
    <w:rsid w:val="00C74860"/>
    <w:rsid w:val="00C748D6"/>
    <w:rsid w:val="00C75016"/>
    <w:rsid w:val="00C75049"/>
    <w:rsid w:val="00C754D1"/>
    <w:rsid w:val="00C7556F"/>
    <w:rsid w:val="00C75859"/>
    <w:rsid w:val="00C75D0C"/>
    <w:rsid w:val="00C76095"/>
    <w:rsid w:val="00C76548"/>
    <w:rsid w:val="00C769CB"/>
    <w:rsid w:val="00C76BC0"/>
    <w:rsid w:val="00C76C9D"/>
    <w:rsid w:val="00C76CB6"/>
    <w:rsid w:val="00C76F90"/>
    <w:rsid w:val="00C77193"/>
    <w:rsid w:val="00C77386"/>
    <w:rsid w:val="00C7781C"/>
    <w:rsid w:val="00C778D9"/>
    <w:rsid w:val="00C77B01"/>
    <w:rsid w:val="00C77BE2"/>
    <w:rsid w:val="00C77EEB"/>
    <w:rsid w:val="00C77F39"/>
    <w:rsid w:val="00C8010E"/>
    <w:rsid w:val="00C802C7"/>
    <w:rsid w:val="00C804D1"/>
    <w:rsid w:val="00C806B4"/>
    <w:rsid w:val="00C8079A"/>
    <w:rsid w:val="00C80914"/>
    <w:rsid w:val="00C809DE"/>
    <w:rsid w:val="00C80B08"/>
    <w:rsid w:val="00C80D97"/>
    <w:rsid w:val="00C80F3F"/>
    <w:rsid w:val="00C81067"/>
    <w:rsid w:val="00C810EB"/>
    <w:rsid w:val="00C8133E"/>
    <w:rsid w:val="00C81633"/>
    <w:rsid w:val="00C8187E"/>
    <w:rsid w:val="00C818C6"/>
    <w:rsid w:val="00C819D5"/>
    <w:rsid w:val="00C81E9C"/>
    <w:rsid w:val="00C82048"/>
    <w:rsid w:val="00C82544"/>
    <w:rsid w:val="00C8316B"/>
    <w:rsid w:val="00C83272"/>
    <w:rsid w:val="00C8344E"/>
    <w:rsid w:val="00C83C33"/>
    <w:rsid w:val="00C83D31"/>
    <w:rsid w:val="00C83D5A"/>
    <w:rsid w:val="00C8404E"/>
    <w:rsid w:val="00C844B0"/>
    <w:rsid w:val="00C8474D"/>
    <w:rsid w:val="00C8486A"/>
    <w:rsid w:val="00C84962"/>
    <w:rsid w:val="00C84F9E"/>
    <w:rsid w:val="00C84FFA"/>
    <w:rsid w:val="00C850C3"/>
    <w:rsid w:val="00C850C9"/>
    <w:rsid w:val="00C8524A"/>
    <w:rsid w:val="00C852F8"/>
    <w:rsid w:val="00C85377"/>
    <w:rsid w:val="00C859DE"/>
    <w:rsid w:val="00C85D7B"/>
    <w:rsid w:val="00C85DF0"/>
    <w:rsid w:val="00C85EFA"/>
    <w:rsid w:val="00C85F6C"/>
    <w:rsid w:val="00C860E9"/>
    <w:rsid w:val="00C86130"/>
    <w:rsid w:val="00C86144"/>
    <w:rsid w:val="00C869D5"/>
    <w:rsid w:val="00C86AE7"/>
    <w:rsid w:val="00C874C9"/>
    <w:rsid w:val="00C87673"/>
    <w:rsid w:val="00C878A8"/>
    <w:rsid w:val="00C878E9"/>
    <w:rsid w:val="00C87B5B"/>
    <w:rsid w:val="00C87BFF"/>
    <w:rsid w:val="00C87C23"/>
    <w:rsid w:val="00C90059"/>
    <w:rsid w:val="00C90458"/>
    <w:rsid w:val="00C90599"/>
    <w:rsid w:val="00C90D1D"/>
    <w:rsid w:val="00C911D9"/>
    <w:rsid w:val="00C9127D"/>
    <w:rsid w:val="00C91331"/>
    <w:rsid w:val="00C913F6"/>
    <w:rsid w:val="00C916EE"/>
    <w:rsid w:val="00C91735"/>
    <w:rsid w:val="00C91993"/>
    <w:rsid w:val="00C91D56"/>
    <w:rsid w:val="00C91EEA"/>
    <w:rsid w:val="00C9240E"/>
    <w:rsid w:val="00C9251A"/>
    <w:rsid w:val="00C92780"/>
    <w:rsid w:val="00C92A7A"/>
    <w:rsid w:val="00C92A92"/>
    <w:rsid w:val="00C92D4F"/>
    <w:rsid w:val="00C933E1"/>
    <w:rsid w:val="00C93695"/>
    <w:rsid w:val="00C9382F"/>
    <w:rsid w:val="00C9387A"/>
    <w:rsid w:val="00C93981"/>
    <w:rsid w:val="00C939EB"/>
    <w:rsid w:val="00C93F19"/>
    <w:rsid w:val="00C94600"/>
    <w:rsid w:val="00C947A3"/>
    <w:rsid w:val="00C949A6"/>
    <w:rsid w:val="00C94B11"/>
    <w:rsid w:val="00C94BEF"/>
    <w:rsid w:val="00C94D96"/>
    <w:rsid w:val="00C94E5D"/>
    <w:rsid w:val="00C950B4"/>
    <w:rsid w:val="00C95202"/>
    <w:rsid w:val="00C95323"/>
    <w:rsid w:val="00C953A3"/>
    <w:rsid w:val="00C95438"/>
    <w:rsid w:val="00C95D99"/>
    <w:rsid w:val="00C95DE4"/>
    <w:rsid w:val="00C95F16"/>
    <w:rsid w:val="00C96281"/>
    <w:rsid w:val="00C96428"/>
    <w:rsid w:val="00C96541"/>
    <w:rsid w:val="00C967AC"/>
    <w:rsid w:val="00C9689F"/>
    <w:rsid w:val="00C96CB6"/>
    <w:rsid w:val="00C97352"/>
    <w:rsid w:val="00C97699"/>
    <w:rsid w:val="00C97B12"/>
    <w:rsid w:val="00C97E41"/>
    <w:rsid w:val="00CA0030"/>
    <w:rsid w:val="00CA0125"/>
    <w:rsid w:val="00CA0411"/>
    <w:rsid w:val="00CA0D15"/>
    <w:rsid w:val="00CA1060"/>
    <w:rsid w:val="00CA1063"/>
    <w:rsid w:val="00CA129E"/>
    <w:rsid w:val="00CA1674"/>
    <w:rsid w:val="00CA1B07"/>
    <w:rsid w:val="00CA1D7F"/>
    <w:rsid w:val="00CA1DA3"/>
    <w:rsid w:val="00CA2008"/>
    <w:rsid w:val="00CA2077"/>
    <w:rsid w:val="00CA207F"/>
    <w:rsid w:val="00CA214D"/>
    <w:rsid w:val="00CA2252"/>
    <w:rsid w:val="00CA30D2"/>
    <w:rsid w:val="00CA30D7"/>
    <w:rsid w:val="00CA32CA"/>
    <w:rsid w:val="00CA3A55"/>
    <w:rsid w:val="00CA3A81"/>
    <w:rsid w:val="00CA3FC2"/>
    <w:rsid w:val="00CA4394"/>
    <w:rsid w:val="00CA4438"/>
    <w:rsid w:val="00CA44B2"/>
    <w:rsid w:val="00CA485D"/>
    <w:rsid w:val="00CA48C5"/>
    <w:rsid w:val="00CA4AA8"/>
    <w:rsid w:val="00CA4C59"/>
    <w:rsid w:val="00CA5327"/>
    <w:rsid w:val="00CA5585"/>
    <w:rsid w:val="00CA56F6"/>
    <w:rsid w:val="00CA6141"/>
    <w:rsid w:val="00CA6412"/>
    <w:rsid w:val="00CA655D"/>
    <w:rsid w:val="00CA68AB"/>
    <w:rsid w:val="00CA693A"/>
    <w:rsid w:val="00CA6E3B"/>
    <w:rsid w:val="00CA6F99"/>
    <w:rsid w:val="00CA70BD"/>
    <w:rsid w:val="00CA7647"/>
    <w:rsid w:val="00CA7712"/>
    <w:rsid w:val="00CA774A"/>
    <w:rsid w:val="00CA7788"/>
    <w:rsid w:val="00CA77B6"/>
    <w:rsid w:val="00CA7FD0"/>
    <w:rsid w:val="00CA7FD1"/>
    <w:rsid w:val="00CAE344"/>
    <w:rsid w:val="00CB0887"/>
    <w:rsid w:val="00CB0926"/>
    <w:rsid w:val="00CB0ACE"/>
    <w:rsid w:val="00CB0C7C"/>
    <w:rsid w:val="00CB0D37"/>
    <w:rsid w:val="00CB106E"/>
    <w:rsid w:val="00CB12C4"/>
    <w:rsid w:val="00CB1317"/>
    <w:rsid w:val="00CB227D"/>
    <w:rsid w:val="00CB23E3"/>
    <w:rsid w:val="00CB2671"/>
    <w:rsid w:val="00CB2AA3"/>
    <w:rsid w:val="00CB2BCF"/>
    <w:rsid w:val="00CB3420"/>
    <w:rsid w:val="00CB393E"/>
    <w:rsid w:val="00CB3B42"/>
    <w:rsid w:val="00CB44F4"/>
    <w:rsid w:val="00CB4797"/>
    <w:rsid w:val="00CB4BA6"/>
    <w:rsid w:val="00CB4D65"/>
    <w:rsid w:val="00CB521F"/>
    <w:rsid w:val="00CB532F"/>
    <w:rsid w:val="00CB53EF"/>
    <w:rsid w:val="00CB561F"/>
    <w:rsid w:val="00CB578E"/>
    <w:rsid w:val="00CB58C9"/>
    <w:rsid w:val="00CB58FF"/>
    <w:rsid w:val="00CB5943"/>
    <w:rsid w:val="00CB5AB2"/>
    <w:rsid w:val="00CB5ABB"/>
    <w:rsid w:val="00CB5AF5"/>
    <w:rsid w:val="00CB5FAA"/>
    <w:rsid w:val="00CB5FB6"/>
    <w:rsid w:val="00CB609D"/>
    <w:rsid w:val="00CB614C"/>
    <w:rsid w:val="00CB6524"/>
    <w:rsid w:val="00CB684E"/>
    <w:rsid w:val="00CB6B0C"/>
    <w:rsid w:val="00CB6F9F"/>
    <w:rsid w:val="00CB6FA3"/>
    <w:rsid w:val="00CB71F5"/>
    <w:rsid w:val="00CB7735"/>
    <w:rsid w:val="00CB7813"/>
    <w:rsid w:val="00CB7A3F"/>
    <w:rsid w:val="00CB7D6C"/>
    <w:rsid w:val="00CB7D8B"/>
    <w:rsid w:val="00CB7F96"/>
    <w:rsid w:val="00CC012E"/>
    <w:rsid w:val="00CC0180"/>
    <w:rsid w:val="00CC01FF"/>
    <w:rsid w:val="00CC043C"/>
    <w:rsid w:val="00CC074C"/>
    <w:rsid w:val="00CC0866"/>
    <w:rsid w:val="00CC08ED"/>
    <w:rsid w:val="00CC08FE"/>
    <w:rsid w:val="00CC09B2"/>
    <w:rsid w:val="00CC0A0F"/>
    <w:rsid w:val="00CC0B23"/>
    <w:rsid w:val="00CC0C3D"/>
    <w:rsid w:val="00CC0D1F"/>
    <w:rsid w:val="00CC0DB9"/>
    <w:rsid w:val="00CC13C5"/>
    <w:rsid w:val="00CC1870"/>
    <w:rsid w:val="00CC1A98"/>
    <w:rsid w:val="00CC1F47"/>
    <w:rsid w:val="00CC211B"/>
    <w:rsid w:val="00CC229B"/>
    <w:rsid w:val="00CC2B5A"/>
    <w:rsid w:val="00CC3088"/>
    <w:rsid w:val="00CC30A5"/>
    <w:rsid w:val="00CC3151"/>
    <w:rsid w:val="00CC36A7"/>
    <w:rsid w:val="00CC39C3"/>
    <w:rsid w:val="00CC3A56"/>
    <w:rsid w:val="00CC3DB4"/>
    <w:rsid w:val="00CC3F3F"/>
    <w:rsid w:val="00CC40F8"/>
    <w:rsid w:val="00CC4722"/>
    <w:rsid w:val="00CC49B1"/>
    <w:rsid w:val="00CC4A0F"/>
    <w:rsid w:val="00CC4B91"/>
    <w:rsid w:val="00CC4CDB"/>
    <w:rsid w:val="00CC4E8E"/>
    <w:rsid w:val="00CC5077"/>
    <w:rsid w:val="00CC51C6"/>
    <w:rsid w:val="00CC5203"/>
    <w:rsid w:val="00CC539C"/>
    <w:rsid w:val="00CC54E7"/>
    <w:rsid w:val="00CC57E1"/>
    <w:rsid w:val="00CC5977"/>
    <w:rsid w:val="00CC597B"/>
    <w:rsid w:val="00CC5CF9"/>
    <w:rsid w:val="00CC6042"/>
    <w:rsid w:val="00CC62EC"/>
    <w:rsid w:val="00CC685D"/>
    <w:rsid w:val="00CC69C1"/>
    <w:rsid w:val="00CC6B2D"/>
    <w:rsid w:val="00CC6D54"/>
    <w:rsid w:val="00CC6F50"/>
    <w:rsid w:val="00CC6FF3"/>
    <w:rsid w:val="00CC736A"/>
    <w:rsid w:val="00CC7500"/>
    <w:rsid w:val="00CC7664"/>
    <w:rsid w:val="00CC7AD1"/>
    <w:rsid w:val="00CC7BC6"/>
    <w:rsid w:val="00CC7C8F"/>
    <w:rsid w:val="00CC7D37"/>
    <w:rsid w:val="00CD02F9"/>
    <w:rsid w:val="00CD04B6"/>
    <w:rsid w:val="00CD052C"/>
    <w:rsid w:val="00CD08E8"/>
    <w:rsid w:val="00CD0976"/>
    <w:rsid w:val="00CD0B67"/>
    <w:rsid w:val="00CD0D89"/>
    <w:rsid w:val="00CD0E49"/>
    <w:rsid w:val="00CD0EF5"/>
    <w:rsid w:val="00CD12F6"/>
    <w:rsid w:val="00CD1664"/>
    <w:rsid w:val="00CD1923"/>
    <w:rsid w:val="00CD1971"/>
    <w:rsid w:val="00CD19B4"/>
    <w:rsid w:val="00CD1CDC"/>
    <w:rsid w:val="00CD1DD9"/>
    <w:rsid w:val="00CD1ECF"/>
    <w:rsid w:val="00CD231B"/>
    <w:rsid w:val="00CD251F"/>
    <w:rsid w:val="00CD25C3"/>
    <w:rsid w:val="00CD25E1"/>
    <w:rsid w:val="00CD2908"/>
    <w:rsid w:val="00CD2984"/>
    <w:rsid w:val="00CD2B98"/>
    <w:rsid w:val="00CD2E5F"/>
    <w:rsid w:val="00CD2EFD"/>
    <w:rsid w:val="00CD3111"/>
    <w:rsid w:val="00CD318D"/>
    <w:rsid w:val="00CD32AC"/>
    <w:rsid w:val="00CD3334"/>
    <w:rsid w:val="00CD3353"/>
    <w:rsid w:val="00CD336E"/>
    <w:rsid w:val="00CD37F1"/>
    <w:rsid w:val="00CD3A1C"/>
    <w:rsid w:val="00CD3ACF"/>
    <w:rsid w:val="00CD3BCF"/>
    <w:rsid w:val="00CD3CAD"/>
    <w:rsid w:val="00CD3CC7"/>
    <w:rsid w:val="00CD40BD"/>
    <w:rsid w:val="00CD4108"/>
    <w:rsid w:val="00CD422A"/>
    <w:rsid w:val="00CD4503"/>
    <w:rsid w:val="00CD45BB"/>
    <w:rsid w:val="00CD46FA"/>
    <w:rsid w:val="00CD491C"/>
    <w:rsid w:val="00CD4C79"/>
    <w:rsid w:val="00CD4E27"/>
    <w:rsid w:val="00CD5029"/>
    <w:rsid w:val="00CD5301"/>
    <w:rsid w:val="00CD5843"/>
    <w:rsid w:val="00CD5C8A"/>
    <w:rsid w:val="00CD5EE5"/>
    <w:rsid w:val="00CD5F43"/>
    <w:rsid w:val="00CD5FED"/>
    <w:rsid w:val="00CD6098"/>
    <w:rsid w:val="00CD60DC"/>
    <w:rsid w:val="00CD64BA"/>
    <w:rsid w:val="00CD65C2"/>
    <w:rsid w:val="00CD65E5"/>
    <w:rsid w:val="00CD69B2"/>
    <w:rsid w:val="00CD69E0"/>
    <w:rsid w:val="00CD6AF2"/>
    <w:rsid w:val="00CD6C05"/>
    <w:rsid w:val="00CD6C8B"/>
    <w:rsid w:val="00CD721D"/>
    <w:rsid w:val="00CD74C5"/>
    <w:rsid w:val="00CD78F2"/>
    <w:rsid w:val="00CD79E4"/>
    <w:rsid w:val="00CD7A09"/>
    <w:rsid w:val="00CD7B40"/>
    <w:rsid w:val="00CD7BA5"/>
    <w:rsid w:val="00CD7C30"/>
    <w:rsid w:val="00CE0103"/>
    <w:rsid w:val="00CE05E0"/>
    <w:rsid w:val="00CE09B5"/>
    <w:rsid w:val="00CE0ACB"/>
    <w:rsid w:val="00CE105B"/>
    <w:rsid w:val="00CE1576"/>
    <w:rsid w:val="00CE1611"/>
    <w:rsid w:val="00CE1AAC"/>
    <w:rsid w:val="00CE220F"/>
    <w:rsid w:val="00CE227B"/>
    <w:rsid w:val="00CE22BC"/>
    <w:rsid w:val="00CE2582"/>
    <w:rsid w:val="00CE29BB"/>
    <w:rsid w:val="00CE33D3"/>
    <w:rsid w:val="00CE3758"/>
    <w:rsid w:val="00CE389D"/>
    <w:rsid w:val="00CE3954"/>
    <w:rsid w:val="00CE3A1F"/>
    <w:rsid w:val="00CE3AEA"/>
    <w:rsid w:val="00CE3D7A"/>
    <w:rsid w:val="00CE4029"/>
    <w:rsid w:val="00CE4233"/>
    <w:rsid w:val="00CE4238"/>
    <w:rsid w:val="00CE4348"/>
    <w:rsid w:val="00CE4535"/>
    <w:rsid w:val="00CE49AF"/>
    <w:rsid w:val="00CE4AF1"/>
    <w:rsid w:val="00CE4B9A"/>
    <w:rsid w:val="00CE4CA8"/>
    <w:rsid w:val="00CE50D2"/>
    <w:rsid w:val="00CE542E"/>
    <w:rsid w:val="00CE5805"/>
    <w:rsid w:val="00CE58A5"/>
    <w:rsid w:val="00CE5FAD"/>
    <w:rsid w:val="00CE5FAE"/>
    <w:rsid w:val="00CE6047"/>
    <w:rsid w:val="00CE6052"/>
    <w:rsid w:val="00CE6379"/>
    <w:rsid w:val="00CE67E4"/>
    <w:rsid w:val="00CE6869"/>
    <w:rsid w:val="00CE68FA"/>
    <w:rsid w:val="00CE6B7C"/>
    <w:rsid w:val="00CE6D06"/>
    <w:rsid w:val="00CE6E74"/>
    <w:rsid w:val="00CE6FE5"/>
    <w:rsid w:val="00CE707A"/>
    <w:rsid w:val="00CE71DC"/>
    <w:rsid w:val="00CE73C9"/>
    <w:rsid w:val="00CE748E"/>
    <w:rsid w:val="00CE78CD"/>
    <w:rsid w:val="00CE79D4"/>
    <w:rsid w:val="00CE7D2A"/>
    <w:rsid w:val="00CE7DFD"/>
    <w:rsid w:val="00CF011E"/>
    <w:rsid w:val="00CF03E1"/>
    <w:rsid w:val="00CF0407"/>
    <w:rsid w:val="00CF0979"/>
    <w:rsid w:val="00CF0ADB"/>
    <w:rsid w:val="00CF0C35"/>
    <w:rsid w:val="00CF0C70"/>
    <w:rsid w:val="00CF1244"/>
    <w:rsid w:val="00CF1328"/>
    <w:rsid w:val="00CF155F"/>
    <w:rsid w:val="00CF156E"/>
    <w:rsid w:val="00CF18BE"/>
    <w:rsid w:val="00CF18E5"/>
    <w:rsid w:val="00CF1A6E"/>
    <w:rsid w:val="00CF1FBB"/>
    <w:rsid w:val="00CF22C7"/>
    <w:rsid w:val="00CF27C0"/>
    <w:rsid w:val="00CF2AF2"/>
    <w:rsid w:val="00CF2DDA"/>
    <w:rsid w:val="00CF2E56"/>
    <w:rsid w:val="00CF2F33"/>
    <w:rsid w:val="00CF306D"/>
    <w:rsid w:val="00CF31F5"/>
    <w:rsid w:val="00CF320F"/>
    <w:rsid w:val="00CF34B9"/>
    <w:rsid w:val="00CF34D6"/>
    <w:rsid w:val="00CF375B"/>
    <w:rsid w:val="00CF389B"/>
    <w:rsid w:val="00CF3CFA"/>
    <w:rsid w:val="00CF3D2B"/>
    <w:rsid w:val="00CF4166"/>
    <w:rsid w:val="00CF43AE"/>
    <w:rsid w:val="00CF4631"/>
    <w:rsid w:val="00CF46AC"/>
    <w:rsid w:val="00CF4FCD"/>
    <w:rsid w:val="00CF4FF1"/>
    <w:rsid w:val="00CF5122"/>
    <w:rsid w:val="00CF5A6D"/>
    <w:rsid w:val="00CF5ACB"/>
    <w:rsid w:val="00CF5C9E"/>
    <w:rsid w:val="00CF5D6C"/>
    <w:rsid w:val="00CF5E6C"/>
    <w:rsid w:val="00CF6201"/>
    <w:rsid w:val="00CF6758"/>
    <w:rsid w:val="00CF6874"/>
    <w:rsid w:val="00CF690A"/>
    <w:rsid w:val="00CF6A1E"/>
    <w:rsid w:val="00CF6BC9"/>
    <w:rsid w:val="00CF7202"/>
    <w:rsid w:val="00CF72A0"/>
    <w:rsid w:val="00CF73F6"/>
    <w:rsid w:val="00CF755F"/>
    <w:rsid w:val="00CF76D5"/>
    <w:rsid w:val="00CF7B06"/>
    <w:rsid w:val="00CF7C05"/>
    <w:rsid w:val="00CF7CEB"/>
    <w:rsid w:val="00CF7F25"/>
    <w:rsid w:val="00D0044B"/>
    <w:rsid w:val="00D00733"/>
    <w:rsid w:val="00D0083F"/>
    <w:rsid w:val="00D00A82"/>
    <w:rsid w:val="00D00BA3"/>
    <w:rsid w:val="00D00D6A"/>
    <w:rsid w:val="00D01533"/>
    <w:rsid w:val="00D0161B"/>
    <w:rsid w:val="00D016A1"/>
    <w:rsid w:val="00D016F1"/>
    <w:rsid w:val="00D01843"/>
    <w:rsid w:val="00D01B40"/>
    <w:rsid w:val="00D01E65"/>
    <w:rsid w:val="00D01FD0"/>
    <w:rsid w:val="00D02041"/>
    <w:rsid w:val="00D02067"/>
    <w:rsid w:val="00D022EA"/>
    <w:rsid w:val="00D023B1"/>
    <w:rsid w:val="00D0282C"/>
    <w:rsid w:val="00D02975"/>
    <w:rsid w:val="00D02ACF"/>
    <w:rsid w:val="00D02E25"/>
    <w:rsid w:val="00D03312"/>
    <w:rsid w:val="00D03330"/>
    <w:rsid w:val="00D036C1"/>
    <w:rsid w:val="00D0394C"/>
    <w:rsid w:val="00D03C85"/>
    <w:rsid w:val="00D03F63"/>
    <w:rsid w:val="00D043D3"/>
    <w:rsid w:val="00D0441C"/>
    <w:rsid w:val="00D04492"/>
    <w:rsid w:val="00D04710"/>
    <w:rsid w:val="00D04D57"/>
    <w:rsid w:val="00D04EF9"/>
    <w:rsid w:val="00D0507D"/>
    <w:rsid w:val="00D055F2"/>
    <w:rsid w:val="00D05AA0"/>
    <w:rsid w:val="00D05AA3"/>
    <w:rsid w:val="00D05C90"/>
    <w:rsid w:val="00D0609A"/>
    <w:rsid w:val="00D06295"/>
    <w:rsid w:val="00D0661A"/>
    <w:rsid w:val="00D068CA"/>
    <w:rsid w:val="00D076FA"/>
    <w:rsid w:val="00D0771E"/>
    <w:rsid w:val="00D1008E"/>
    <w:rsid w:val="00D101AA"/>
    <w:rsid w:val="00D1039C"/>
    <w:rsid w:val="00D1043B"/>
    <w:rsid w:val="00D10526"/>
    <w:rsid w:val="00D10674"/>
    <w:rsid w:val="00D10D26"/>
    <w:rsid w:val="00D10F94"/>
    <w:rsid w:val="00D10FA3"/>
    <w:rsid w:val="00D11204"/>
    <w:rsid w:val="00D1133E"/>
    <w:rsid w:val="00D114B3"/>
    <w:rsid w:val="00D114DA"/>
    <w:rsid w:val="00D1193F"/>
    <w:rsid w:val="00D11B44"/>
    <w:rsid w:val="00D11CB5"/>
    <w:rsid w:val="00D11DA1"/>
    <w:rsid w:val="00D11E03"/>
    <w:rsid w:val="00D121BA"/>
    <w:rsid w:val="00D122A6"/>
    <w:rsid w:val="00D12517"/>
    <w:rsid w:val="00D1295B"/>
    <w:rsid w:val="00D12B85"/>
    <w:rsid w:val="00D12D82"/>
    <w:rsid w:val="00D12DF4"/>
    <w:rsid w:val="00D13192"/>
    <w:rsid w:val="00D131CE"/>
    <w:rsid w:val="00D1329F"/>
    <w:rsid w:val="00D132B9"/>
    <w:rsid w:val="00D132DB"/>
    <w:rsid w:val="00D13396"/>
    <w:rsid w:val="00D13639"/>
    <w:rsid w:val="00D1399D"/>
    <w:rsid w:val="00D13B65"/>
    <w:rsid w:val="00D13C7B"/>
    <w:rsid w:val="00D13CEA"/>
    <w:rsid w:val="00D13F9F"/>
    <w:rsid w:val="00D14213"/>
    <w:rsid w:val="00D142A1"/>
    <w:rsid w:val="00D14344"/>
    <w:rsid w:val="00D143DB"/>
    <w:rsid w:val="00D1441C"/>
    <w:rsid w:val="00D14577"/>
    <w:rsid w:val="00D14783"/>
    <w:rsid w:val="00D14972"/>
    <w:rsid w:val="00D149CB"/>
    <w:rsid w:val="00D14BDC"/>
    <w:rsid w:val="00D14C3A"/>
    <w:rsid w:val="00D14D18"/>
    <w:rsid w:val="00D150A1"/>
    <w:rsid w:val="00D1557E"/>
    <w:rsid w:val="00D1582C"/>
    <w:rsid w:val="00D159FB"/>
    <w:rsid w:val="00D15B58"/>
    <w:rsid w:val="00D15BFC"/>
    <w:rsid w:val="00D15FE9"/>
    <w:rsid w:val="00D1614E"/>
    <w:rsid w:val="00D16444"/>
    <w:rsid w:val="00D16AF0"/>
    <w:rsid w:val="00D16B40"/>
    <w:rsid w:val="00D171E1"/>
    <w:rsid w:val="00D17469"/>
    <w:rsid w:val="00D175E7"/>
    <w:rsid w:val="00D1792B"/>
    <w:rsid w:val="00D1796A"/>
    <w:rsid w:val="00D17ACE"/>
    <w:rsid w:val="00D17FB5"/>
    <w:rsid w:val="00D20572"/>
    <w:rsid w:val="00D2084D"/>
    <w:rsid w:val="00D20867"/>
    <w:rsid w:val="00D20A6C"/>
    <w:rsid w:val="00D20A8F"/>
    <w:rsid w:val="00D20BA8"/>
    <w:rsid w:val="00D20E27"/>
    <w:rsid w:val="00D21061"/>
    <w:rsid w:val="00D21086"/>
    <w:rsid w:val="00D21478"/>
    <w:rsid w:val="00D215A8"/>
    <w:rsid w:val="00D216AD"/>
    <w:rsid w:val="00D21887"/>
    <w:rsid w:val="00D21AA4"/>
    <w:rsid w:val="00D21AD8"/>
    <w:rsid w:val="00D21C0D"/>
    <w:rsid w:val="00D21E03"/>
    <w:rsid w:val="00D2258C"/>
    <w:rsid w:val="00D227C9"/>
    <w:rsid w:val="00D22A1B"/>
    <w:rsid w:val="00D22EB6"/>
    <w:rsid w:val="00D22F5C"/>
    <w:rsid w:val="00D23023"/>
    <w:rsid w:val="00D2308D"/>
    <w:rsid w:val="00D23344"/>
    <w:rsid w:val="00D233F2"/>
    <w:rsid w:val="00D2373F"/>
    <w:rsid w:val="00D23888"/>
    <w:rsid w:val="00D23D86"/>
    <w:rsid w:val="00D23DA4"/>
    <w:rsid w:val="00D24013"/>
    <w:rsid w:val="00D24068"/>
    <w:rsid w:val="00D24311"/>
    <w:rsid w:val="00D24441"/>
    <w:rsid w:val="00D24520"/>
    <w:rsid w:val="00D248DE"/>
    <w:rsid w:val="00D249FE"/>
    <w:rsid w:val="00D25031"/>
    <w:rsid w:val="00D2512F"/>
    <w:rsid w:val="00D254E2"/>
    <w:rsid w:val="00D25AE5"/>
    <w:rsid w:val="00D25DE3"/>
    <w:rsid w:val="00D25E50"/>
    <w:rsid w:val="00D260E1"/>
    <w:rsid w:val="00D26264"/>
    <w:rsid w:val="00D262DC"/>
    <w:rsid w:val="00D265C8"/>
    <w:rsid w:val="00D267D1"/>
    <w:rsid w:val="00D26B55"/>
    <w:rsid w:val="00D26BED"/>
    <w:rsid w:val="00D271B5"/>
    <w:rsid w:val="00D2729A"/>
    <w:rsid w:val="00D273A3"/>
    <w:rsid w:val="00D276FA"/>
    <w:rsid w:val="00D278B8"/>
    <w:rsid w:val="00D27C87"/>
    <w:rsid w:val="00D27EF3"/>
    <w:rsid w:val="00D27F2A"/>
    <w:rsid w:val="00D30111"/>
    <w:rsid w:val="00D30419"/>
    <w:rsid w:val="00D30572"/>
    <w:rsid w:val="00D3069E"/>
    <w:rsid w:val="00D30729"/>
    <w:rsid w:val="00D30986"/>
    <w:rsid w:val="00D309C3"/>
    <w:rsid w:val="00D30D64"/>
    <w:rsid w:val="00D30EB4"/>
    <w:rsid w:val="00D30FE8"/>
    <w:rsid w:val="00D31020"/>
    <w:rsid w:val="00D31079"/>
    <w:rsid w:val="00D31100"/>
    <w:rsid w:val="00D31345"/>
    <w:rsid w:val="00D31563"/>
    <w:rsid w:val="00D316C4"/>
    <w:rsid w:val="00D31BA6"/>
    <w:rsid w:val="00D31E69"/>
    <w:rsid w:val="00D32019"/>
    <w:rsid w:val="00D3210C"/>
    <w:rsid w:val="00D3232E"/>
    <w:rsid w:val="00D3233B"/>
    <w:rsid w:val="00D32369"/>
    <w:rsid w:val="00D324EA"/>
    <w:rsid w:val="00D32646"/>
    <w:rsid w:val="00D32EB3"/>
    <w:rsid w:val="00D3334F"/>
    <w:rsid w:val="00D33C70"/>
    <w:rsid w:val="00D33DCC"/>
    <w:rsid w:val="00D33ED5"/>
    <w:rsid w:val="00D34195"/>
    <w:rsid w:val="00D342A3"/>
    <w:rsid w:val="00D344A1"/>
    <w:rsid w:val="00D34691"/>
    <w:rsid w:val="00D34B98"/>
    <w:rsid w:val="00D34C01"/>
    <w:rsid w:val="00D34C2A"/>
    <w:rsid w:val="00D34C9E"/>
    <w:rsid w:val="00D34D59"/>
    <w:rsid w:val="00D34E1B"/>
    <w:rsid w:val="00D3525D"/>
    <w:rsid w:val="00D352E8"/>
    <w:rsid w:val="00D35454"/>
    <w:rsid w:val="00D35570"/>
    <w:rsid w:val="00D3567B"/>
    <w:rsid w:val="00D35833"/>
    <w:rsid w:val="00D358FD"/>
    <w:rsid w:val="00D359E9"/>
    <w:rsid w:val="00D35C68"/>
    <w:rsid w:val="00D35CA4"/>
    <w:rsid w:val="00D35D0A"/>
    <w:rsid w:val="00D36186"/>
    <w:rsid w:val="00D3641A"/>
    <w:rsid w:val="00D364E7"/>
    <w:rsid w:val="00D36AF6"/>
    <w:rsid w:val="00D36FB8"/>
    <w:rsid w:val="00D37164"/>
    <w:rsid w:val="00D3726A"/>
    <w:rsid w:val="00D37441"/>
    <w:rsid w:val="00D374B3"/>
    <w:rsid w:val="00D375F5"/>
    <w:rsid w:val="00D37636"/>
    <w:rsid w:val="00D378B3"/>
    <w:rsid w:val="00D37AEF"/>
    <w:rsid w:val="00D4007A"/>
    <w:rsid w:val="00D401A6"/>
    <w:rsid w:val="00D40861"/>
    <w:rsid w:val="00D40971"/>
    <w:rsid w:val="00D40AA5"/>
    <w:rsid w:val="00D40B58"/>
    <w:rsid w:val="00D40D3A"/>
    <w:rsid w:val="00D40EA2"/>
    <w:rsid w:val="00D41551"/>
    <w:rsid w:val="00D417DE"/>
    <w:rsid w:val="00D418E8"/>
    <w:rsid w:val="00D419CA"/>
    <w:rsid w:val="00D41CFB"/>
    <w:rsid w:val="00D41CFF"/>
    <w:rsid w:val="00D4202A"/>
    <w:rsid w:val="00D42264"/>
    <w:rsid w:val="00D4248A"/>
    <w:rsid w:val="00D424DA"/>
    <w:rsid w:val="00D425C0"/>
    <w:rsid w:val="00D42C1D"/>
    <w:rsid w:val="00D43171"/>
    <w:rsid w:val="00D43387"/>
    <w:rsid w:val="00D434B0"/>
    <w:rsid w:val="00D4395F"/>
    <w:rsid w:val="00D439E9"/>
    <w:rsid w:val="00D43A06"/>
    <w:rsid w:val="00D43B95"/>
    <w:rsid w:val="00D43E15"/>
    <w:rsid w:val="00D44201"/>
    <w:rsid w:val="00D44259"/>
    <w:rsid w:val="00D444C1"/>
    <w:rsid w:val="00D44586"/>
    <w:rsid w:val="00D445E2"/>
    <w:rsid w:val="00D446C0"/>
    <w:rsid w:val="00D447F1"/>
    <w:rsid w:val="00D44AEB"/>
    <w:rsid w:val="00D453F7"/>
    <w:rsid w:val="00D4555C"/>
    <w:rsid w:val="00D45D5A"/>
    <w:rsid w:val="00D45D74"/>
    <w:rsid w:val="00D460C6"/>
    <w:rsid w:val="00D46213"/>
    <w:rsid w:val="00D4636D"/>
    <w:rsid w:val="00D46573"/>
    <w:rsid w:val="00D4684E"/>
    <w:rsid w:val="00D46869"/>
    <w:rsid w:val="00D468B5"/>
    <w:rsid w:val="00D46997"/>
    <w:rsid w:val="00D46FF0"/>
    <w:rsid w:val="00D47259"/>
    <w:rsid w:val="00D473C4"/>
    <w:rsid w:val="00D47404"/>
    <w:rsid w:val="00D476ED"/>
    <w:rsid w:val="00D5053A"/>
    <w:rsid w:val="00D50945"/>
    <w:rsid w:val="00D509C5"/>
    <w:rsid w:val="00D51015"/>
    <w:rsid w:val="00D51107"/>
    <w:rsid w:val="00D51402"/>
    <w:rsid w:val="00D515E5"/>
    <w:rsid w:val="00D51757"/>
    <w:rsid w:val="00D518FF"/>
    <w:rsid w:val="00D51947"/>
    <w:rsid w:val="00D51D66"/>
    <w:rsid w:val="00D51EED"/>
    <w:rsid w:val="00D520B1"/>
    <w:rsid w:val="00D5233A"/>
    <w:rsid w:val="00D52567"/>
    <w:rsid w:val="00D52B65"/>
    <w:rsid w:val="00D52DA5"/>
    <w:rsid w:val="00D52DB0"/>
    <w:rsid w:val="00D52E7F"/>
    <w:rsid w:val="00D53278"/>
    <w:rsid w:val="00D533A7"/>
    <w:rsid w:val="00D53733"/>
    <w:rsid w:val="00D53CE4"/>
    <w:rsid w:val="00D53FF4"/>
    <w:rsid w:val="00D5416B"/>
    <w:rsid w:val="00D542F9"/>
    <w:rsid w:val="00D54553"/>
    <w:rsid w:val="00D5455B"/>
    <w:rsid w:val="00D5458E"/>
    <w:rsid w:val="00D548CE"/>
    <w:rsid w:val="00D54B9A"/>
    <w:rsid w:val="00D54C53"/>
    <w:rsid w:val="00D54C76"/>
    <w:rsid w:val="00D554F8"/>
    <w:rsid w:val="00D55772"/>
    <w:rsid w:val="00D5584B"/>
    <w:rsid w:val="00D55886"/>
    <w:rsid w:val="00D558FA"/>
    <w:rsid w:val="00D55D4E"/>
    <w:rsid w:val="00D55E06"/>
    <w:rsid w:val="00D55E6F"/>
    <w:rsid w:val="00D5614B"/>
    <w:rsid w:val="00D562E4"/>
    <w:rsid w:val="00D5636A"/>
    <w:rsid w:val="00D563D9"/>
    <w:rsid w:val="00D566F0"/>
    <w:rsid w:val="00D56733"/>
    <w:rsid w:val="00D56B98"/>
    <w:rsid w:val="00D56E58"/>
    <w:rsid w:val="00D5706D"/>
    <w:rsid w:val="00D57137"/>
    <w:rsid w:val="00D57196"/>
    <w:rsid w:val="00D57369"/>
    <w:rsid w:val="00D5748B"/>
    <w:rsid w:val="00D57636"/>
    <w:rsid w:val="00D57758"/>
    <w:rsid w:val="00D5784F"/>
    <w:rsid w:val="00D57CA1"/>
    <w:rsid w:val="00D57CC4"/>
    <w:rsid w:val="00D57EE0"/>
    <w:rsid w:val="00D6041B"/>
    <w:rsid w:val="00D60B8E"/>
    <w:rsid w:val="00D60C1B"/>
    <w:rsid w:val="00D616A8"/>
    <w:rsid w:val="00D617CF"/>
    <w:rsid w:val="00D61845"/>
    <w:rsid w:val="00D61876"/>
    <w:rsid w:val="00D61998"/>
    <w:rsid w:val="00D61CE8"/>
    <w:rsid w:val="00D61D3D"/>
    <w:rsid w:val="00D61DB2"/>
    <w:rsid w:val="00D61DE3"/>
    <w:rsid w:val="00D61E15"/>
    <w:rsid w:val="00D61F55"/>
    <w:rsid w:val="00D620DC"/>
    <w:rsid w:val="00D62121"/>
    <w:rsid w:val="00D62130"/>
    <w:rsid w:val="00D624D3"/>
    <w:rsid w:val="00D62595"/>
    <w:rsid w:val="00D626B2"/>
    <w:rsid w:val="00D626CE"/>
    <w:rsid w:val="00D62707"/>
    <w:rsid w:val="00D62B86"/>
    <w:rsid w:val="00D62DFC"/>
    <w:rsid w:val="00D62F17"/>
    <w:rsid w:val="00D62F8A"/>
    <w:rsid w:val="00D630B6"/>
    <w:rsid w:val="00D63555"/>
    <w:rsid w:val="00D6365D"/>
    <w:rsid w:val="00D63953"/>
    <w:rsid w:val="00D63AF3"/>
    <w:rsid w:val="00D63B5F"/>
    <w:rsid w:val="00D63B88"/>
    <w:rsid w:val="00D63E3C"/>
    <w:rsid w:val="00D640C4"/>
    <w:rsid w:val="00D64177"/>
    <w:rsid w:val="00D644A4"/>
    <w:rsid w:val="00D6469B"/>
    <w:rsid w:val="00D65174"/>
    <w:rsid w:val="00D6581C"/>
    <w:rsid w:val="00D65AD2"/>
    <w:rsid w:val="00D65ADF"/>
    <w:rsid w:val="00D65B79"/>
    <w:rsid w:val="00D661EE"/>
    <w:rsid w:val="00D66318"/>
    <w:rsid w:val="00D663C1"/>
    <w:rsid w:val="00D66403"/>
    <w:rsid w:val="00D6641D"/>
    <w:rsid w:val="00D667B1"/>
    <w:rsid w:val="00D667D1"/>
    <w:rsid w:val="00D66866"/>
    <w:rsid w:val="00D669CE"/>
    <w:rsid w:val="00D66A41"/>
    <w:rsid w:val="00D66B18"/>
    <w:rsid w:val="00D66B76"/>
    <w:rsid w:val="00D67266"/>
    <w:rsid w:val="00D674C3"/>
    <w:rsid w:val="00D6757A"/>
    <w:rsid w:val="00D67A7F"/>
    <w:rsid w:val="00D67AFB"/>
    <w:rsid w:val="00D67BF8"/>
    <w:rsid w:val="00D67D8E"/>
    <w:rsid w:val="00D703DD"/>
    <w:rsid w:val="00D70677"/>
    <w:rsid w:val="00D706CC"/>
    <w:rsid w:val="00D70B47"/>
    <w:rsid w:val="00D70B4A"/>
    <w:rsid w:val="00D70D12"/>
    <w:rsid w:val="00D70E89"/>
    <w:rsid w:val="00D70F16"/>
    <w:rsid w:val="00D70FC4"/>
    <w:rsid w:val="00D710D6"/>
    <w:rsid w:val="00D715AB"/>
    <w:rsid w:val="00D718B9"/>
    <w:rsid w:val="00D718F6"/>
    <w:rsid w:val="00D71B12"/>
    <w:rsid w:val="00D71B37"/>
    <w:rsid w:val="00D71B43"/>
    <w:rsid w:val="00D71C68"/>
    <w:rsid w:val="00D71D77"/>
    <w:rsid w:val="00D7210C"/>
    <w:rsid w:val="00D72185"/>
    <w:rsid w:val="00D722A6"/>
    <w:rsid w:val="00D726F4"/>
    <w:rsid w:val="00D72D3B"/>
    <w:rsid w:val="00D72E5A"/>
    <w:rsid w:val="00D7313D"/>
    <w:rsid w:val="00D73229"/>
    <w:rsid w:val="00D73765"/>
    <w:rsid w:val="00D7378F"/>
    <w:rsid w:val="00D737AD"/>
    <w:rsid w:val="00D737C5"/>
    <w:rsid w:val="00D73DFD"/>
    <w:rsid w:val="00D74102"/>
    <w:rsid w:val="00D74532"/>
    <w:rsid w:val="00D7476D"/>
    <w:rsid w:val="00D7488D"/>
    <w:rsid w:val="00D7498B"/>
    <w:rsid w:val="00D7541C"/>
    <w:rsid w:val="00D754D2"/>
    <w:rsid w:val="00D7554A"/>
    <w:rsid w:val="00D7590C"/>
    <w:rsid w:val="00D75AB0"/>
    <w:rsid w:val="00D75CF6"/>
    <w:rsid w:val="00D75D9E"/>
    <w:rsid w:val="00D75E54"/>
    <w:rsid w:val="00D75EA5"/>
    <w:rsid w:val="00D75FD1"/>
    <w:rsid w:val="00D760E3"/>
    <w:rsid w:val="00D766D7"/>
    <w:rsid w:val="00D76793"/>
    <w:rsid w:val="00D76951"/>
    <w:rsid w:val="00D76A12"/>
    <w:rsid w:val="00D76B83"/>
    <w:rsid w:val="00D76CF1"/>
    <w:rsid w:val="00D77141"/>
    <w:rsid w:val="00D7729F"/>
    <w:rsid w:val="00D77441"/>
    <w:rsid w:val="00D77695"/>
    <w:rsid w:val="00D7774E"/>
    <w:rsid w:val="00D778D3"/>
    <w:rsid w:val="00D778F7"/>
    <w:rsid w:val="00D77AEA"/>
    <w:rsid w:val="00D77D53"/>
    <w:rsid w:val="00D80267"/>
    <w:rsid w:val="00D804F0"/>
    <w:rsid w:val="00D80668"/>
    <w:rsid w:val="00D806E3"/>
    <w:rsid w:val="00D80805"/>
    <w:rsid w:val="00D80B63"/>
    <w:rsid w:val="00D80BE2"/>
    <w:rsid w:val="00D80D41"/>
    <w:rsid w:val="00D80E09"/>
    <w:rsid w:val="00D80E38"/>
    <w:rsid w:val="00D80F34"/>
    <w:rsid w:val="00D812DA"/>
    <w:rsid w:val="00D8140A"/>
    <w:rsid w:val="00D81505"/>
    <w:rsid w:val="00D818DC"/>
    <w:rsid w:val="00D81A96"/>
    <w:rsid w:val="00D81AA0"/>
    <w:rsid w:val="00D81CF2"/>
    <w:rsid w:val="00D821A4"/>
    <w:rsid w:val="00D8227F"/>
    <w:rsid w:val="00D822C3"/>
    <w:rsid w:val="00D824A5"/>
    <w:rsid w:val="00D82677"/>
    <w:rsid w:val="00D826AB"/>
    <w:rsid w:val="00D8278B"/>
    <w:rsid w:val="00D827E1"/>
    <w:rsid w:val="00D82AC4"/>
    <w:rsid w:val="00D82B2B"/>
    <w:rsid w:val="00D82B3B"/>
    <w:rsid w:val="00D82B4D"/>
    <w:rsid w:val="00D82BAC"/>
    <w:rsid w:val="00D83177"/>
    <w:rsid w:val="00D83244"/>
    <w:rsid w:val="00D8325B"/>
    <w:rsid w:val="00D838F9"/>
    <w:rsid w:val="00D83A7F"/>
    <w:rsid w:val="00D83AF4"/>
    <w:rsid w:val="00D83BA8"/>
    <w:rsid w:val="00D83BDD"/>
    <w:rsid w:val="00D83C08"/>
    <w:rsid w:val="00D83E41"/>
    <w:rsid w:val="00D84063"/>
    <w:rsid w:val="00D84090"/>
    <w:rsid w:val="00D84796"/>
    <w:rsid w:val="00D8497F"/>
    <w:rsid w:val="00D8562F"/>
    <w:rsid w:val="00D8583C"/>
    <w:rsid w:val="00D858C7"/>
    <w:rsid w:val="00D85AF1"/>
    <w:rsid w:val="00D85C21"/>
    <w:rsid w:val="00D85E12"/>
    <w:rsid w:val="00D860B4"/>
    <w:rsid w:val="00D860FD"/>
    <w:rsid w:val="00D8638F"/>
    <w:rsid w:val="00D863FD"/>
    <w:rsid w:val="00D864F3"/>
    <w:rsid w:val="00D86752"/>
    <w:rsid w:val="00D8676F"/>
    <w:rsid w:val="00D8696F"/>
    <w:rsid w:val="00D86A73"/>
    <w:rsid w:val="00D86CFE"/>
    <w:rsid w:val="00D86D03"/>
    <w:rsid w:val="00D86DF1"/>
    <w:rsid w:val="00D87768"/>
    <w:rsid w:val="00D87836"/>
    <w:rsid w:val="00D87A91"/>
    <w:rsid w:val="00D87C6F"/>
    <w:rsid w:val="00D87CED"/>
    <w:rsid w:val="00D900D4"/>
    <w:rsid w:val="00D90676"/>
    <w:rsid w:val="00D90699"/>
    <w:rsid w:val="00D90C2B"/>
    <w:rsid w:val="00D90F3B"/>
    <w:rsid w:val="00D90F92"/>
    <w:rsid w:val="00D910C5"/>
    <w:rsid w:val="00D910F9"/>
    <w:rsid w:val="00D9122C"/>
    <w:rsid w:val="00D91317"/>
    <w:rsid w:val="00D91510"/>
    <w:rsid w:val="00D9159F"/>
    <w:rsid w:val="00D91623"/>
    <w:rsid w:val="00D91A1C"/>
    <w:rsid w:val="00D91A85"/>
    <w:rsid w:val="00D91B1F"/>
    <w:rsid w:val="00D91B70"/>
    <w:rsid w:val="00D91CE6"/>
    <w:rsid w:val="00D91F91"/>
    <w:rsid w:val="00D92023"/>
    <w:rsid w:val="00D92350"/>
    <w:rsid w:val="00D9250C"/>
    <w:rsid w:val="00D9251F"/>
    <w:rsid w:val="00D926A0"/>
    <w:rsid w:val="00D92712"/>
    <w:rsid w:val="00D92775"/>
    <w:rsid w:val="00D929A2"/>
    <w:rsid w:val="00D929BE"/>
    <w:rsid w:val="00D92A24"/>
    <w:rsid w:val="00D92C29"/>
    <w:rsid w:val="00D92DC2"/>
    <w:rsid w:val="00D92DD0"/>
    <w:rsid w:val="00D92EAB"/>
    <w:rsid w:val="00D936FD"/>
    <w:rsid w:val="00D93794"/>
    <w:rsid w:val="00D938F5"/>
    <w:rsid w:val="00D93A25"/>
    <w:rsid w:val="00D93C0C"/>
    <w:rsid w:val="00D93FE1"/>
    <w:rsid w:val="00D9409D"/>
    <w:rsid w:val="00D940E2"/>
    <w:rsid w:val="00D94425"/>
    <w:rsid w:val="00D94581"/>
    <w:rsid w:val="00D946A1"/>
    <w:rsid w:val="00D94993"/>
    <w:rsid w:val="00D94B40"/>
    <w:rsid w:val="00D94B83"/>
    <w:rsid w:val="00D95190"/>
    <w:rsid w:val="00D952A8"/>
    <w:rsid w:val="00D95517"/>
    <w:rsid w:val="00D955EE"/>
    <w:rsid w:val="00D95608"/>
    <w:rsid w:val="00D959BF"/>
    <w:rsid w:val="00D95A9B"/>
    <w:rsid w:val="00D95D04"/>
    <w:rsid w:val="00D95DD0"/>
    <w:rsid w:val="00D963D9"/>
    <w:rsid w:val="00D964D3"/>
    <w:rsid w:val="00D965DD"/>
    <w:rsid w:val="00D965F8"/>
    <w:rsid w:val="00D96A2A"/>
    <w:rsid w:val="00D96E3E"/>
    <w:rsid w:val="00D97014"/>
    <w:rsid w:val="00D9713A"/>
    <w:rsid w:val="00D9718A"/>
    <w:rsid w:val="00D972CA"/>
    <w:rsid w:val="00D97401"/>
    <w:rsid w:val="00D9761B"/>
    <w:rsid w:val="00D976B3"/>
    <w:rsid w:val="00D9771F"/>
    <w:rsid w:val="00D97721"/>
    <w:rsid w:val="00D978E2"/>
    <w:rsid w:val="00D97B75"/>
    <w:rsid w:val="00D97BD0"/>
    <w:rsid w:val="00D97BF0"/>
    <w:rsid w:val="00D97DB2"/>
    <w:rsid w:val="00DA020B"/>
    <w:rsid w:val="00DA02AF"/>
    <w:rsid w:val="00DA03F6"/>
    <w:rsid w:val="00DA0989"/>
    <w:rsid w:val="00DA0B42"/>
    <w:rsid w:val="00DA0C5D"/>
    <w:rsid w:val="00DA0D77"/>
    <w:rsid w:val="00DA0DFD"/>
    <w:rsid w:val="00DA0EB2"/>
    <w:rsid w:val="00DA1452"/>
    <w:rsid w:val="00DA146A"/>
    <w:rsid w:val="00DA174B"/>
    <w:rsid w:val="00DA1938"/>
    <w:rsid w:val="00DA1964"/>
    <w:rsid w:val="00DA1B95"/>
    <w:rsid w:val="00DA1D0A"/>
    <w:rsid w:val="00DA1E2C"/>
    <w:rsid w:val="00DA1ED5"/>
    <w:rsid w:val="00DA222C"/>
    <w:rsid w:val="00DA2373"/>
    <w:rsid w:val="00DA25F3"/>
    <w:rsid w:val="00DA2902"/>
    <w:rsid w:val="00DA2A97"/>
    <w:rsid w:val="00DA2E0F"/>
    <w:rsid w:val="00DA313A"/>
    <w:rsid w:val="00DA354E"/>
    <w:rsid w:val="00DA36E9"/>
    <w:rsid w:val="00DA3E5F"/>
    <w:rsid w:val="00DA4093"/>
    <w:rsid w:val="00DA4146"/>
    <w:rsid w:val="00DA46BB"/>
    <w:rsid w:val="00DA4C20"/>
    <w:rsid w:val="00DA4D13"/>
    <w:rsid w:val="00DA54EE"/>
    <w:rsid w:val="00DA5635"/>
    <w:rsid w:val="00DA5764"/>
    <w:rsid w:val="00DA5799"/>
    <w:rsid w:val="00DA58B4"/>
    <w:rsid w:val="00DA59E9"/>
    <w:rsid w:val="00DA5AC1"/>
    <w:rsid w:val="00DA5EDF"/>
    <w:rsid w:val="00DA665A"/>
    <w:rsid w:val="00DA66BC"/>
    <w:rsid w:val="00DA681F"/>
    <w:rsid w:val="00DA6B9E"/>
    <w:rsid w:val="00DA724F"/>
    <w:rsid w:val="00DA755C"/>
    <w:rsid w:val="00DA757B"/>
    <w:rsid w:val="00DA75FB"/>
    <w:rsid w:val="00DA7ECC"/>
    <w:rsid w:val="00DA7F42"/>
    <w:rsid w:val="00DB0144"/>
    <w:rsid w:val="00DB05F7"/>
    <w:rsid w:val="00DB063D"/>
    <w:rsid w:val="00DB09CF"/>
    <w:rsid w:val="00DB09D5"/>
    <w:rsid w:val="00DB0A4C"/>
    <w:rsid w:val="00DB0BAF"/>
    <w:rsid w:val="00DB100F"/>
    <w:rsid w:val="00DB121B"/>
    <w:rsid w:val="00DB160B"/>
    <w:rsid w:val="00DB189D"/>
    <w:rsid w:val="00DB1AC1"/>
    <w:rsid w:val="00DB1AFB"/>
    <w:rsid w:val="00DB1B9A"/>
    <w:rsid w:val="00DB1EBA"/>
    <w:rsid w:val="00DB1FF7"/>
    <w:rsid w:val="00DB2038"/>
    <w:rsid w:val="00DB20D4"/>
    <w:rsid w:val="00DB27DB"/>
    <w:rsid w:val="00DB2C8F"/>
    <w:rsid w:val="00DB2E44"/>
    <w:rsid w:val="00DB2EE7"/>
    <w:rsid w:val="00DB2F33"/>
    <w:rsid w:val="00DB30D6"/>
    <w:rsid w:val="00DB33EB"/>
    <w:rsid w:val="00DB3409"/>
    <w:rsid w:val="00DB3712"/>
    <w:rsid w:val="00DB3964"/>
    <w:rsid w:val="00DB3A43"/>
    <w:rsid w:val="00DB3CA5"/>
    <w:rsid w:val="00DB3E95"/>
    <w:rsid w:val="00DB3F57"/>
    <w:rsid w:val="00DB3FF5"/>
    <w:rsid w:val="00DB4353"/>
    <w:rsid w:val="00DB46DC"/>
    <w:rsid w:val="00DB475E"/>
    <w:rsid w:val="00DB4843"/>
    <w:rsid w:val="00DB48DA"/>
    <w:rsid w:val="00DB4AD2"/>
    <w:rsid w:val="00DB4E0E"/>
    <w:rsid w:val="00DB4EC8"/>
    <w:rsid w:val="00DB4EF1"/>
    <w:rsid w:val="00DB564F"/>
    <w:rsid w:val="00DB56AD"/>
    <w:rsid w:val="00DB5AA4"/>
    <w:rsid w:val="00DB5AF9"/>
    <w:rsid w:val="00DB5B94"/>
    <w:rsid w:val="00DB5BEC"/>
    <w:rsid w:val="00DB5CBF"/>
    <w:rsid w:val="00DB6F73"/>
    <w:rsid w:val="00DB76E5"/>
    <w:rsid w:val="00DB77A0"/>
    <w:rsid w:val="00DB7A71"/>
    <w:rsid w:val="00DB7B0F"/>
    <w:rsid w:val="00DB7CA0"/>
    <w:rsid w:val="00DB7CC9"/>
    <w:rsid w:val="00DB7CD0"/>
    <w:rsid w:val="00DB7CFA"/>
    <w:rsid w:val="00DB7D31"/>
    <w:rsid w:val="00DB7F2C"/>
    <w:rsid w:val="00DB7FB7"/>
    <w:rsid w:val="00DC0008"/>
    <w:rsid w:val="00DC00B8"/>
    <w:rsid w:val="00DC0236"/>
    <w:rsid w:val="00DC029B"/>
    <w:rsid w:val="00DC0570"/>
    <w:rsid w:val="00DC0612"/>
    <w:rsid w:val="00DC06E0"/>
    <w:rsid w:val="00DC078F"/>
    <w:rsid w:val="00DC0907"/>
    <w:rsid w:val="00DC0AE0"/>
    <w:rsid w:val="00DC0C1C"/>
    <w:rsid w:val="00DC0C70"/>
    <w:rsid w:val="00DC0DFE"/>
    <w:rsid w:val="00DC1095"/>
    <w:rsid w:val="00DC12C8"/>
    <w:rsid w:val="00DC177A"/>
    <w:rsid w:val="00DC183F"/>
    <w:rsid w:val="00DC1A5D"/>
    <w:rsid w:val="00DC1AC5"/>
    <w:rsid w:val="00DC1C75"/>
    <w:rsid w:val="00DC267A"/>
    <w:rsid w:val="00DC269D"/>
    <w:rsid w:val="00DC27BE"/>
    <w:rsid w:val="00DC28EC"/>
    <w:rsid w:val="00DC2B77"/>
    <w:rsid w:val="00DC2C1B"/>
    <w:rsid w:val="00DC2F0A"/>
    <w:rsid w:val="00DC3141"/>
    <w:rsid w:val="00DC332D"/>
    <w:rsid w:val="00DC36A8"/>
    <w:rsid w:val="00DC3B35"/>
    <w:rsid w:val="00DC3C38"/>
    <w:rsid w:val="00DC3C4D"/>
    <w:rsid w:val="00DC4336"/>
    <w:rsid w:val="00DC44CC"/>
    <w:rsid w:val="00DC45FC"/>
    <w:rsid w:val="00DC4B3D"/>
    <w:rsid w:val="00DC4D13"/>
    <w:rsid w:val="00DC4F01"/>
    <w:rsid w:val="00DC5079"/>
    <w:rsid w:val="00DC5735"/>
    <w:rsid w:val="00DC574E"/>
    <w:rsid w:val="00DC5817"/>
    <w:rsid w:val="00DC58C4"/>
    <w:rsid w:val="00DC5E11"/>
    <w:rsid w:val="00DC5EA3"/>
    <w:rsid w:val="00DC616A"/>
    <w:rsid w:val="00DC64DE"/>
    <w:rsid w:val="00DC6676"/>
    <w:rsid w:val="00DC681F"/>
    <w:rsid w:val="00DC6889"/>
    <w:rsid w:val="00DC6FA5"/>
    <w:rsid w:val="00DC719F"/>
    <w:rsid w:val="00DC72EF"/>
    <w:rsid w:val="00DC735E"/>
    <w:rsid w:val="00DC7610"/>
    <w:rsid w:val="00DC7692"/>
    <w:rsid w:val="00DC7796"/>
    <w:rsid w:val="00DC77A6"/>
    <w:rsid w:val="00DC78C7"/>
    <w:rsid w:val="00DC7C83"/>
    <w:rsid w:val="00DC7CC8"/>
    <w:rsid w:val="00DC7CD5"/>
    <w:rsid w:val="00DC7D0C"/>
    <w:rsid w:val="00DD0353"/>
    <w:rsid w:val="00DD0818"/>
    <w:rsid w:val="00DD08A6"/>
    <w:rsid w:val="00DD098B"/>
    <w:rsid w:val="00DD0B5A"/>
    <w:rsid w:val="00DD105C"/>
    <w:rsid w:val="00DD12C2"/>
    <w:rsid w:val="00DD13BC"/>
    <w:rsid w:val="00DD208F"/>
    <w:rsid w:val="00DD2458"/>
    <w:rsid w:val="00DD28F2"/>
    <w:rsid w:val="00DD2997"/>
    <w:rsid w:val="00DD2CFC"/>
    <w:rsid w:val="00DD3078"/>
    <w:rsid w:val="00DD3099"/>
    <w:rsid w:val="00DD31A3"/>
    <w:rsid w:val="00DD3385"/>
    <w:rsid w:val="00DD350C"/>
    <w:rsid w:val="00DD37EA"/>
    <w:rsid w:val="00DD38E1"/>
    <w:rsid w:val="00DD3929"/>
    <w:rsid w:val="00DD3D0D"/>
    <w:rsid w:val="00DD3EC1"/>
    <w:rsid w:val="00DD3F20"/>
    <w:rsid w:val="00DD3FF9"/>
    <w:rsid w:val="00DD424E"/>
    <w:rsid w:val="00DD432C"/>
    <w:rsid w:val="00DD481E"/>
    <w:rsid w:val="00DD4BB2"/>
    <w:rsid w:val="00DD4CF2"/>
    <w:rsid w:val="00DD4EE1"/>
    <w:rsid w:val="00DD5177"/>
    <w:rsid w:val="00DD5203"/>
    <w:rsid w:val="00DD52ED"/>
    <w:rsid w:val="00DD542A"/>
    <w:rsid w:val="00DD556B"/>
    <w:rsid w:val="00DD5662"/>
    <w:rsid w:val="00DD5887"/>
    <w:rsid w:val="00DD5919"/>
    <w:rsid w:val="00DD5ABA"/>
    <w:rsid w:val="00DD5BB5"/>
    <w:rsid w:val="00DD5FB5"/>
    <w:rsid w:val="00DD60BD"/>
    <w:rsid w:val="00DD67B7"/>
    <w:rsid w:val="00DD6B22"/>
    <w:rsid w:val="00DD6D52"/>
    <w:rsid w:val="00DD746C"/>
    <w:rsid w:val="00DD7533"/>
    <w:rsid w:val="00DD778A"/>
    <w:rsid w:val="00DD7AD1"/>
    <w:rsid w:val="00DD7BA5"/>
    <w:rsid w:val="00DD7F8A"/>
    <w:rsid w:val="00DD7FA2"/>
    <w:rsid w:val="00DD7FA5"/>
    <w:rsid w:val="00DE00E3"/>
    <w:rsid w:val="00DE028F"/>
    <w:rsid w:val="00DE0495"/>
    <w:rsid w:val="00DE0511"/>
    <w:rsid w:val="00DE05CC"/>
    <w:rsid w:val="00DE07C9"/>
    <w:rsid w:val="00DE081E"/>
    <w:rsid w:val="00DE0A56"/>
    <w:rsid w:val="00DE0C32"/>
    <w:rsid w:val="00DE0FBD"/>
    <w:rsid w:val="00DE1464"/>
    <w:rsid w:val="00DE1653"/>
    <w:rsid w:val="00DE1663"/>
    <w:rsid w:val="00DE1CD2"/>
    <w:rsid w:val="00DE1FE6"/>
    <w:rsid w:val="00DE2540"/>
    <w:rsid w:val="00DE2798"/>
    <w:rsid w:val="00DE2A33"/>
    <w:rsid w:val="00DE2ACF"/>
    <w:rsid w:val="00DE2D53"/>
    <w:rsid w:val="00DE2FA5"/>
    <w:rsid w:val="00DE318E"/>
    <w:rsid w:val="00DE31DD"/>
    <w:rsid w:val="00DE31F0"/>
    <w:rsid w:val="00DE3577"/>
    <w:rsid w:val="00DE377A"/>
    <w:rsid w:val="00DE3D38"/>
    <w:rsid w:val="00DE4421"/>
    <w:rsid w:val="00DE4571"/>
    <w:rsid w:val="00DE46C0"/>
    <w:rsid w:val="00DE4ADC"/>
    <w:rsid w:val="00DE4B21"/>
    <w:rsid w:val="00DE4C50"/>
    <w:rsid w:val="00DE4C6A"/>
    <w:rsid w:val="00DE4DE6"/>
    <w:rsid w:val="00DE5083"/>
    <w:rsid w:val="00DE54DB"/>
    <w:rsid w:val="00DE5962"/>
    <w:rsid w:val="00DE5B5C"/>
    <w:rsid w:val="00DE5C28"/>
    <w:rsid w:val="00DE5C6C"/>
    <w:rsid w:val="00DE5F6C"/>
    <w:rsid w:val="00DE5F76"/>
    <w:rsid w:val="00DE61EB"/>
    <w:rsid w:val="00DE6462"/>
    <w:rsid w:val="00DE6768"/>
    <w:rsid w:val="00DE6949"/>
    <w:rsid w:val="00DE6E9F"/>
    <w:rsid w:val="00DE6F7A"/>
    <w:rsid w:val="00DE7183"/>
    <w:rsid w:val="00DE73D2"/>
    <w:rsid w:val="00DE768B"/>
    <w:rsid w:val="00DE7A98"/>
    <w:rsid w:val="00DE7B65"/>
    <w:rsid w:val="00DE7BF8"/>
    <w:rsid w:val="00DE7CEE"/>
    <w:rsid w:val="00DF03FF"/>
    <w:rsid w:val="00DF0496"/>
    <w:rsid w:val="00DF092A"/>
    <w:rsid w:val="00DF0B67"/>
    <w:rsid w:val="00DF0D0E"/>
    <w:rsid w:val="00DF120F"/>
    <w:rsid w:val="00DF12AE"/>
    <w:rsid w:val="00DF1425"/>
    <w:rsid w:val="00DF142D"/>
    <w:rsid w:val="00DF16CD"/>
    <w:rsid w:val="00DF16E8"/>
    <w:rsid w:val="00DF19B6"/>
    <w:rsid w:val="00DF1AB1"/>
    <w:rsid w:val="00DF209E"/>
    <w:rsid w:val="00DF260E"/>
    <w:rsid w:val="00DF278C"/>
    <w:rsid w:val="00DF282F"/>
    <w:rsid w:val="00DF2940"/>
    <w:rsid w:val="00DF2D01"/>
    <w:rsid w:val="00DF37D8"/>
    <w:rsid w:val="00DF39EE"/>
    <w:rsid w:val="00DF3E96"/>
    <w:rsid w:val="00DF417A"/>
    <w:rsid w:val="00DF427B"/>
    <w:rsid w:val="00DF4373"/>
    <w:rsid w:val="00DF4A23"/>
    <w:rsid w:val="00DF4C19"/>
    <w:rsid w:val="00DF4C42"/>
    <w:rsid w:val="00DF5163"/>
    <w:rsid w:val="00DF5359"/>
    <w:rsid w:val="00DF542C"/>
    <w:rsid w:val="00DF54B2"/>
    <w:rsid w:val="00DF5538"/>
    <w:rsid w:val="00DF59D4"/>
    <w:rsid w:val="00DF5A96"/>
    <w:rsid w:val="00DF5ED4"/>
    <w:rsid w:val="00DF5F3A"/>
    <w:rsid w:val="00DF6500"/>
    <w:rsid w:val="00DF65DF"/>
    <w:rsid w:val="00DF680A"/>
    <w:rsid w:val="00DF6C1C"/>
    <w:rsid w:val="00DF72DC"/>
    <w:rsid w:val="00DF76DB"/>
    <w:rsid w:val="00DF790E"/>
    <w:rsid w:val="00DF7B27"/>
    <w:rsid w:val="00DF7F4C"/>
    <w:rsid w:val="00DF7F97"/>
    <w:rsid w:val="00E00318"/>
    <w:rsid w:val="00E00602"/>
    <w:rsid w:val="00E00611"/>
    <w:rsid w:val="00E0096F"/>
    <w:rsid w:val="00E00C6D"/>
    <w:rsid w:val="00E00EE8"/>
    <w:rsid w:val="00E00FF4"/>
    <w:rsid w:val="00E0130B"/>
    <w:rsid w:val="00E014BD"/>
    <w:rsid w:val="00E0155B"/>
    <w:rsid w:val="00E015DE"/>
    <w:rsid w:val="00E01BEC"/>
    <w:rsid w:val="00E01D9D"/>
    <w:rsid w:val="00E01DB9"/>
    <w:rsid w:val="00E01F1E"/>
    <w:rsid w:val="00E024A9"/>
    <w:rsid w:val="00E0275B"/>
    <w:rsid w:val="00E027E5"/>
    <w:rsid w:val="00E02DF9"/>
    <w:rsid w:val="00E02E2B"/>
    <w:rsid w:val="00E02EDF"/>
    <w:rsid w:val="00E02F73"/>
    <w:rsid w:val="00E0391D"/>
    <w:rsid w:val="00E03923"/>
    <w:rsid w:val="00E039F6"/>
    <w:rsid w:val="00E03A81"/>
    <w:rsid w:val="00E03B3A"/>
    <w:rsid w:val="00E04522"/>
    <w:rsid w:val="00E04594"/>
    <w:rsid w:val="00E04885"/>
    <w:rsid w:val="00E04940"/>
    <w:rsid w:val="00E04B58"/>
    <w:rsid w:val="00E05040"/>
    <w:rsid w:val="00E0504B"/>
    <w:rsid w:val="00E050D5"/>
    <w:rsid w:val="00E05179"/>
    <w:rsid w:val="00E051BF"/>
    <w:rsid w:val="00E052E6"/>
    <w:rsid w:val="00E055D0"/>
    <w:rsid w:val="00E05946"/>
    <w:rsid w:val="00E05BB6"/>
    <w:rsid w:val="00E05C81"/>
    <w:rsid w:val="00E05D92"/>
    <w:rsid w:val="00E05F8F"/>
    <w:rsid w:val="00E0608E"/>
    <w:rsid w:val="00E06239"/>
    <w:rsid w:val="00E06342"/>
    <w:rsid w:val="00E066A6"/>
    <w:rsid w:val="00E06792"/>
    <w:rsid w:val="00E06A5E"/>
    <w:rsid w:val="00E06EC3"/>
    <w:rsid w:val="00E07149"/>
    <w:rsid w:val="00E071A0"/>
    <w:rsid w:val="00E071A3"/>
    <w:rsid w:val="00E072A8"/>
    <w:rsid w:val="00E074B8"/>
    <w:rsid w:val="00E0772D"/>
    <w:rsid w:val="00E079E8"/>
    <w:rsid w:val="00E1013B"/>
    <w:rsid w:val="00E101DE"/>
    <w:rsid w:val="00E1021C"/>
    <w:rsid w:val="00E112B2"/>
    <w:rsid w:val="00E113E2"/>
    <w:rsid w:val="00E1179D"/>
    <w:rsid w:val="00E11884"/>
    <w:rsid w:val="00E12067"/>
    <w:rsid w:val="00E1225C"/>
    <w:rsid w:val="00E12328"/>
    <w:rsid w:val="00E12493"/>
    <w:rsid w:val="00E1297E"/>
    <w:rsid w:val="00E12DB6"/>
    <w:rsid w:val="00E12F55"/>
    <w:rsid w:val="00E1329B"/>
    <w:rsid w:val="00E1348E"/>
    <w:rsid w:val="00E135B6"/>
    <w:rsid w:val="00E13720"/>
    <w:rsid w:val="00E13943"/>
    <w:rsid w:val="00E13C4F"/>
    <w:rsid w:val="00E13FAC"/>
    <w:rsid w:val="00E1455C"/>
    <w:rsid w:val="00E1482D"/>
    <w:rsid w:val="00E149F3"/>
    <w:rsid w:val="00E14AC8"/>
    <w:rsid w:val="00E14B86"/>
    <w:rsid w:val="00E14BE4"/>
    <w:rsid w:val="00E14C70"/>
    <w:rsid w:val="00E15383"/>
    <w:rsid w:val="00E15478"/>
    <w:rsid w:val="00E15FBA"/>
    <w:rsid w:val="00E15FCB"/>
    <w:rsid w:val="00E161BC"/>
    <w:rsid w:val="00E1658F"/>
    <w:rsid w:val="00E166BF"/>
    <w:rsid w:val="00E167B8"/>
    <w:rsid w:val="00E167FD"/>
    <w:rsid w:val="00E1685D"/>
    <w:rsid w:val="00E168EA"/>
    <w:rsid w:val="00E16C09"/>
    <w:rsid w:val="00E16C66"/>
    <w:rsid w:val="00E16D19"/>
    <w:rsid w:val="00E170C6"/>
    <w:rsid w:val="00E1714B"/>
    <w:rsid w:val="00E17392"/>
    <w:rsid w:val="00E174E0"/>
    <w:rsid w:val="00E1768E"/>
    <w:rsid w:val="00E178DD"/>
    <w:rsid w:val="00E17A7B"/>
    <w:rsid w:val="00E17C32"/>
    <w:rsid w:val="00E17F78"/>
    <w:rsid w:val="00E202EA"/>
    <w:rsid w:val="00E2031A"/>
    <w:rsid w:val="00E2039F"/>
    <w:rsid w:val="00E205B1"/>
    <w:rsid w:val="00E205EB"/>
    <w:rsid w:val="00E209F4"/>
    <w:rsid w:val="00E20E73"/>
    <w:rsid w:val="00E211C1"/>
    <w:rsid w:val="00E211C3"/>
    <w:rsid w:val="00E2134B"/>
    <w:rsid w:val="00E216AF"/>
    <w:rsid w:val="00E21777"/>
    <w:rsid w:val="00E21B74"/>
    <w:rsid w:val="00E21BA5"/>
    <w:rsid w:val="00E21D31"/>
    <w:rsid w:val="00E21D83"/>
    <w:rsid w:val="00E21E07"/>
    <w:rsid w:val="00E21EE4"/>
    <w:rsid w:val="00E220C9"/>
    <w:rsid w:val="00E220E7"/>
    <w:rsid w:val="00E2221D"/>
    <w:rsid w:val="00E2225C"/>
    <w:rsid w:val="00E2226D"/>
    <w:rsid w:val="00E22290"/>
    <w:rsid w:val="00E222EF"/>
    <w:rsid w:val="00E2241C"/>
    <w:rsid w:val="00E226FC"/>
    <w:rsid w:val="00E2277F"/>
    <w:rsid w:val="00E2279B"/>
    <w:rsid w:val="00E2282A"/>
    <w:rsid w:val="00E228D8"/>
    <w:rsid w:val="00E229A8"/>
    <w:rsid w:val="00E22A7F"/>
    <w:rsid w:val="00E22B5E"/>
    <w:rsid w:val="00E22BBA"/>
    <w:rsid w:val="00E22D95"/>
    <w:rsid w:val="00E22E2D"/>
    <w:rsid w:val="00E23112"/>
    <w:rsid w:val="00E23562"/>
    <w:rsid w:val="00E235C3"/>
    <w:rsid w:val="00E239CA"/>
    <w:rsid w:val="00E23DBE"/>
    <w:rsid w:val="00E23E03"/>
    <w:rsid w:val="00E24133"/>
    <w:rsid w:val="00E242D4"/>
    <w:rsid w:val="00E24641"/>
    <w:rsid w:val="00E2491F"/>
    <w:rsid w:val="00E24C2F"/>
    <w:rsid w:val="00E24E20"/>
    <w:rsid w:val="00E24E70"/>
    <w:rsid w:val="00E2549E"/>
    <w:rsid w:val="00E25584"/>
    <w:rsid w:val="00E255EC"/>
    <w:rsid w:val="00E25661"/>
    <w:rsid w:val="00E2568F"/>
    <w:rsid w:val="00E25989"/>
    <w:rsid w:val="00E25BBD"/>
    <w:rsid w:val="00E264C0"/>
    <w:rsid w:val="00E265D4"/>
    <w:rsid w:val="00E26643"/>
    <w:rsid w:val="00E26A08"/>
    <w:rsid w:val="00E26D28"/>
    <w:rsid w:val="00E26E64"/>
    <w:rsid w:val="00E26EF7"/>
    <w:rsid w:val="00E270C0"/>
    <w:rsid w:val="00E270C5"/>
    <w:rsid w:val="00E271E0"/>
    <w:rsid w:val="00E274AB"/>
    <w:rsid w:val="00E275A4"/>
    <w:rsid w:val="00E275BF"/>
    <w:rsid w:val="00E27642"/>
    <w:rsid w:val="00E278E7"/>
    <w:rsid w:val="00E2798E"/>
    <w:rsid w:val="00E27CB7"/>
    <w:rsid w:val="00E27ECC"/>
    <w:rsid w:val="00E27ED3"/>
    <w:rsid w:val="00E3002B"/>
    <w:rsid w:val="00E3004F"/>
    <w:rsid w:val="00E30313"/>
    <w:rsid w:val="00E3037A"/>
    <w:rsid w:val="00E306AC"/>
    <w:rsid w:val="00E307AD"/>
    <w:rsid w:val="00E309A7"/>
    <w:rsid w:val="00E31707"/>
    <w:rsid w:val="00E31853"/>
    <w:rsid w:val="00E31914"/>
    <w:rsid w:val="00E31BE5"/>
    <w:rsid w:val="00E31D91"/>
    <w:rsid w:val="00E31E35"/>
    <w:rsid w:val="00E32F09"/>
    <w:rsid w:val="00E32F52"/>
    <w:rsid w:val="00E331A9"/>
    <w:rsid w:val="00E332BB"/>
    <w:rsid w:val="00E33329"/>
    <w:rsid w:val="00E3339F"/>
    <w:rsid w:val="00E33458"/>
    <w:rsid w:val="00E33674"/>
    <w:rsid w:val="00E336F7"/>
    <w:rsid w:val="00E33815"/>
    <w:rsid w:val="00E33AB2"/>
    <w:rsid w:val="00E33D33"/>
    <w:rsid w:val="00E33F46"/>
    <w:rsid w:val="00E340F8"/>
    <w:rsid w:val="00E34AAF"/>
    <w:rsid w:val="00E34EED"/>
    <w:rsid w:val="00E3527E"/>
    <w:rsid w:val="00E352DF"/>
    <w:rsid w:val="00E35516"/>
    <w:rsid w:val="00E35911"/>
    <w:rsid w:val="00E35964"/>
    <w:rsid w:val="00E36672"/>
    <w:rsid w:val="00E36736"/>
    <w:rsid w:val="00E367C5"/>
    <w:rsid w:val="00E36ACF"/>
    <w:rsid w:val="00E36C1C"/>
    <w:rsid w:val="00E36E09"/>
    <w:rsid w:val="00E36E11"/>
    <w:rsid w:val="00E3721F"/>
    <w:rsid w:val="00E3740C"/>
    <w:rsid w:val="00E37558"/>
    <w:rsid w:val="00E3786B"/>
    <w:rsid w:val="00E3791C"/>
    <w:rsid w:val="00E37967"/>
    <w:rsid w:val="00E37B76"/>
    <w:rsid w:val="00E37F1A"/>
    <w:rsid w:val="00E40AC4"/>
    <w:rsid w:val="00E40E3E"/>
    <w:rsid w:val="00E413A1"/>
    <w:rsid w:val="00E4145C"/>
    <w:rsid w:val="00E414D7"/>
    <w:rsid w:val="00E4168A"/>
    <w:rsid w:val="00E416F9"/>
    <w:rsid w:val="00E417C3"/>
    <w:rsid w:val="00E41A61"/>
    <w:rsid w:val="00E41DB3"/>
    <w:rsid w:val="00E421E7"/>
    <w:rsid w:val="00E4264A"/>
    <w:rsid w:val="00E42878"/>
    <w:rsid w:val="00E42AD3"/>
    <w:rsid w:val="00E42AEE"/>
    <w:rsid w:val="00E42AF0"/>
    <w:rsid w:val="00E42DB2"/>
    <w:rsid w:val="00E42DC3"/>
    <w:rsid w:val="00E42EA7"/>
    <w:rsid w:val="00E42EBD"/>
    <w:rsid w:val="00E4339F"/>
    <w:rsid w:val="00E434C9"/>
    <w:rsid w:val="00E4361B"/>
    <w:rsid w:val="00E43865"/>
    <w:rsid w:val="00E438CD"/>
    <w:rsid w:val="00E43B62"/>
    <w:rsid w:val="00E43CB0"/>
    <w:rsid w:val="00E43D5B"/>
    <w:rsid w:val="00E43E20"/>
    <w:rsid w:val="00E4407D"/>
    <w:rsid w:val="00E4440F"/>
    <w:rsid w:val="00E4463B"/>
    <w:rsid w:val="00E44A38"/>
    <w:rsid w:val="00E44C7B"/>
    <w:rsid w:val="00E44DAD"/>
    <w:rsid w:val="00E44E58"/>
    <w:rsid w:val="00E45583"/>
    <w:rsid w:val="00E45674"/>
    <w:rsid w:val="00E4585B"/>
    <w:rsid w:val="00E45C63"/>
    <w:rsid w:val="00E45E51"/>
    <w:rsid w:val="00E45F84"/>
    <w:rsid w:val="00E45FCD"/>
    <w:rsid w:val="00E46264"/>
    <w:rsid w:val="00E4636F"/>
    <w:rsid w:val="00E468DB"/>
    <w:rsid w:val="00E46936"/>
    <w:rsid w:val="00E46AEA"/>
    <w:rsid w:val="00E46BCC"/>
    <w:rsid w:val="00E46CA1"/>
    <w:rsid w:val="00E46D0E"/>
    <w:rsid w:val="00E46D40"/>
    <w:rsid w:val="00E47200"/>
    <w:rsid w:val="00E4749C"/>
    <w:rsid w:val="00E474CB"/>
    <w:rsid w:val="00E47642"/>
    <w:rsid w:val="00E47A60"/>
    <w:rsid w:val="00E47C47"/>
    <w:rsid w:val="00E47DB0"/>
    <w:rsid w:val="00E47E07"/>
    <w:rsid w:val="00E47E46"/>
    <w:rsid w:val="00E47EB3"/>
    <w:rsid w:val="00E50022"/>
    <w:rsid w:val="00E5009B"/>
    <w:rsid w:val="00E50816"/>
    <w:rsid w:val="00E50A54"/>
    <w:rsid w:val="00E50CD8"/>
    <w:rsid w:val="00E50F26"/>
    <w:rsid w:val="00E51129"/>
    <w:rsid w:val="00E516AF"/>
    <w:rsid w:val="00E51708"/>
    <w:rsid w:val="00E5186B"/>
    <w:rsid w:val="00E51884"/>
    <w:rsid w:val="00E51963"/>
    <w:rsid w:val="00E522F8"/>
    <w:rsid w:val="00E522FF"/>
    <w:rsid w:val="00E5245F"/>
    <w:rsid w:val="00E52461"/>
    <w:rsid w:val="00E52822"/>
    <w:rsid w:val="00E52AB2"/>
    <w:rsid w:val="00E52AFE"/>
    <w:rsid w:val="00E52D7D"/>
    <w:rsid w:val="00E52F26"/>
    <w:rsid w:val="00E5317D"/>
    <w:rsid w:val="00E53293"/>
    <w:rsid w:val="00E53CB9"/>
    <w:rsid w:val="00E53E11"/>
    <w:rsid w:val="00E53FF5"/>
    <w:rsid w:val="00E5401A"/>
    <w:rsid w:val="00E540FA"/>
    <w:rsid w:val="00E541B6"/>
    <w:rsid w:val="00E54387"/>
    <w:rsid w:val="00E543E8"/>
    <w:rsid w:val="00E54AAE"/>
    <w:rsid w:val="00E54ABC"/>
    <w:rsid w:val="00E54DDD"/>
    <w:rsid w:val="00E55123"/>
    <w:rsid w:val="00E55293"/>
    <w:rsid w:val="00E55327"/>
    <w:rsid w:val="00E553A0"/>
    <w:rsid w:val="00E553A6"/>
    <w:rsid w:val="00E553F4"/>
    <w:rsid w:val="00E55401"/>
    <w:rsid w:val="00E5554E"/>
    <w:rsid w:val="00E55750"/>
    <w:rsid w:val="00E55B0D"/>
    <w:rsid w:val="00E55B8D"/>
    <w:rsid w:val="00E55D17"/>
    <w:rsid w:val="00E560CD"/>
    <w:rsid w:val="00E560F7"/>
    <w:rsid w:val="00E56173"/>
    <w:rsid w:val="00E56239"/>
    <w:rsid w:val="00E56337"/>
    <w:rsid w:val="00E564DE"/>
    <w:rsid w:val="00E56527"/>
    <w:rsid w:val="00E5663B"/>
    <w:rsid w:val="00E56981"/>
    <w:rsid w:val="00E56D43"/>
    <w:rsid w:val="00E571D5"/>
    <w:rsid w:val="00E578D0"/>
    <w:rsid w:val="00E57DBF"/>
    <w:rsid w:val="00E57F8F"/>
    <w:rsid w:val="00E6020E"/>
    <w:rsid w:val="00E6055D"/>
    <w:rsid w:val="00E605A3"/>
    <w:rsid w:val="00E60A47"/>
    <w:rsid w:val="00E60EB5"/>
    <w:rsid w:val="00E60FDD"/>
    <w:rsid w:val="00E61507"/>
    <w:rsid w:val="00E61770"/>
    <w:rsid w:val="00E61842"/>
    <w:rsid w:val="00E61A0D"/>
    <w:rsid w:val="00E61BFE"/>
    <w:rsid w:val="00E61EDF"/>
    <w:rsid w:val="00E62017"/>
    <w:rsid w:val="00E6206E"/>
    <w:rsid w:val="00E6217A"/>
    <w:rsid w:val="00E62291"/>
    <w:rsid w:val="00E62311"/>
    <w:rsid w:val="00E624E9"/>
    <w:rsid w:val="00E62651"/>
    <w:rsid w:val="00E6298A"/>
    <w:rsid w:val="00E629B3"/>
    <w:rsid w:val="00E629CC"/>
    <w:rsid w:val="00E62A89"/>
    <w:rsid w:val="00E62BC7"/>
    <w:rsid w:val="00E62C1D"/>
    <w:rsid w:val="00E62C97"/>
    <w:rsid w:val="00E62EBF"/>
    <w:rsid w:val="00E63410"/>
    <w:rsid w:val="00E6373C"/>
    <w:rsid w:val="00E6375D"/>
    <w:rsid w:val="00E63ABF"/>
    <w:rsid w:val="00E63B1F"/>
    <w:rsid w:val="00E6409C"/>
    <w:rsid w:val="00E64189"/>
    <w:rsid w:val="00E64269"/>
    <w:rsid w:val="00E643C7"/>
    <w:rsid w:val="00E644F5"/>
    <w:rsid w:val="00E644F6"/>
    <w:rsid w:val="00E6487E"/>
    <w:rsid w:val="00E64895"/>
    <w:rsid w:val="00E64BCC"/>
    <w:rsid w:val="00E64D24"/>
    <w:rsid w:val="00E64E6E"/>
    <w:rsid w:val="00E651F2"/>
    <w:rsid w:val="00E653FF"/>
    <w:rsid w:val="00E654DF"/>
    <w:rsid w:val="00E65535"/>
    <w:rsid w:val="00E6577B"/>
    <w:rsid w:val="00E65E58"/>
    <w:rsid w:val="00E65E78"/>
    <w:rsid w:val="00E65F21"/>
    <w:rsid w:val="00E6603D"/>
    <w:rsid w:val="00E662ED"/>
    <w:rsid w:val="00E66787"/>
    <w:rsid w:val="00E6688F"/>
    <w:rsid w:val="00E66F30"/>
    <w:rsid w:val="00E67118"/>
    <w:rsid w:val="00E67367"/>
    <w:rsid w:val="00E67447"/>
    <w:rsid w:val="00E679C4"/>
    <w:rsid w:val="00E67B2B"/>
    <w:rsid w:val="00E67C4F"/>
    <w:rsid w:val="00E67D64"/>
    <w:rsid w:val="00E67E77"/>
    <w:rsid w:val="00E701B9"/>
    <w:rsid w:val="00E706EA"/>
    <w:rsid w:val="00E70F8D"/>
    <w:rsid w:val="00E70FD3"/>
    <w:rsid w:val="00E70FF6"/>
    <w:rsid w:val="00E71089"/>
    <w:rsid w:val="00E7120B"/>
    <w:rsid w:val="00E7166B"/>
    <w:rsid w:val="00E719CF"/>
    <w:rsid w:val="00E71A46"/>
    <w:rsid w:val="00E71A83"/>
    <w:rsid w:val="00E71E02"/>
    <w:rsid w:val="00E723A7"/>
    <w:rsid w:val="00E724B2"/>
    <w:rsid w:val="00E724EE"/>
    <w:rsid w:val="00E726E6"/>
    <w:rsid w:val="00E729DC"/>
    <w:rsid w:val="00E72AA2"/>
    <w:rsid w:val="00E72D54"/>
    <w:rsid w:val="00E72EF6"/>
    <w:rsid w:val="00E73222"/>
    <w:rsid w:val="00E73459"/>
    <w:rsid w:val="00E73911"/>
    <w:rsid w:val="00E73A77"/>
    <w:rsid w:val="00E73AED"/>
    <w:rsid w:val="00E73BA3"/>
    <w:rsid w:val="00E73BE6"/>
    <w:rsid w:val="00E73BEB"/>
    <w:rsid w:val="00E73E66"/>
    <w:rsid w:val="00E7403C"/>
    <w:rsid w:val="00E740ED"/>
    <w:rsid w:val="00E7424B"/>
    <w:rsid w:val="00E74375"/>
    <w:rsid w:val="00E7439D"/>
    <w:rsid w:val="00E74747"/>
    <w:rsid w:val="00E74A15"/>
    <w:rsid w:val="00E74ADB"/>
    <w:rsid w:val="00E74B24"/>
    <w:rsid w:val="00E74C34"/>
    <w:rsid w:val="00E7502A"/>
    <w:rsid w:val="00E751A9"/>
    <w:rsid w:val="00E751CB"/>
    <w:rsid w:val="00E75D7A"/>
    <w:rsid w:val="00E760CC"/>
    <w:rsid w:val="00E760D9"/>
    <w:rsid w:val="00E7621D"/>
    <w:rsid w:val="00E7652C"/>
    <w:rsid w:val="00E76557"/>
    <w:rsid w:val="00E76628"/>
    <w:rsid w:val="00E76FCC"/>
    <w:rsid w:val="00E76FE2"/>
    <w:rsid w:val="00E7737E"/>
    <w:rsid w:val="00E77A16"/>
    <w:rsid w:val="00E77CAC"/>
    <w:rsid w:val="00E77D7E"/>
    <w:rsid w:val="00E77E87"/>
    <w:rsid w:val="00E77F0D"/>
    <w:rsid w:val="00E800EF"/>
    <w:rsid w:val="00E802AF"/>
    <w:rsid w:val="00E803A4"/>
    <w:rsid w:val="00E80521"/>
    <w:rsid w:val="00E80777"/>
    <w:rsid w:val="00E80A65"/>
    <w:rsid w:val="00E80B57"/>
    <w:rsid w:val="00E80C3A"/>
    <w:rsid w:val="00E81068"/>
    <w:rsid w:val="00E810B0"/>
    <w:rsid w:val="00E810FD"/>
    <w:rsid w:val="00E8112C"/>
    <w:rsid w:val="00E81378"/>
    <w:rsid w:val="00E813C8"/>
    <w:rsid w:val="00E81C80"/>
    <w:rsid w:val="00E81F05"/>
    <w:rsid w:val="00E820F9"/>
    <w:rsid w:val="00E82345"/>
    <w:rsid w:val="00E8240A"/>
    <w:rsid w:val="00E825A9"/>
    <w:rsid w:val="00E8263C"/>
    <w:rsid w:val="00E8297A"/>
    <w:rsid w:val="00E82C09"/>
    <w:rsid w:val="00E82C3E"/>
    <w:rsid w:val="00E82C44"/>
    <w:rsid w:val="00E82CAC"/>
    <w:rsid w:val="00E82CE8"/>
    <w:rsid w:val="00E82D52"/>
    <w:rsid w:val="00E82EE5"/>
    <w:rsid w:val="00E82F24"/>
    <w:rsid w:val="00E82F52"/>
    <w:rsid w:val="00E830A8"/>
    <w:rsid w:val="00E830D5"/>
    <w:rsid w:val="00E83376"/>
    <w:rsid w:val="00E833AC"/>
    <w:rsid w:val="00E8343D"/>
    <w:rsid w:val="00E83715"/>
    <w:rsid w:val="00E83865"/>
    <w:rsid w:val="00E838E6"/>
    <w:rsid w:val="00E83AAA"/>
    <w:rsid w:val="00E84053"/>
    <w:rsid w:val="00E84090"/>
    <w:rsid w:val="00E840CE"/>
    <w:rsid w:val="00E842D4"/>
    <w:rsid w:val="00E8432A"/>
    <w:rsid w:val="00E84524"/>
    <w:rsid w:val="00E84559"/>
    <w:rsid w:val="00E84746"/>
    <w:rsid w:val="00E847E0"/>
    <w:rsid w:val="00E84D20"/>
    <w:rsid w:val="00E84F07"/>
    <w:rsid w:val="00E8512D"/>
    <w:rsid w:val="00E85157"/>
    <w:rsid w:val="00E85169"/>
    <w:rsid w:val="00E8523C"/>
    <w:rsid w:val="00E8554E"/>
    <w:rsid w:val="00E857D4"/>
    <w:rsid w:val="00E85C3D"/>
    <w:rsid w:val="00E85E27"/>
    <w:rsid w:val="00E86083"/>
    <w:rsid w:val="00E860A3"/>
    <w:rsid w:val="00E860DA"/>
    <w:rsid w:val="00E86311"/>
    <w:rsid w:val="00E86732"/>
    <w:rsid w:val="00E8685D"/>
    <w:rsid w:val="00E868AD"/>
    <w:rsid w:val="00E86ACF"/>
    <w:rsid w:val="00E87017"/>
    <w:rsid w:val="00E871A5"/>
    <w:rsid w:val="00E872C6"/>
    <w:rsid w:val="00E87688"/>
    <w:rsid w:val="00E87A86"/>
    <w:rsid w:val="00E87D24"/>
    <w:rsid w:val="00E87D77"/>
    <w:rsid w:val="00E90303"/>
    <w:rsid w:val="00E9089C"/>
    <w:rsid w:val="00E909E3"/>
    <w:rsid w:val="00E90ACC"/>
    <w:rsid w:val="00E917E7"/>
    <w:rsid w:val="00E91E38"/>
    <w:rsid w:val="00E91EC8"/>
    <w:rsid w:val="00E91F89"/>
    <w:rsid w:val="00E921FD"/>
    <w:rsid w:val="00E9244D"/>
    <w:rsid w:val="00E92553"/>
    <w:rsid w:val="00E927D7"/>
    <w:rsid w:val="00E929B2"/>
    <w:rsid w:val="00E935FC"/>
    <w:rsid w:val="00E93601"/>
    <w:rsid w:val="00E937C5"/>
    <w:rsid w:val="00E93CA8"/>
    <w:rsid w:val="00E93F48"/>
    <w:rsid w:val="00E94216"/>
    <w:rsid w:val="00E946BD"/>
    <w:rsid w:val="00E94846"/>
    <w:rsid w:val="00E9498D"/>
    <w:rsid w:val="00E94A20"/>
    <w:rsid w:val="00E94AE7"/>
    <w:rsid w:val="00E95011"/>
    <w:rsid w:val="00E9517A"/>
    <w:rsid w:val="00E9530B"/>
    <w:rsid w:val="00E95382"/>
    <w:rsid w:val="00E95D7A"/>
    <w:rsid w:val="00E95FB8"/>
    <w:rsid w:val="00E963C1"/>
    <w:rsid w:val="00E96533"/>
    <w:rsid w:val="00E9669F"/>
    <w:rsid w:val="00E96CDF"/>
    <w:rsid w:val="00E96E83"/>
    <w:rsid w:val="00E96E8D"/>
    <w:rsid w:val="00E96F15"/>
    <w:rsid w:val="00E97151"/>
    <w:rsid w:val="00E975D4"/>
    <w:rsid w:val="00E9762A"/>
    <w:rsid w:val="00E9785F"/>
    <w:rsid w:val="00E97912"/>
    <w:rsid w:val="00E97955"/>
    <w:rsid w:val="00E97AA5"/>
    <w:rsid w:val="00E97C31"/>
    <w:rsid w:val="00E97C80"/>
    <w:rsid w:val="00EA0184"/>
    <w:rsid w:val="00EA022B"/>
    <w:rsid w:val="00EA03B5"/>
    <w:rsid w:val="00EA0438"/>
    <w:rsid w:val="00EA0445"/>
    <w:rsid w:val="00EA04FF"/>
    <w:rsid w:val="00EA0C0B"/>
    <w:rsid w:val="00EA0CC1"/>
    <w:rsid w:val="00EA0F7B"/>
    <w:rsid w:val="00EA0F86"/>
    <w:rsid w:val="00EA1036"/>
    <w:rsid w:val="00EA1067"/>
    <w:rsid w:val="00EA10F3"/>
    <w:rsid w:val="00EA1332"/>
    <w:rsid w:val="00EA16E6"/>
    <w:rsid w:val="00EA1AA5"/>
    <w:rsid w:val="00EA2216"/>
    <w:rsid w:val="00EA22A3"/>
    <w:rsid w:val="00EA2311"/>
    <w:rsid w:val="00EA2437"/>
    <w:rsid w:val="00EA250E"/>
    <w:rsid w:val="00EA28FB"/>
    <w:rsid w:val="00EA2A59"/>
    <w:rsid w:val="00EA2A7A"/>
    <w:rsid w:val="00EA30B9"/>
    <w:rsid w:val="00EA3949"/>
    <w:rsid w:val="00EA3C43"/>
    <w:rsid w:val="00EA3C5A"/>
    <w:rsid w:val="00EA3C86"/>
    <w:rsid w:val="00EA3E51"/>
    <w:rsid w:val="00EA428B"/>
    <w:rsid w:val="00EA44FE"/>
    <w:rsid w:val="00EA45A4"/>
    <w:rsid w:val="00EA47E4"/>
    <w:rsid w:val="00EA47EB"/>
    <w:rsid w:val="00EA49C0"/>
    <w:rsid w:val="00EA49FD"/>
    <w:rsid w:val="00EA4A2B"/>
    <w:rsid w:val="00EA4BE0"/>
    <w:rsid w:val="00EA5137"/>
    <w:rsid w:val="00EA524E"/>
    <w:rsid w:val="00EA531D"/>
    <w:rsid w:val="00EA55C5"/>
    <w:rsid w:val="00EA561A"/>
    <w:rsid w:val="00EA5642"/>
    <w:rsid w:val="00EA57C9"/>
    <w:rsid w:val="00EA582A"/>
    <w:rsid w:val="00EA5AD7"/>
    <w:rsid w:val="00EA5B05"/>
    <w:rsid w:val="00EA5F66"/>
    <w:rsid w:val="00EA610C"/>
    <w:rsid w:val="00EA6397"/>
    <w:rsid w:val="00EA6807"/>
    <w:rsid w:val="00EA68A2"/>
    <w:rsid w:val="00EA69F3"/>
    <w:rsid w:val="00EA6EF6"/>
    <w:rsid w:val="00EA722D"/>
    <w:rsid w:val="00EA7328"/>
    <w:rsid w:val="00EA7621"/>
    <w:rsid w:val="00EA7940"/>
    <w:rsid w:val="00EA7987"/>
    <w:rsid w:val="00EA79BD"/>
    <w:rsid w:val="00EA7BF3"/>
    <w:rsid w:val="00EB0147"/>
    <w:rsid w:val="00EB02E3"/>
    <w:rsid w:val="00EB0370"/>
    <w:rsid w:val="00EB05BF"/>
    <w:rsid w:val="00EB0647"/>
    <w:rsid w:val="00EB096D"/>
    <w:rsid w:val="00EB12EF"/>
    <w:rsid w:val="00EB19E5"/>
    <w:rsid w:val="00EB19FD"/>
    <w:rsid w:val="00EB1BA5"/>
    <w:rsid w:val="00EB1BBF"/>
    <w:rsid w:val="00EB1BC6"/>
    <w:rsid w:val="00EB1D65"/>
    <w:rsid w:val="00EB1EA8"/>
    <w:rsid w:val="00EB1F1D"/>
    <w:rsid w:val="00EB223A"/>
    <w:rsid w:val="00EB22EE"/>
    <w:rsid w:val="00EB237F"/>
    <w:rsid w:val="00EB2AB5"/>
    <w:rsid w:val="00EB2C59"/>
    <w:rsid w:val="00EB2C91"/>
    <w:rsid w:val="00EB350D"/>
    <w:rsid w:val="00EB3976"/>
    <w:rsid w:val="00EB3C47"/>
    <w:rsid w:val="00EB3CE7"/>
    <w:rsid w:val="00EB3DF9"/>
    <w:rsid w:val="00EB4018"/>
    <w:rsid w:val="00EB4296"/>
    <w:rsid w:val="00EB44E1"/>
    <w:rsid w:val="00EB474D"/>
    <w:rsid w:val="00EB4C0B"/>
    <w:rsid w:val="00EB4C9B"/>
    <w:rsid w:val="00EB4F67"/>
    <w:rsid w:val="00EB58EC"/>
    <w:rsid w:val="00EB5BDD"/>
    <w:rsid w:val="00EB5C5A"/>
    <w:rsid w:val="00EB5E47"/>
    <w:rsid w:val="00EB6037"/>
    <w:rsid w:val="00EB613D"/>
    <w:rsid w:val="00EB632B"/>
    <w:rsid w:val="00EB6481"/>
    <w:rsid w:val="00EB6602"/>
    <w:rsid w:val="00EB6852"/>
    <w:rsid w:val="00EB6BDC"/>
    <w:rsid w:val="00EB6DF2"/>
    <w:rsid w:val="00EB713C"/>
    <w:rsid w:val="00EB7261"/>
    <w:rsid w:val="00EB745B"/>
    <w:rsid w:val="00EB7ABF"/>
    <w:rsid w:val="00EB7C7C"/>
    <w:rsid w:val="00EB7EE4"/>
    <w:rsid w:val="00EB7FE6"/>
    <w:rsid w:val="00EC04AE"/>
    <w:rsid w:val="00EC0559"/>
    <w:rsid w:val="00EC07E1"/>
    <w:rsid w:val="00EC0DE8"/>
    <w:rsid w:val="00EC0E73"/>
    <w:rsid w:val="00EC0E93"/>
    <w:rsid w:val="00EC0F82"/>
    <w:rsid w:val="00EC1498"/>
    <w:rsid w:val="00EC1A6C"/>
    <w:rsid w:val="00EC1C29"/>
    <w:rsid w:val="00EC1D0A"/>
    <w:rsid w:val="00EC1DEB"/>
    <w:rsid w:val="00EC1E08"/>
    <w:rsid w:val="00EC1E17"/>
    <w:rsid w:val="00EC1E91"/>
    <w:rsid w:val="00EC1EBD"/>
    <w:rsid w:val="00EC1EFC"/>
    <w:rsid w:val="00EC215A"/>
    <w:rsid w:val="00EC2223"/>
    <w:rsid w:val="00EC2278"/>
    <w:rsid w:val="00EC26B2"/>
    <w:rsid w:val="00EC26F5"/>
    <w:rsid w:val="00EC29D8"/>
    <w:rsid w:val="00EC2B0B"/>
    <w:rsid w:val="00EC2D98"/>
    <w:rsid w:val="00EC3125"/>
    <w:rsid w:val="00EC3232"/>
    <w:rsid w:val="00EC3863"/>
    <w:rsid w:val="00EC3943"/>
    <w:rsid w:val="00EC3BF2"/>
    <w:rsid w:val="00EC3E62"/>
    <w:rsid w:val="00EC3FF1"/>
    <w:rsid w:val="00EC4560"/>
    <w:rsid w:val="00EC47F1"/>
    <w:rsid w:val="00EC4A2E"/>
    <w:rsid w:val="00EC4D63"/>
    <w:rsid w:val="00EC528C"/>
    <w:rsid w:val="00EC52A3"/>
    <w:rsid w:val="00EC53FF"/>
    <w:rsid w:val="00EC5633"/>
    <w:rsid w:val="00EC5A61"/>
    <w:rsid w:val="00EC5AC2"/>
    <w:rsid w:val="00EC5BE1"/>
    <w:rsid w:val="00EC5CFF"/>
    <w:rsid w:val="00EC5DCE"/>
    <w:rsid w:val="00EC5DEF"/>
    <w:rsid w:val="00EC6054"/>
    <w:rsid w:val="00EC6277"/>
    <w:rsid w:val="00EC62FF"/>
    <w:rsid w:val="00EC63BF"/>
    <w:rsid w:val="00EC651E"/>
    <w:rsid w:val="00EC6713"/>
    <w:rsid w:val="00EC698D"/>
    <w:rsid w:val="00EC69D7"/>
    <w:rsid w:val="00EC6CB0"/>
    <w:rsid w:val="00EC6F8F"/>
    <w:rsid w:val="00EC6FE4"/>
    <w:rsid w:val="00EC6FEC"/>
    <w:rsid w:val="00EC7106"/>
    <w:rsid w:val="00EC7282"/>
    <w:rsid w:val="00EC766F"/>
    <w:rsid w:val="00EC7706"/>
    <w:rsid w:val="00EC773E"/>
    <w:rsid w:val="00EC7769"/>
    <w:rsid w:val="00EC785C"/>
    <w:rsid w:val="00EC79EA"/>
    <w:rsid w:val="00EC7B5A"/>
    <w:rsid w:val="00EC7C06"/>
    <w:rsid w:val="00ED0383"/>
    <w:rsid w:val="00ED0504"/>
    <w:rsid w:val="00ED0E2D"/>
    <w:rsid w:val="00ED0FBA"/>
    <w:rsid w:val="00ED103F"/>
    <w:rsid w:val="00ED12D8"/>
    <w:rsid w:val="00ED12F8"/>
    <w:rsid w:val="00ED13CE"/>
    <w:rsid w:val="00ED14A1"/>
    <w:rsid w:val="00ED15E1"/>
    <w:rsid w:val="00ED18B0"/>
    <w:rsid w:val="00ED19AD"/>
    <w:rsid w:val="00ED1BFB"/>
    <w:rsid w:val="00ED1E25"/>
    <w:rsid w:val="00ED1E55"/>
    <w:rsid w:val="00ED1EAE"/>
    <w:rsid w:val="00ED2453"/>
    <w:rsid w:val="00ED2665"/>
    <w:rsid w:val="00ED2CB1"/>
    <w:rsid w:val="00ED3013"/>
    <w:rsid w:val="00ED3064"/>
    <w:rsid w:val="00ED37C2"/>
    <w:rsid w:val="00ED3BE7"/>
    <w:rsid w:val="00ED3CD3"/>
    <w:rsid w:val="00ED3D53"/>
    <w:rsid w:val="00ED3D9A"/>
    <w:rsid w:val="00ED3EA7"/>
    <w:rsid w:val="00ED3EEF"/>
    <w:rsid w:val="00ED46A5"/>
    <w:rsid w:val="00ED46AF"/>
    <w:rsid w:val="00ED477F"/>
    <w:rsid w:val="00ED4A18"/>
    <w:rsid w:val="00ED4AEC"/>
    <w:rsid w:val="00ED5270"/>
    <w:rsid w:val="00ED5450"/>
    <w:rsid w:val="00ED5681"/>
    <w:rsid w:val="00ED56A0"/>
    <w:rsid w:val="00ED56E8"/>
    <w:rsid w:val="00ED5893"/>
    <w:rsid w:val="00ED5A0B"/>
    <w:rsid w:val="00ED5C24"/>
    <w:rsid w:val="00ED5E9D"/>
    <w:rsid w:val="00ED600C"/>
    <w:rsid w:val="00ED61D4"/>
    <w:rsid w:val="00ED66C5"/>
    <w:rsid w:val="00ED68D6"/>
    <w:rsid w:val="00ED6F9A"/>
    <w:rsid w:val="00ED73AE"/>
    <w:rsid w:val="00ED757E"/>
    <w:rsid w:val="00ED75A0"/>
    <w:rsid w:val="00ED798D"/>
    <w:rsid w:val="00ED7A1C"/>
    <w:rsid w:val="00ED7A37"/>
    <w:rsid w:val="00ED7EDD"/>
    <w:rsid w:val="00EE00C5"/>
    <w:rsid w:val="00EE0608"/>
    <w:rsid w:val="00EE07A5"/>
    <w:rsid w:val="00EE1087"/>
    <w:rsid w:val="00EE114A"/>
    <w:rsid w:val="00EE1340"/>
    <w:rsid w:val="00EE154B"/>
    <w:rsid w:val="00EE1E2C"/>
    <w:rsid w:val="00EE1EA8"/>
    <w:rsid w:val="00EE1F30"/>
    <w:rsid w:val="00EE218E"/>
    <w:rsid w:val="00EE21E9"/>
    <w:rsid w:val="00EE2369"/>
    <w:rsid w:val="00EE2576"/>
    <w:rsid w:val="00EE26A5"/>
    <w:rsid w:val="00EE2856"/>
    <w:rsid w:val="00EE2FA0"/>
    <w:rsid w:val="00EE32CD"/>
    <w:rsid w:val="00EE35FC"/>
    <w:rsid w:val="00EE3A95"/>
    <w:rsid w:val="00EE3B3B"/>
    <w:rsid w:val="00EE3C0E"/>
    <w:rsid w:val="00EE3D1F"/>
    <w:rsid w:val="00EE3DF0"/>
    <w:rsid w:val="00EE3E39"/>
    <w:rsid w:val="00EE3F30"/>
    <w:rsid w:val="00EE40B0"/>
    <w:rsid w:val="00EE412F"/>
    <w:rsid w:val="00EE41D6"/>
    <w:rsid w:val="00EE4238"/>
    <w:rsid w:val="00EE4912"/>
    <w:rsid w:val="00EE4D82"/>
    <w:rsid w:val="00EE5052"/>
    <w:rsid w:val="00EE51B2"/>
    <w:rsid w:val="00EE52A6"/>
    <w:rsid w:val="00EE54FA"/>
    <w:rsid w:val="00EE56FF"/>
    <w:rsid w:val="00EE572F"/>
    <w:rsid w:val="00EE5869"/>
    <w:rsid w:val="00EE5946"/>
    <w:rsid w:val="00EE5AA1"/>
    <w:rsid w:val="00EE5BE9"/>
    <w:rsid w:val="00EE5C93"/>
    <w:rsid w:val="00EE5E3E"/>
    <w:rsid w:val="00EE5F3D"/>
    <w:rsid w:val="00EE617F"/>
    <w:rsid w:val="00EE61B6"/>
    <w:rsid w:val="00EE637B"/>
    <w:rsid w:val="00EE6C29"/>
    <w:rsid w:val="00EE6F80"/>
    <w:rsid w:val="00EE70D8"/>
    <w:rsid w:val="00EE7A69"/>
    <w:rsid w:val="00EE7E1B"/>
    <w:rsid w:val="00EE7FDA"/>
    <w:rsid w:val="00EF02C1"/>
    <w:rsid w:val="00EF07B9"/>
    <w:rsid w:val="00EF07FF"/>
    <w:rsid w:val="00EF0D47"/>
    <w:rsid w:val="00EF0F04"/>
    <w:rsid w:val="00EF0F74"/>
    <w:rsid w:val="00EF136F"/>
    <w:rsid w:val="00EF198D"/>
    <w:rsid w:val="00EF1D39"/>
    <w:rsid w:val="00EF22F8"/>
    <w:rsid w:val="00EF2430"/>
    <w:rsid w:val="00EF2517"/>
    <w:rsid w:val="00EF2547"/>
    <w:rsid w:val="00EF2832"/>
    <w:rsid w:val="00EF2AD6"/>
    <w:rsid w:val="00EF2ADC"/>
    <w:rsid w:val="00EF2EA6"/>
    <w:rsid w:val="00EF2F02"/>
    <w:rsid w:val="00EF2F3C"/>
    <w:rsid w:val="00EF326D"/>
    <w:rsid w:val="00EF3286"/>
    <w:rsid w:val="00EF39AC"/>
    <w:rsid w:val="00EF3E59"/>
    <w:rsid w:val="00EF40DE"/>
    <w:rsid w:val="00EF42F9"/>
    <w:rsid w:val="00EF4AEA"/>
    <w:rsid w:val="00EF4BC7"/>
    <w:rsid w:val="00EF56DB"/>
    <w:rsid w:val="00EF5868"/>
    <w:rsid w:val="00EF5883"/>
    <w:rsid w:val="00EF593B"/>
    <w:rsid w:val="00EF5BF3"/>
    <w:rsid w:val="00EF60BC"/>
    <w:rsid w:val="00EF61AA"/>
    <w:rsid w:val="00EF64AF"/>
    <w:rsid w:val="00EF64C9"/>
    <w:rsid w:val="00EF65E4"/>
    <w:rsid w:val="00EF671F"/>
    <w:rsid w:val="00EF67AC"/>
    <w:rsid w:val="00EF6966"/>
    <w:rsid w:val="00EF7009"/>
    <w:rsid w:val="00EF75EA"/>
    <w:rsid w:val="00EF761F"/>
    <w:rsid w:val="00EF779B"/>
    <w:rsid w:val="00EF783F"/>
    <w:rsid w:val="00EF7970"/>
    <w:rsid w:val="00EF7A89"/>
    <w:rsid w:val="00EF7BCD"/>
    <w:rsid w:val="00EF7CA4"/>
    <w:rsid w:val="00F004DB"/>
    <w:rsid w:val="00F005C6"/>
    <w:rsid w:val="00F0061E"/>
    <w:rsid w:val="00F009DB"/>
    <w:rsid w:val="00F00B30"/>
    <w:rsid w:val="00F00CA6"/>
    <w:rsid w:val="00F01394"/>
    <w:rsid w:val="00F01874"/>
    <w:rsid w:val="00F01B27"/>
    <w:rsid w:val="00F01CE9"/>
    <w:rsid w:val="00F01DB4"/>
    <w:rsid w:val="00F01E47"/>
    <w:rsid w:val="00F02730"/>
    <w:rsid w:val="00F031AD"/>
    <w:rsid w:val="00F0322B"/>
    <w:rsid w:val="00F032E7"/>
    <w:rsid w:val="00F03344"/>
    <w:rsid w:val="00F03370"/>
    <w:rsid w:val="00F035FD"/>
    <w:rsid w:val="00F03777"/>
    <w:rsid w:val="00F0388A"/>
    <w:rsid w:val="00F039D9"/>
    <w:rsid w:val="00F03A0D"/>
    <w:rsid w:val="00F03AB2"/>
    <w:rsid w:val="00F03BEE"/>
    <w:rsid w:val="00F03F1F"/>
    <w:rsid w:val="00F03FED"/>
    <w:rsid w:val="00F0407D"/>
    <w:rsid w:val="00F04605"/>
    <w:rsid w:val="00F04694"/>
    <w:rsid w:val="00F047A2"/>
    <w:rsid w:val="00F04AE5"/>
    <w:rsid w:val="00F04CB4"/>
    <w:rsid w:val="00F0512A"/>
    <w:rsid w:val="00F05287"/>
    <w:rsid w:val="00F055CC"/>
    <w:rsid w:val="00F0562B"/>
    <w:rsid w:val="00F05B9C"/>
    <w:rsid w:val="00F05D29"/>
    <w:rsid w:val="00F05D3D"/>
    <w:rsid w:val="00F064C7"/>
    <w:rsid w:val="00F06B62"/>
    <w:rsid w:val="00F06C6D"/>
    <w:rsid w:val="00F06E70"/>
    <w:rsid w:val="00F072E0"/>
    <w:rsid w:val="00F07302"/>
    <w:rsid w:val="00F07337"/>
    <w:rsid w:val="00F077CD"/>
    <w:rsid w:val="00F07915"/>
    <w:rsid w:val="00F079FC"/>
    <w:rsid w:val="00F07CE8"/>
    <w:rsid w:val="00F07F26"/>
    <w:rsid w:val="00F07FF3"/>
    <w:rsid w:val="00F101A1"/>
    <w:rsid w:val="00F1025D"/>
    <w:rsid w:val="00F105A4"/>
    <w:rsid w:val="00F106E2"/>
    <w:rsid w:val="00F10887"/>
    <w:rsid w:val="00F10970"/>
    <w:rsid w:val="00F10A91"/>
    <w:rsid w:val="00F10A9F"/>
    <w:rsid w:val="00F10B18"/>
    <w:rsid w:val="00F112F9"/>
    <w:rsid w:val="00F1138C"/>
    <w:rsid w:val="00F113B0"/>
    <w:rsid w:val="00F11408"/>
    <w:rsid w:val="00F115BD"/>
    <w:rsid w:val="00F119A3"/>
    <w:rsid w:val="00F11C52"/>
    <w:rsid w:val="00F11DF7"/>
    <w:rsid w:val="00F11E7E"/>
    <w:rsid w:val="00F11EA0"/>
    <w:rsid w:val="00F11EC1"/>
    <w:rsid w:val="00F121AC"/>
    <w:rsid w:val="00F122CE"/>
    <w:rsid w:val="00F1239D"/>
    <w:rsid w:val="00F12487"/>
    <w:rsid w:val="00F128D8"/>
    <w:rsid w:val="00F12AC0"/>
    <w:rsid w:val="00F12BD0"/>
    <w:rsid w:val="00F12CB0"/>
    <w:rsid w:val="00F13235"/>
    <w:rsid w:val="00F13574"/>
    <w:rsid w:val="00F1361F"/>
    <w:rsid w:val="00F13AAA"/>
    <w:rsid w:val="00F1403F"/>
    <w:rsid w:val="00F14111"/>
    <w:rsid w:val="00F141E6"/>
    <w:rsid w:val="00F142A0"/>
    <w:rsid w:val="00F142E2"/>
    <w:rsid w:val="00F1454C"/>
    <w:rsid w:val="00F1455E"/>
    <w:rsid w:val="00F149D2"/>
    <w:rsid w:val="00F150BD"/>
    <w:rsid w:val="00F15505"/>
    <w:rsid w:val="00F1581F"/>
    <w:rsid w:val="00F15A54"/>
    <w:rsid w:val="00F15A99"/>
    <w:rsid w:val="00F15ECB"/>
    <w:rsid w:val="00F16015"/>
    <w:rsid w:val="00F1638A"/>
    <w:rsid w:val="00F165EA"/>
    <w:rsid w:val="00F16717"/>
    <w:rsid w:val="00F168DD"/>
    <w:rsid w:val="00F169C0"/>
    <w:rsid w:val="00F16A37"/>
    <w:rsid w:val="00F16C5C"/>
    <w:rsid w:val="00F16C85"/>
    <w:rsid w:val="00F16DA2"/>
    <w:rsid w:val="00F1713A"/>
    <w:rsid w:val="00F1725A"/>
    <w:rsid w:val="00F1794C"/>
    <w:rsid w:val="00F17A26"/>
    <w:rsid w:val="00F17BA9"/>
    <w:rsid w:val="00F200AD"/>
    <w:rsid w:val="00F20274"/>
    <w:rsid w:val="00F205B3"/>
    <w:rsid w:val="00F2063E"/>
    <w:rsid w:val="00F20666"/>
    <w:rsid w:val="00F2074A"/>
    <w:rsid w:val="00F208FD"/>
    <w:rsid w:val="00F209DA"/>
    <w:rsid w:val="00F20AF8"/>
    <w:rsid w:val="00F20B5D"/>
    <w:rsid w:val="00F20DAC"/>
    <w:rsid w:val="00F20E3F"/>
    <w:rsid w:val="00F20FCC"/>
    <w:rsid w:val="00F2104B"/>
    <w:rsid w:val="00F2189D"/>
    <w:rsid w:val="00F2197B"/>
    <w:rsid w:val="00F21C4A"/>
    <w:rsid w:val="00F21C4E"/>
    <w:rsid w:val="00F21E61"/>
    <w:rsid w:val="00F21EA2"/>
    <w:rsid w:val="00F21F22"/>
    <w:rsid w:val="00F225C9"/>
    <w:rsid w:val="00F2298E"/>
    <w:rsid w:val="00F22A86"/>
    <w:rsid w:val="00F22BA9"/>
    <w:rsid w:val="00F22F7F"/>
    <w:rsid w:val="00F22F9D"/>
    <w:rsid w:val="00F23089"/>
    <w:rsid w:val="00F23993"/>
    <w:rsid w:val="00F23A47"/>
    <w:rsid w:val="00F23B3A"/>
    <w:rsid w:val="00F23B60"/>
    <w:rsid w:val="00F23C4B"/>
    <w:rsid w:val="00F23D56"/>
    <w:rsid w:val="00F23EA8"/>
    <w:rsid w:val="00F243A5"/>
    <w:rsid w:val="00F24467"/>
    <w:rsid w:val="00F24F49"/>
    <w:rsid w:val="00F251A8"/>
    <w:rsid w:val="00F255BF"/>
    <w:rsid w:val="00F25753"/>
    <w:rsid w:val="00F25841"/>
    <w:rsid w:val="00F25A17"/>
    <w:rsid w:val="00F25C37"/>
    <w:rsid w:val="00F25C3D"/>
    <w:rsid w:val="00F25E9C"/>
    <w:rsid w:val="00F26117"/>
    <w:rsid w:val="00F26181"/>
    <w:rsid w:val="00F26E87"/>
    <w:rsid w:val="00F26FD4"/>
    <w:rsid w:val="00F27020"/>
    <w:rsid w:val="00F2713A"/>
    <w:rsid w:val="00F27367"/>
    <w:rsid w:val="00F275B7"/>
    <w:rsid w:val="00F276E4"/>
    <w:rsid w:val="00F2781E"/>
    <w:rsid w:val="00F30236"/>
    <w:rsid w:val="00F30351"/>
    <w:rsid w:val="00F303AD"/>
    <w:rsid w:val="00F303C1"/>
    <w:rsid w:val="00F305F7"/>
    <w:rsid w:val="00F30CB5"/>
    <w:rsid w:val="00F30D0E"/>
    <w:rsid w:val="00F30F5C"/>
    <w:rsid w:val="00F31008"/>
    <w:rsid w:val="00F31211"/>
    <w:rsid w:val="00F312F6"/>
    <w:rsid w:val="00F31554"/>
    <w:rsid w:val="00F3165A"/>
    <w:rsid w:val="00F31959"/>
    <w:rsid w:val="00F31A64"/>
    <w:rsid w:val="00F31DFF"/>
    <w:rsid w:val="00F31FE5"/>
    <w:rsid w:val="00F3207F"/>
    <w:rsid w:val="00F320AA"/>
    <w:rsid w:val="00F320D7"/>
    <w:rsid w:val="00F323DA"/>
    <w:rsid w:val="00F32403"/>
    <w:rsid w:val="00F32573"/>
    <w:rsid w:val="00F32719"/>
    <w:rsid w:val="00F329AB"/>
    <w:rsid w:val="00F32BA1"/>
    <w:rsid w:val="00F33186"/>
    <w:rsid w:val="00F335F9"/>
    <w:rsid w:val="00F33660"/>
    <w:rsid w:val="00F338EA"/>
    <w:rsid w:val="00F33970"/>
    <w:rsid w:val="00F33A35"/>
    <w:rsid w:val="00F33E54"/>
    <w:rsid w:val="00F33F6C"/>
    <w:rsid w:val="00F3416A"/>
    <w:rsid w:val="00F34670"/>
    <w:rsid w:val="00F3475D"/>
    <w:rsid w:val="00F3490D"/>
    <w:rsid w:val="00F34A3D"/>
    <w:rsid w:val="00F34ABB"/>
    <w:rsid w:val="00F34AE2"/>
    <w:rsid w:val="00F34BB6"/>
    <w:rsid w:val="00F34D5E"/>
    <w:rsid w:val="00F34E4C"/>
    <w:rsid w:val="00F350B4"/>
    <w:rsid w:val="00F355D2"/>
    <w:rsid w:val="00F355FF"/>
    <w:rsid w:val="00F356FC"/>
    <w:rsid w:val="00F35845"/>
    <w:rsid w:val="00F359F0"/>
    <w:rsid w:val="00F35D1C"/>
    <w:rsid w:val="00F361C2"/>
    <w:rsid w:val="00F364C7"/>
    <w:rsid w:val="00F367F6"/>
    <w:rsid w:val="00F36888"/>
    <w:rsid w:val="00F36897"/>
    <w:rsid w:val="00F368D5"/>
    <w:rsid w:val="00F36B8D"/>
    <w:rsid w:val="00F36BF4"/>
    <w:rsid w:val="00F36D52"/>
    <w:rsid w:val="00F3708E"/>
    <w:rsid w:val="00F371BF"/>
    <w:rsid w:val="00F371D8"/>
    <w:rsid w:val="00F37406"/>
    <w:rsid w:val="00F375A5"/>
    <w:rsid w:val="00F375C7"/>
    <w:rsid w:val="00F3761D"/>
    <w:rsid w:val="00F376DE"/>
    <w:rsid w:val="00F377A8"/>
    <w:rsid w:val="00F37825"/>
    <w:rsid w:val="00F3790B"/>
    <w:rsid w:val="00F37973"/>
    <w:rsid w:val="00F37EAA"/>
    <w:rsid w:val="00F37F96"/>
    <w:rsid w:val="00F37FAA"/>
    <w:rsid w:val="00F40621"/>
    <w:rsid w:val="00F40640"/>
    <w:rsid w:val="00F40A49"/>
    <w:rsid w:val="00F40B97"/>
    <w:rsid w:val="00F40C51"/>
    <w:rsid w:val="00F40EAA"/>
    <w:rsid w:val="00F40F0A"/>
    <w:rsid w:val="00F411CE"/>
    <w:rsid w:val="00F412AD"/>
    <w:rsid w:val="00F413A0"/>
    <w:rsid w:val="00F41F13"/>
    <w:rsid w:val="00F41F2E"/>
    <w:rsid w:val="00F424FC"/>
    <w:rsid w:val="00F4252D"/>
    <w:rsid w:val="00F42545"/>
    <w:rsid w:val="00F425D3"/>
    <w:rsid w:val="00F42685"/>
    <w:rsid w:val="00F426E4"/>
    <w:rsid w:val="00F42890"/>
    <w:rsid w:val="00F428A3"/>
    <w:rsid w:val="00F428B4"/>
    <w:rsid w:val="00F42A3A"/>
    <w:rsid w:val="00F42BE5"/>
    <w:rsid w:val="00F42F1C"/>
    <w:rsid w:val="00F438AC"/>
    <w:rsid w:val="00F43C29"/>
    <w:rsid w:val="00F43F46"/>
    <w:rsid w:val="00F44038"/>
    <w:rsid w:val="00F442FF"/>
    <w:rsid w:val="00F443DA"/>
    <w:rsid w:val="00F449DA"/>
    <w:rsid w:val="00F44A4D"/>
    <w:rsid w:val="00F44A75"/>
    <w:rsid w:val="00F44AFE"/>
    <w:rsid w:val="00F44DE1"/>
    <w:rsid w:val="00F4569C"/>
    <w:rsid w:val="00F45B2D"/>
    <w:rsid w:val="00F45E2B"/>
    <w:rsid w:val="00F45EA3"/>
    <w:rsid w:val="00F45F5E"/>
    <w:rsid w:val="00F461B8"/>
    <w:rsid w:val="00F465FD"/>
    <w:rsid w:val="00F465FF"/>
    <w:rsid w:val="00F466CA"/>
    <w:rsid w:val="00F466D5"/>
    <w:rsid w:val="00F46887"/>
    <w:rsid w:val="00F46911"/>
    <w:rsid w:val="00F46B77"/>
    <w:rsid w:val="00F46BE1"/>
    <w:rsid w:val="00F46D20"/>
    <w:rsid w:val="00F46DF6"/>
    <w:rsid w:val="00F46E32"/>
    <w:rsid w:val="00F47350"/>
    <w:rsid w:val="00F473D6"/>
    <w:rsid w:val="00F47563"/>
    <w:rsid w:val="00F477A8"/>
    <w:rsid w:val="00F4790A"/>
    <w:rsid w:val="00F47A9D"/>
    <w:rsid w:val="00F47C1F"/>
    <w:rsid w:val="00F47D81"/>
    <w:rsid w:val="00F47FB6"/>
    <w:rsid w:val="00F505F0"/>
    <w:rsid w:val="00F50604"/>
    <w:rsid w:val="00F50941"/>
    <w:rsid w:val="00F50B80"/>
    <w:rsid w:val="00F50C68"/>
    <w:rsid w:val="00F50DE1"/>
    <w:rsid w:val="00F50E82"/>
    <w:rsid w:val="00F50F27"/>
    <w:rsid w:val="00F5129C"/>
    <w:rsid w:val="00F51328"/>
    <w:rsid w:val="00F516AA"/>
    <w:rsid w:val="00F516B2"/>
    <w:rsid w:val="00F51915"/>
    <w:rsid w:val="00F51A6E"/>
    <w:rsid w:val="00F51AAA"/>
    <w:rsid w:val="00F51DD5"/>
    <w:rsid w:val="00F51F32"/>
    <w:rsid w:val="00F52132"/>
    <w:rsid w:val="00F5238C"/>
    <w:rsid w:val="00F52424"/>
    <w:rsid w:val="00F524FA"/>
    <w:rsid w:val="00F526F5"/>
    <w:rsid w:val="00F52798"/>
    <w:rsid w:val="00F527CD"/>
    <w:rsid w:val="00F52C6A"/>
    <w:rsid w:val="00F52FB6"/>
    <w:rsid w:val="00F53180"/>
    <w:rsid w:val="00F5325C"/>
    <w:rsid w:val="00F53564"/>
    <w:rsid w:val="00F5359F"/>
    <w:rsid w:val="00F53730"/>
    <w:rsid w:val="00F539F5"/>
    <w:rsid w:val="00F53D66"/>
    <w:rsid w:val="00F53EA9"/>
    <w:rsid w:val="00F5416C"/>
    <w:rsid w:val="00F5429D"/>
    <w:rsid w:val="00F5445A"/>
    <w:rsid w:val="00F544C7"/>
    <w:rsid w:val="00F545A6"/>
    <w:rsid w:val="00F546CA"/>
    <w:rsid w:val="00F548D7"/>
    <w:rsid w:val="00F54FE0"/>
    <w:rsid w:val="00F55123"/>
    <w:rsid w:val="00F5518A"/>
    <w:rsid w:val="00F55403"/>
    <w:rsid w:val="00F555BA"/>
    <w:rsid w:val="00F556CD"/>
    <w:rsid w:val="00F55ABF"/>
    <w:rsid w:val="00F55D2D"/>
    <w:rsid w:val="00F56174"/>
    <w:rsid w:val="00F56998"/>
    <w:rsid w:val="00F56B82"/>
    <w:rsid w:val="00F56CD2"/>
    <w:rsid w:val="00F56D1F"/>
    <w:rsid w:val="00F5703B"/>
    <w:rsid w:val="00F57058"/>
    <w:rsid w:val="00F571EA"/>
    <w:rsid w:val="00F5731E"/>
    <w:rsid w:val="00F576B9"/>
    <w:rsid w:val="00F57999"/>
    <w:rsid w:val="00F579B3"/>
    <w:rsid w:val="00F57B6B"/>
    <w:rsid w:val="00F57CCC"/>
    <w:rsid w:val="00F57D4E"/>
    <w:rsid w:val="00F57E38"/>
    <w:rsid w:val="00F57EF0"/>
    <w:rsid w:val="00F60386"/>
    <w:rsid w:val="00F60720"/>
    <w:rsid w:val="00F609BA"/>
    <w:rsid w:val="00F60F04"/>
    <w:rsid w:val="00F60FA4"/>
    <w:rsid w:val="00F610A2"/>
    <w:rsid w:val="00F6111C"/>
    <w:rsid w:val="00F611BD"/>
    <w:rsid w:val="00F61298"/>
    <w:rsid w:val="00F613B3"/>
    <w:rsid w:val="00F613FD"/>
    <w:rsid w:val="00F61817"/>
    <w:rsid w:val="00F61A32"/>
    <w:rsid w:val="00F61C4E"/>
    <w:rsid w:val="00F61C89"/>
    <w:rsid w:val="00F61D44"/>
    <w:rsid w:val="00F61D96"/>
    <w:rsid w:val="00F61F41"/>
    <w:rsid w:val="00F61F50"/>
    <w:rsid w:val="00F6216B"/>
    <w:rsid w:val="00F621EC"/>
    <w:rsid w:val="00F626E2"/>
    <w:rsid w:val="00F62787"/>
    <w:rsid w:val="00F62A95"/>
    <w:rsid w:val="00F62CAE"/>
    <w:rsid w:val="00F6302F"/>
    <w:rsid w:val="00F6322F"/>
    <w:rsid w:val="00F632F1"/>
    <w:rsid w:val="00F6350F"/>
    <w:rsid w:val="00F6361A"/>
    <w:rsid w:val="00F636AA"/>
    <w:rsid w:val="00F63C42"/>
    <w:rsid w:val="00F63DBC"/>
    <w:rsid w:val="00F6459F"/>
    <w:rsid w:val="00F64624"/>
    <w:rsid w:val="00F6470B"/>
    <w:rsid w:val="00F64ABB"/>
    <w:rsid w:val="00F64C58"/>
    <w:rsid w:val="00F6515D"/>
    <w:rsid w:val="00F651B7"/>
    <w:rsid w:val="00F652C9"/>
    <w:rsid w:val="00F6589F"/>
    <w:rsid w:val="00F65A35"/>
    <w:rsid w:val="00F65AF4"/>
    <w:rsid w:val="00F65C26"/>
    <w:rsid w:val="00F65C7F"/>
    <w:rsid w:val="00F65D41"/>
    <w:rsid w:val="00F65E9F"/>
    <w:rsid w:val="00F65EBE"/>
    <w:rsid w:val="00F66004"/>
    <w:rsid w:val="00F660A0"/>
    <w:rsid w:val="00F66730"/>
    <w:rsid w:val="00F66A9D"/>
    <w:rsid w:val="00F66AC8"/>
    <w:rsid w:val="00F66ED2"/>
    <w:rsid w:val="00F66F28"/>
    <w:rsid w:val="00F679A8"/>
    <w:rsid w:val="00F679FC"/>
    <w:rsid w:val="00F67A68"/>
    <w:rsid w:val="00F67BE4"/>
    <w:rsid w:val="00F67F51"/>
    <w:rsid w:val="00F70009"/>
    <w:rsid w:val="00F7037B"/>
    <w:rsid w:val="00F7057D"/>
    <w:rsid w:val="00F70585"/>
    <w:rsid w:val="00F70831"/>
    <w:rsid w:val="00F709CF"/>
    <w:rsid w:val="00F70FB8"/>
    <w:rsid w:val="00F7105A"/>
    <w:rsid w:val="00F710A7"/>
    <w:rsid w:val="00F71181"/>
    <w:rsid w:val="00F712E9"/>
    <w:rsid w:val="00F71468"/>
    <w:rsid w:val="00F714BC"/>
    <w:rsid w:val="00F7173E"/>
    <w:rsid w:val="00F717F2"/>
    <w:rsid w:val="00F71D47"/>
    <w:rsid w:val="00F71E33"/>
    <w:rsid w:val="00F71F2A"/>
    <w:rsid w:val="00F7228A"/>
    <w:rsid w:val="00F7253D"/>
    <w:rsid w:val="00F727CA"/>
    <w:rsid w:val="00F72AB8"/>
    <w:rsid w:val="00F72B28"/>
    <w:rsid w:val="00F72B55"/>
    <w:rsid w:val="00F72C25"/>
    <w:rsid w:val="00F72C38"/>
    <w:rsid w:val="00F72DC3"/>
    <w:rsid w:val="00F7301E"/>
    <w:rsid w:val="00F731C2"/>
    <w:rsid w:val="00F73240"/>
    <w:rsid w:val="00F73542"/>
    <w:rsid w:val="00F7366F"/>
    <w:rsid w:val="00F736F7"/>
    <w:rsid w:val="00F739DF"/>
    <w:rsid w:val="00F73A4A"/>
    <w:rsid w:val="00F73AE4"/>
    <w:rsid w:val="00F73AF4"/>
    <w:rsid w:val="00F73D78"/>
    <w:rsid w:val="00F73DA9"/>
    <w:rsid w:val="00F73ECF"/>
    <w:rsid w:val="00F74052"/>
    <w:rsid w:val="00F74692"/>
    <w:rsid w:val="00F7497C"/>
    <w:rsid w:val="00F749F5"/>
    <w:rsid w:val="00F74BF2"/>
    <w:rsid w:val="00F752A5"/>
    <w:rsid w:val="00F752B3"/>
    <w:rsid w:val="00F752F5"/>
    <w:rsid w:val="00F754C9"/>
    <w:rsid w:val="00F75679"/>
    <w:rsid w:val="00F75A24"/>
    <w:rsid w:val="00F761CE"/>
    <w:rsid w:val="00F76456"/>
    <w:rsid w:val="00F76693"/>
    <w:rsid w:val="00F766B0"/>
    <w:rsid w:val="00F76796"/>
    <w:rsid w:val="00F76855"/>
    <w:rsid w:val="00F7692E"/>
    <w:rsid w:val="00F7718F"/>
    <w:rsid w:val="00F773BB"/>
    <w:rsid w:val="00F7753D"/>
    <w:rsid w:val="00F77F89"/>
    <w:rsid w:val="00F77FE4"/>
    <w:rsid w:val="00F80463"/>
    <w:rsid w:val="00F8047C"/>
    <w:rsid w:val="00F806B1"/>
    <w:rsid w:val="00F807FB"/>
    <w:rsid w:val="00F80B38"/>
    <w:rsid w:val="00F80D01"/>
    <w:rsid w:val="00F81122"/>
    <w:rsid w:val="00F814C1"/>
    <w:rsid w:val="00F81673"/>
    <w:rsid w:val="00F817E8"/>
    <w:rsid w:val="00F81C0A"/>
    <w:rsid w:val="00F81C1E"/>
    <w:rsid w:val="00F81C41"/>
    <w:rsid w:val="00F81C66"/>
    <w:rsid w:val="00F81DD4"/>
    <w:rsid w:val="00F81E64"/>
    <w:rsid w:val="00F81EAB"/>
    <w:rsid w:val="00F82298"/>
    <w:rsid w:val="00F8274A"/>
    <w:rsid w:val="00F8288D"/>
    <w:rsid w:val="00F82F96"/>
    <w:rsid w:val="00F83328"/>
    <w:rsid w:val="00F835C4"/>
    <w:rsid w:val="00F83739"/>
    <w:rsid w:val="00F8396A"/>
    <w:rsid w:val="00F83B35"/>
    <w:rsid w:val="00F83B7C"/>
    <w:rsid w:val="00F843AF"/>
    <w:rsid w:val="00F8442A"/>
    <w:rsid w:val="00F84554"/>
    <w:rsid w:val="00F846E2"/>
    <w:rsid w:val="00F847BF"/>
    <w:rsid w:val="00F84EDF"/>
    <w:rsid w:val="00F85080"/>
    <w:rsid w:val="00F8516B"/>
    <w:rsid w:val="00F85301"/>
    <w:rsid w:val="00F854FD"/>
    <w:rsid w:val="00F85810"/>
    <w:rsid w:val="00F85B9A"/>
    <w:rsid w:val="00F85DB1"/>
    <w:rsid w:val="00F860E8"/>
    <w:rsid w:val="00F8650B"/>
    <w:rsid w:val="00F86547"/>
    <w:rsid w:val="00F86622"/>
    <w:rsid w:val="00F86827"/>
    <w:rsid w:val="00F86BFD"/>
    <w:rsid w:val="00F86FBD"/>
    <w:rsid w:val="00F87999"/>
    <w:rsid w:val="00F87A21"/>
    <w:rsid w:val="00F900EC"/>
    <w:rsid w:val="00F90149"/>
    <w:rsid w:val="00F90680"/>
    <w:rsid w:val="00F9073C"/>
    <w:rsid w:val="00F90824"/>
    <w:rsid w:val="00F90A35"/>
    <w:rsid w:val="00F90A95"/>
    <w:rsid w:val="00F90AC2"/>
    <w:rsid w:val="00F90C72"/>
    <w:rsid w:val="00F90D44"/>
    <w:rsid w:val="00F90D8F"/>
    <w:rsid w:val="00F90F0E"/>
    <w:rsid w:val="00F91176"/>
    <w:rsid w:val="00F911AA"/>
    <w:rsid w:val="00F913FE"/>
    <w:rsid w:val="00F91688"/>
    <w:rsid w:val="00F917AB"/>
    <w:rsid w:val="00F91889"/>
    <w:rsid w:val="00F918C9"/>
    <w:rsid w:val="00F918FF"/>
    <w:rsid w:val="00F91941"/>
    <w:rsid w:val="00F91CCC"/>
    <w:rsid w:val="00F91D76"/>
    <w:rsid w:val="00F91EB4"/>
    <w:rsid w:val="00F92356"/>
    <w:rsid w:val="00F92A01"/>
    <w:rsid w:val="00F92A7D"/>
    <w:rsid w:val="00F92B40"/>
    <w:rsid w:val="00F92C7F"/>
    <w:rsid w:val="00F92E04"/>
    <w:rsid w:val="00F9339C"/>
    <w:rsid w:val="00F939FE"/>
    <w:rsid w:val="00F94122"/>
    <w:rsid w:val="00F94D2C"/>
    <w:rsid w:val="00F94DF0"/>
    <w:rsid w:val="00F94DF1"/>
    <w:rsid w:val="00F95753"/>
    <w:rsid w:val="00F95A5C"/>
    <w:rsid w:val="00F95EC0"/>
    <w:rsid w:val="00F962D2"/>
    <w:rsid w:val="00F9667D"/>
    <w:rsid w:val="00F96CC7"/>
    <w:rsid w:val="00F96E34"/>
    <w:rsid w:val="00F97022"/>
    <w:rsid w:val="00F97060"/>
    <w:rsid w:val="00F97540"/>
    <w:rsid w:val="00F978A3"/>
    <w:rsid w:val="00F97C3A"/>
    <w:rsid w:val="00FA099D"/>
    <w:rsid w:val="00FA0D7D"/>
    <w:rsid w:val="00FA0EAE"/>
    <w:rsid w:val="00FA0ECC"/>
    <w:rsid w:val="00FA1196"/>
    <w:rsid w:val="00FA14D8"/>
    <w:rsid w:val="00FA16B2"/>
    <w:rsid w:val="00FA1884"/>
    <w:rsid w:val="00FA18F9"/>
    <w:rsid w:val="00FA19DB"/>
    <w:rsid w:val="00FA19EF"/>
    <w:rsid w:val="00FA19F8"/>
    <w:rsid w:val="00FA1ACA"/>
    <w:rsid w:val="00FA1CC6"/>
    <w:rsid w:val="00FA1D56"/>
    <w:rsid w:val="00FA2449"/>
    <w:rsid w:val="00FA24CB"/>
    <w:rsid w:val="00FA28C4"/>
    <w:rsid w:val="00FA2A4C"/>
    <w:rsid w:val="00FA2D4D"/>
    <w:rsid w:val="00FA3045"/>
    <w:rsid w:val="00FA3079"/>
    <w:rsid w:val="00FA35A1"/>
    <w:rsid w:val="00FA390B"/>
    <w:rsid w:val="00FA3ABE"/>
    <w:rsid w:val="00FA4699"/>
    <w:rsid w:val="00FA4A27"/>
    <w:rsid w:val="00FA4B33"/>
    <w:rsid w:val="00FA4B7B"/>
    <w:rsid w:val="00FA4DE6"/>
    <w:rsid w:val="00FA4F7E"/>
    <w:rsid w:val="00FA507F"/>
    <w:rsid w:val="00FA52C9"/>
    <w:rsid w:val="00FA53B8"/>
    <w:rsid w:val="00FA5479"/>
    <w:rsid w:val="00FA54D9"/>
    <w:rsid w:val="00FA59A0"/>
    <w:rsid w:val="00FA5A8B"/>
    <w:rsid w:val="00FA5FA4"/>
    <w:rsid w:val="00FA650D"/>
    <w:rsid w:val="00FA6520"/>
    <w:rsid w:val="00FA6548"/>
    <w:rsid w:val="00FA6A52"/>
    <w:rsid w:val="00FA6D0C"/>
    <w:rsid w:val="00FA6DAA"/>
    <w:rsid w:val="00FA6F2C"/>
    <w:rsid w:val="00FA7121"/>
    <w:rsid w:val="00FA7663"/>
    <w:rsid w:val="00FA785C"/>
    <w:rsid w:val="00FA7A0E"/>
    <w:rsid w:val="00FA7AF0"/>
    <w:rsid w:val="00FA7CD0"/>
    <w:rsid w:val="00FA7E53"/>
    <w:rsid w:val="00FA7F0B"/>
    <w:rsid w:val="00FA7F9A"/>
    <w:rsid w:val="00FB0225"/>
    <w:rsid w:val="00FB035A"/>
    <w:rsid w:val="00FB0465"/>
    <w:rsid w:val="00FB0488"/>
    <w:rsid w:val="00FB077E"/>
    <w:rsid w:val="00FB0815"/>
    <w:rsid w:val="00FB0BC1"/>
    <w:rsid w:val="00FB0E56"/>
    <w:rsid w:val="00FB10D0"/>
    <w:rsid w:val="00FB111B"/>
    <w:rsid w:val="00FB142B"/>
    <w:rsid w:val="00FB155C"/>
    <w:rsid w:val="00FB19AD"/>
    <w:rsid w:val="00FB1A7E"/>
    <w:rsid w:val="00FB1B7C"/>
    <w:rsid w:val="00FB210F"/>
    <w:rsid w:val="00FB2121"/>
    <w:rsid w:val="00FB279F"/>
    <w:rsid w:val="00FB27B4"/>
    <w:rsid w:val="00FB2924"/>
    <w:rsid w:val="00FB2FC5"/>
    <w:rsid w:val="00FB35AC"/>
    <w:rsid w:val="00FB360E"/>
    <w:rsid w:val="00FB370B"/>
    <w:rsid w:val="00FB375B"/>
    <w:rsid w:val="00FB380E"/>
    <w:rsid w:val="00FB39E0"/>
    <w:rsid w:val="00FB3BCE"/>
    <w:rsid w:val="00FB3E68"/>
    <w:rsid w:val="00FB3EE8"/>
    <w:rsid w:val="00FB4274"/>
    <w:rsid w:val="00FB42D5"/>
    <w:rsid w:val="00FB46FF"/>
    <w:rsid w:val="00FB4797"/>
    <w:rsid w:val="00FB47E4"/>
    <w:rsid w:val="00FB48C8"/>
    <w:rsid w:val="00FB49D8"/>
    <w:rsid w:val="00FB49DD"/>
    <w:rsid w:val="00FB4A9C"/>
    <w:rsid w:val="00FB53C9"/>
    <w:rsid w:val="00FB56F1"/>
    <w:rsid w:val="00FB56FB"/>
    <w:rsid w:val="00FB598C"/>
    <w:rsid w:val="00FB598F"/>
    <w:rsid w:val="00FB60CC"/>
    <w:rsid w:val="00FB6358"/>
    <w:rsid w:val="00FB6392"/>
    <w:rsid w:val="00FB644F"/>
    <w:rsid w:val="00FB66C0"/>
    <w:rsid w:val="00FB6847"/>
    <w:rsid w:val="00FB68F4"/>
    <w:rsid w:val="00FB6A9C"/>
    <w:rsid w:val="00FB6C5D"/>
    <w:rsid w:val="00FB6F41"/>
    <w:rsid w:val="00FB7022"/>
    <w:rsid w:val="00FB703F"/>
    <w:rsid w:val="00FB7430"/>
    <w:rsid w:val="00FB7724"/>
    <w:rsid w:val="00FB78B5"/>
    <w:rsid w:val="00FB7D57"/>
    <w:rsid w:val="00FC006A"/>
    <w:rsid w:val="00FC00B0"/>
    <w:rsid w:val="00FC0169"/>
    <w:rsid w:val="00FC01AA"/>
    <w:rsid w:val="00FC01D9"/>
    <w:rsid w:val="00FC02A5"/>
    <w:rsid w:val="00FC0437"/>
    <w:rsid w:val="00FC050E"/>
    <w:rsid w:val="00FC06A8"/>
    <w:rsid w:val="00FC07F9"/>
    <w:rsid w:val="00FC0CCE"/>
    <w:rsid w:val="00FC0DBF"/>
    <w:rsid w:val="00FC0F70"/>
    <w:rsid w:val="00FC1222"/>
    <w:rsid w:val="00FC15ED"/>
    <w:rsid w:val="00FC19F1"/>
    <w:rsid w:val="00FC1A79"/>
    <w:rsid w:val="00FC1DBE"/>
    <w:rsid w:val="00FC1F22"/>
    <w:rsid w:val="00FC20B5"/>
    <w:rsid w:val="00FC23A8"/>
    <w:rsid w:val="00FC2419"/>
    <w:rsid w:val="00FC2592"/>
    <w:rsid w:val="00FC2B20"/>
    <w:rsid w:val="00FC2D4D"/>
    <w:rsid w:val="00FC2D54"/>
    <w:rsid w:val="00FC2DFD"/>
    <w:rsid w:val="00FC2EEF"/>
    <w:rsid w:val="00FC3120"/>
    <w:rsid w:val="00FC314B"/>
    <w:rsid w:val="00FC35D3"/>
    <w:rsid w:val="00FC366A"/>
    <w:rsid w:val="00FC3BBB"/>
    <w:rsid w:val="00FC3C22"/>
    <w:rsid w:val="00FC427B"/>
    <w:rsid w:val="00FC42CC"/>
    <w:rsid w:val="00FC45F8"/>
    <w:rsid w:val="00FC465A"/>
    <w:rsid w:val="00FC46CD"/>
    <w:rsid w:val="00FC497C"/>
    <w:rsid w:val="00FC4CF3"/>
    <w:rsid w:val="00FC4E84"/>
    <w:rsid w:val="00FC53E2"/>
    <w:rsid w:val="00FC5728"/>
    <w:rsid w:val="00FC5A36"/>
    <w:rsid w:val="00FC5AE5"/>
    <w:rsid w:val="00FC5CED"/>
    <w:rsid w:val="00FC5D23"/>
    <w:rsid w:val="00FC6001"/>
    <w:rsid w:val="00FC6550"/>
    <w:rsid w:val="00FC6A30"/>
    <w:rsid w:val="00FC6A3D"/>
    <w:rsid w:val="00FC6C7C"/>
    <w:rsid w:val="00FC6CF5"/>
    <w:rsid w:val="00FC6ECC"/>
    <w:rsid w:val="00FC6F07"/>
    <w:rsid w:val="00FC6FD4"/>
    <w:rsid w:val="00FC737D"/>
    <w:rsid w:val="00FC7434"/>
    <w:rsid w:val="00FC78E0"/>
    <w:rsid w:val="00FC7ABD"/>
    <w:rsid w:val="00FC7D8E"/>
    <w:rsid w:val="00FC7DFA"/>
    <w:rsid w:val="00FC7FFC"/>
    <w:rsid w:val="00FD0429"/>
    <w:rsid w:val="00FD0523"/>
    <w:rsid w:val="00FD05C7"/>
    <w:rsid w:val="00FD0772"/>
    <w:rsid w:val="00FD0CBC"/>
    <w:rsid w:val="00FD0E31"/>
    <w:rsid w:val="00FD0E6F"/>
    <w:rsid w:val="00FD1147"/>
    <w:rsid w:val="00FD12AF"/>
    <w:rsid w:val="00FD1323"/>
    <w:rsid w:val="00FD14E0"/>
    <w:rsid w:val="00FD152E"/>
    <w:rsid w:val="00FD168D"/>
    <w:rsid w:val="00FD1732"/>
    <w:rsid w:val="00FD1C72"/>
    <w:rsid w:val="00FD1C8E"/>
    <w:rsid w:val="00FD1D1A"/>
    <w:rsid w:val="00FD1DE4"/>
    <w:rsid w:val="00FD1F04"/>
    <w:rsid w:val="00FD1F74"/>
    <w:rsid w:val="00FD2014"/>
    <w:rsid w:val="00FD205F"/>
    <w:rsid w:val="00FD2716"/>
    <w:rsid w:val="00FD275E"/>
    <w:rsid w:val="00FD2868"/>
    <w:rsid w:val="00FD288B"/>
    <w:rsid w:val="00FD2893"/>
    <w:rsid w:val="00FD2947"/>
    <w:rsid w:val="00FD29C3"/>
    <w:rsid w:val="00FD2CC2"/>
    <w:rsid w:val="00FD2E58"/>
    <w:rsid w:val="00FD2E5D"/>
    <w:rsid w:val="00FD2FA1"/>
    <w:rsid w:val="00FD33CE"/>
    <w:rsid w:val="00FD3569"/>
    <w:rsid w:val="00FD364C"/>
    <w:rsid w:val="00FD37CA"/>
    <w:rsid w:val="00FD3CDD"/>
    <w:rsid w:val="00FD3F41"/>
    <w:rsid w:val="00FD407C"/>
    <w:rsid w:val="00FD4306"/>
    <w:rsid w:val="00FD43CD"/>
    <w:rsid w:val="00FD4419"/>
    <w:rsid w:val="00FD4871"/>
    <w:rsid w:val="00FD4B03"/>
    <w:rsid w:val="00FD4B6A"/>
    <w:rsid w:val="00FD4BBB"/>
    <w:rsid w:val="00FD4FF0"/>
    <w:rsid w:val="00FD5535"/>
    <w:rsid w:val="00FD59D9"/>
    <w:rsid w:val="00FD5B84"/>
    <w:rsid w:val="00FD5ED2"/>
    <w:rsid w:val="00FD6016"/>
    <w:rsid w:val="00FD63F2"/>
    <w:rsid w:val="00FD63FE"/>
    <w:rsid w:val="00FD6418"/>
    <w:rsid w:val="00FD6441"/>
    <w:rsid w:val="00FD6572"/>
    <w:rsid w:val="00FD6605"/>
    <w:rsid w:val="00FD6869"/>
    <w:rsid w:val="00FD6A24"/>
    <w:rsid w:val="00FD6BCB"/>
    <w:rsid w:val="00FD6D3B"/>
    <w:rsid w:val="00FD6E58"/>
    <w:rsid w:val="00FD6E8C"/>
    <w:rsid w:val="00FD7040"/>
    <w:rsid w:val="00FD7251"/>
    <w:rsid w:val="00FD72C5"/>
    <w:rsid w:val="00FD7466"/>
    <w:rsid w:val="00FD798A"/>
    <w:rsid w:val="00FD7D03"/>
    <w:rsid w:val="00FD7DAA"/>
    <w:rsid w:val="00FE00BB"/>
    <w:rsid w:val="00FE02C7"/>
    <w:rsid w:val="00FE08E4"/>
    <w:rsid w:val="00FE0954"/>
    <w:rsid w:val="00FE0E83"/>
    <w:rsid w:val="00FE0E88"/>
    <w:rsid w:val="00FE0E97"/>
    <w:rsid w:val="00FE0FE6"/>
    <w:rsid w:val="00FE10DF"/>
    <w:rsid w:val="00FE11C5"/>
    <w:rsid w:val="00FE1499"/>
    <w:rsid w:val="00FE150B"/>
    <w:rsid w:val="00FE15F1"/>
    <w:rsid w:val="00FE164D"/>
    <w:rsid w:val="00FE1670"/>
    <w:rsid w:val="00FE16AB"/>
    <w:rsid w:val="00FE1945"/>
    <w:rsid w:val="00FE1CC0"/>
    <w:rsid w:val="00FE20F7"/>
    <w:rsid w:val="00FE222D"/>
    <w:rsid w:val="00FE2746"/>
    <w:rsid w:val="00FE2DCC"/>
    <w:rsid w:val="00FE3024"/>
    <w:rsid w:val="00FE32AD"/>
    <w:rsid w:val="00FE331A"/>
    <w:rsid w:val="00FE3414"/>
    <w:rsid w:val="00FE3556"/>
    <w:rsid w:val="00FE3D7D"/>
    <w:rsid w:val="00FE3D9C"/>
    <w:rsid w:val="00FE3F51"/>
    <w:rsid w:val="00FE4023"/>
    <w:rsid w:val="00FE4089"/>
    <w:rsid w:val="00FE4168"/>
    <w:rsid w:val="00FE4722"/>
    <w:rsid w:val="00FE49C7"/>
    <w:rsid w:val="00FE4BFC"/>
    <w:rsid w:val="00FE4DEE"/>
    <w:rsid w:val="00FE4FF6"/>
    <w:rsid w:val="00FE50B8"/>
    <w:rsid w:val="00FE53E4"/>
    <w:rsid w:val="00FE576A"/>
    <w:rsid w:val="00FE5BD2"/>
    <w:rsid w:val="00FE5D23"/>
    <w:rsid w:val="00FE5E7E"/>
    <w:rsid w:val="00FE5F3A"/>
    <w:rsid w:val="00FE60A1"/>
    <w:rsid w:val="00FE6221"/>
    <w:rsid w:val="00FE66F7"/>
    <w:rsid w:val="00FE6C84"/>
    <w:rsid w:val="00FE6EE5"/>
    <w:rsid w:val="00FE7113"/>
    <w:rsid w:val="00FE72B2"/>
    <w:rsid w:val="00FE7409"/>
    <w:rsid w:val="00FE77CD"/>
    <w:rsid w:val="00FE79B7"/>
    <w:rsid w:val="00FE7B29"/>
    <w:rsid w:val="00FE7C1C"/>
    <w:rsid w:val="00FE7C5C"/>
    <w:rsid w:val="00FE7D83"/>
    <w:rsid w:val="00FE7DCA"/>
    <w:rsid w:val="00FE7F78"/>
    <w:rsid w:val="00FE7F9E"/>
    <w:rsid w:val="00FE8B06"/>
    <w:rsid w:val="00FF088A"/>
    <w:rsid w:val="00FF097B"/>
    <w:rsid w:val="00FF0D35"/>
    <w:rsid w:val="00FF0D4F"/>
    <w:rsid w:val="00FF1374"/>
    <w:rsid w:val="00FF15B2"/>
    <w:rsid w:val="00FF171D"/>
    <w:rsid w:val="00FF176A"/>
    <w:rsid w:val="00FF1854"/>
    <w:rsid w:val="00FF1968"/>
    <w:rsid w:val="00FF1B8B"/>
    <w:rsid w:val="00FF1FED"/>
    <w:rsid w:val="00FF243C"/>
    <w:rsid w:val="00FF2647"/>
    <w:rsid w:val="00FF2828"/>
    <w:rsid w:val="00FF2923"/>
    <w:rsid w:val="00FF2F05"/>
    <w:rsid w:val="00FF31E6"/>
    <w:rsid w:val="00FF3319"/>
    <w:rsid w:val="00FF33E6"/>
    <w:rsid w:val="00FF35CF"/>
    <w:rsid w:val="00FF3D89"/>
    <w:rsid w:val="00FF3E31"/>
    <w:rsid w:val="00FF3E39"/>
    <w:rsid w:val="00FF3E57"/>
    <w:rsid w:val="00FF3FA1"/>
    <w:rsid w:val="00FF3FB7"/>
    <w:rsid w:val="00FF437E"/>
    <w:rsid w:val="00FF446D"/>
    <w:rsid w:val="00FF45E0"/>
    <w:rsid w:val="00FF48B4"/>
    <w:rsid w:val="00FF48B7"/>
    <w:rsid w:val="00FF4E63"/>
    <w:rsid w:val="00FF4FF8"/>
    <w:rsid w:val="00FF52B7"/>
    <w:rsid w:val="00FF5635"/>
    <w:rsid w:val="00FF5754"/>
    <w:rsid w:val="00FF5C23"/>
    <w:rsid w:val="00FF5D19"/>
    <w:rsid w:val="00FF5EA8"/>
    <w:rsid w:val="00FF61AA"/>
    <w:rsid w:val="00FF64B8"/>
    <w:rsid w:val="00FF6711"/>
    <w:rsid w:val="00FF73BA"/>
    <w:rsid w:val="00FF76F3"/>
    <w:rsid w:val="00FF78BE"/>
    <w:rsid w:val="00FF79E3"/>
    <w:rsid w:val="00FF7B54"/>
    <w:rsid w:val="00FF7B83"/>
    <w:rsid w:val="00FF7CE4"/>
    <w:rsid w:val="01016AE1"/>
    <w:rsid w:val="0110360E"/>
    <w:rsid w:val="0115ADAD"/>
    <w:rsid w:val="01181C6B"/>
    <w:rsid w:val="01220831"/>
    <w:rsid w:val="0126F993"/>
    <w:rsid w:val="01289487"/>
    <w:rsid w:val="01362299"/>
    <w:rsid w:val="0136403F"/>
    <w:rsid w:val="0148B570"/>
    <w:rsid w:val="01648F3F"/>
    <w:rsid w:val="0167CB74"/>
    <w:rsid w:val="0170D3F2"/>
    <w:rsid w:val="017A39A1"/>
    <w:rsid w:val="01BA93A3"/>
    <w:rsid w:val="01DA2BD7"/>
    <w:rsid w:val="020CA901"/>
    <w:rsid w:val="021CF0D7"/>
    <w:rsid w:val="02499B60"/>
    <w:rsid w:val="0250A244"/>
    <w:rsid w:val="0250B2F4"/>
    <w:rsid w:val="025403FF"/>
    <w:rsid w:val="025C9FC0"/>
    <w:rsid w:val="026F01A5"/>
    <w:rsid w:val="028B57E5"/>
    <w:rsid w:val="0293416A"/>
    <w:rsid w:val="02989092"/>
    <w:rsid w:val="029CB90D"/>
    <w:rsid w:val="02A363E6"/>
    <w:rsid w:val="02A3F6A1"/>
    <w:rsid w:val="02B827CE"/>
    <w:rsid w:val="02CCF054"/>
    <w:rsid w:val="02DC739A"/>
    <w:rsid w:val="02E99978"/>
    <w:rsid w:val="02EB4B2D"/>
    <w:rsid w:val="02FF4E19"/>
    <w:rsid w:val="030EE8E0"/>
    <w:rsid w:val="03264CEE"/>
    <w:rsid w:val="033751AE"/>
    <w:rsid w:val="0338A681"/>
    <w:rsid w:val="033B4166"/>
    <w:rsid w:val="035AFFAD"/>
    <w:rsid w:val="036E73BF"/>
    <w:rsid w:val="0371345C"/>
    <w:rsid w:val="039A95DD"/>
    <w:rsid w:val="039EE60B"/>
    <w:rsid w:val="03B86554"/>
    <w:rsid w:val="03DB5723"/>
    <w:rsid w:val="03E6E53A"/>
    <w:rsid w:val="03F08CCC"/>
    <w:rsid w:val="03F74CCF"/>
    <w:rsid w:val="03F82F63"/>
    <w:rsid w:val="03F95823"/>
    <w:rsid w:val="0400B670"/>
    <w:rsid w:val="040E5BD2"/>
    <w:rsid w:val="041445C8"/>
    <w:rsid w:val="04288CBA"/>
    <w:rsid w:val="042DA5F2"/>
    <w:rsid w:val="046089E3"/>
    <w:rsid w:val="0460D6AC"/>
    <w:rsid w:val="0491E142"/>
    <w:rsid w:val="04A09DFC"/>
    <w:rsid w:val="04AAD2A5"/>
    <w:rsid w:val="04C3ECE9"/>
    <w:rsid w:val="04D3198F"/>
    <w:rsid w:val="04E1D8AA"/>
    <w:rsid w:val="04E4542E"/>
    <w:rsid w:val="04F5A262"/>
    <w:rsid w:val="0507C38B"/>
    <w:rsid w:val="051D4EC3"/>
    <w:rsid w:val="0521E758"/>
    <w:rsid w:val="0532F537"/>
    <w:rsid w:val="0533C3A4"/>
    <w:rsid w:val="053FD5CC"/>
    <w:rsid w:val="05403C23"/>
    <w:rsid w:val="0564D71A"/>
    <w:rsid w:val="0565508F"/>
    <w:rsid w:val="0570F8DD"/>
    <w:rsid w:val="05804B00"/>
    <w:rsid w:val="0599E348"/>
    <w:rsid w:val="05C91FF2"/>
    <w:rsid w:val="05D3C8CD"/>
    <w:rsid w:val="05E75D06"/>
    <w:rsid w:val="060C954B"/>
    <w:rsid w:val="060F1F61"/>
    <w:rsid w:val="0617AF0D"/>
    <w:rsid w:val="061D0408"/>
    <w:rsid w:val="061E4109"/>
    <w:rsid w:val="0652B93C"/>
    <w:rsid w:val="06542619"/>
    <w:rsid w:val="065525D8"/>
    <w:rsid w:val="065AC4F9"/>
    <w:rsid w:val="06868CAD"/>
    <w:rsid w:val="0695D954"/>
    <w:rsid w:val="069DDA8F"/>
    <w:rsid w:val="06A6A0DC"/>
    <w:rsid w:val="06C23F94"/>
    <w:rsid w:val="06D6EAAC"/>
    <w:rsid w:val="06DAEE10"/>
    <w:rsid w:val="06DFA440"/>
    <w:rsid w:val="06ECDC52"/>
    <w:rsid w:val="07059836"/>
    <w:rsid w:val="072298FB"/>
    <w:rsid w:val="0748B674"/>
    <w:rsid w:val="07600F65"/>
    <w:rsid w:val="077DD600"/>
    <w:rsid w:val="07DEF9E1"/>
    <w:rsid w:val="07ED87C6"/>
    <w:rsid w:val="080E5358"/>
    <w:rsid w:val="08178413"/>
    <w:rsid w:val="082D1B09"/>
    <w:rsid w:val="086FB0E3"/>
    <w:rsid w:val="08AA8427"/>
    <w:rsid w:val="08CC78E7"/>
    <w:rsid w:val="08D3A7B1"/>
    <w:rsid w:val="08EB04B5"/>
    <w:rsid w:val="090123D1"/>
    <w:rsid w:val="090923AB"/>
    <w:rsid w:val="090F4729"/>
    <w:rsid w:val="09105325"/>
    <w:rsid w:val="09282791"/>
    <w:rsid w:val="09698300"/>
    <w:rsid w:val="098B5F47"/>
    <w:rsid w:val="09958F98"/>
    <w:rsid w:val="099E0D57"/>
    <w:rsid w:val="099F96BE"/>
    <w:rsid w:val="099FE8CC"/>
    <w:rsid w:val="09A4AC70"/>
    <w:rsid w:val="09A4D8AD"/>
    <w:rsid w:val="09AC2A5F"/>
    <w:rsid w:val="09B38547"/>
    <w:rsid w:val="09BB9945"/>
    <w:rsid w:val="09C802B1"/>
    <w:rsid w:val="09CBB136"/>
    <w:rsid w:val="09F8EF77"/>
    <w:rsid w:val="0A006F18"/>
    <w:rsid w:val="0A1966F6"/>
    <w:rsid w:val="0A279E5F"/>
    <w:rsid w:val="0A3DEE82"/>
    <w:rsid w:val="0A40C5CD"/>
    <w:rsid w:val="0A5FCAF0"/>
    <w:rsid w:val="0A6155A2"/>
    <w:rsid w:val="0A6BA10B"/>
    <w:rsid w:val="0A869E32"/>
    <w:rsid w:val="0A941239"/>
    <w:rsid w:val="0A968151"/>
    <w:rsid w:val="0A9BCEF6"/>
    <w:rsid w:val="0ACDA291"/>
    <w:rsid w:val="0AFAC933"/>
    <w:rsid w:val="0AFF948F"/>
    <w:rsid w:val="0B008241"/>
    <w:rsid w:val="0B15AC3A"/>
    <w:rsid w:val="0B2ADB54"/>
    <w:rsid w:val="0B429100"/>
    <w:rsid w:val="0B42D66F"/>
    <w:rsid w:val="0B5D7EB6"/>
    <w:rsid w:val="0B714BB2"/>
    <w:rsid w:val="0B79E9C8"/>
    <w:rsid w:val="0B80414B"/>
    <w:rsid w:val="0B8A1C03"/>
    <w:rsid w:val="0BA0AAFF"/>
    <w:rsid w:val="0BC53BA7"/>
    <w:rsid w:val="0BD94293"/>
    <w:rsid w:val="0BE15A75"/>
    <w:rsid w:val="0BE71FA2"/>
    <w:rsid w:val="0BFABD05"/>
    <w:rsid w:val="0BFEA18A"/>
    <w:rsid w:val="0C0EF2D6"/>
    <w:rsid w:val="0C22BF31"/>
    <w:rsid w:val="0C3E4B0F"/>
    <w:rsid w:val="0C4372A2"/>
    <w:rsid w:val="0C882FBE"/>
    <w:rsid w:val="0C8855AE"/>
    <w:rsid w:val="0C8DEFA6"/>
    <w:rsid w:val="0C96626F"/>
    <w:rsid w:val="0CCA21C6"/>
    <w:rsid w:val="0D00B7E4"/>
    <w:rsid w:val="0D2591E6"/>
    <w:rsid w:val="0D265572"/>
    <w:rsid w:val="0D2F28A7"/>
    <w:rsid w:val="0D4DE616"/>
    <w:rsid w:val="0D5A564B"/>
    <w:rsid w:val="0D85B1E4"/>
    <w:rsid w:val="0D8E50EF"/>
    <w:rsid w:val="0D9E8239"/>
    <w:rsid w:val="0DA36EB8"/>
    <w:rsid w:val="0DAAEA6F"/>
    <w:rsid w:val="0DAFB218"/>
    <w:rsid w:val="0DBE0982"/>
    <w:rsid w:val="0DC18129"/>
    <w:rsid w:val="0DC2EC66"/>
    <w:rsid w:val="0DF7F144"/>
    <w:rsid w:val="0E02EE46"/>
    <w:rsid w:val="0E0A6995"/>
    <w:rsid w:val="0E187054"/>
    <w:rsid w:val="0E205B98"/>
    <w:rsid w:val="0E2AEF70"/>
    <w:rsid w:val="0E345DCD"/>
    <w:rsid w:val="0E360EF5"/>
    <w:rsid w:val="0E5C690A"/>
    <w:rsid w:val="0E61CF08"/>
    <w:rsid w:val="0E7554C1"/>
    <w:rsid w:val="0E868645"/>
    <w:rsid w:val="0E8B6A08"/>
    <w:rsid w:val="0E91803D"/>
    <w:rsid w:val="0EA29F65"/>
    <w:rsid w:val="0EB2AD46"/>
    <w:rsid w:val="0EC69E0A"/>
    <w:rsid w:val="0EDB8302"/>
    <w:rsid w:val="0EEEB77A"/>
    <w:rsid w:val="0F018CE3"/>
    <w:rsid w:val="0F03BDF5"/>
    <w:rsid w:val="0F3EFCA0"/>
    <w:rsid w:val="0F484C89"/>
    <w:rsid w:val="0F53A3F9"/>
    <w:rsid w:val="0F55423A"/>
    <w:rsid w:val="0F856185"/>
    <w:rsid w:val="0F89984C"/>
    <w:rsid w:val="0F8F788F"/>
    <w:rsid w:val="0F90479B"/>
    <w:rsid w:val="0FA1A10A"/>
    <w:rsid w:val="0FA31824"/>
    <w:rsid w:val="0FA5067D"/>
    <w:rsid w:val="0FA5145A"/>
    <w:rsid w:val="0FCB69F8"/>
    <w:rsid w:val="0FD83808"/>
    <w:rsid w:val="0FF66C73"/>
    <w:rsid w:val="0FFAB52B"/>
    <w:rsid w:val="100A5B4F"/>
    <w:rsid w:val="101C4462"/>
    <w:rsid w:val="10285B35"/>
    <w:rsid w:val="103EE5BB"/>
    <w:rsid w:val="104F8BFC"/>
    <w:rsid w:val="104FF2F8"/>
    <w:rsid w:val="10500D02"/>
    <w:rsid w:val="1053E359"/>
    <w:rsid w:val="10718796"/>
    <w:rsid w:val="1081FC51"/>
    <w:rsid w:val="1089CCE4"/>
    <w:rsid w:val="108B718C"/>
    <w:rsid w:val="1094BEF0"/>
    <w:rsid w:val="10A35556"/>
    <w:rsid w:val="10C75D09"/>
    <w:rsid w:val="10C91F93"/>
    <w:rsid w:val="10D38A4A"/>
    <w:rsid w:val="10D48042"/>
    <w:rsid w:val="10E2A559"/>
    <w:rsid w:val="10E96628"/>
    <w:rsid w:val="110B5407"/>
    <w:rsid w:val="111F0F48"/>
    <w:rsid w:val="112131E6"/>
    <w:rsid w:val="112F35FA"/>
    <w:rsid w:val="113F6CFD"/>
    <w:rsid w:val="116EBB6E"/>
    <w:rsid w:val="1170F335"/>
    <w:rsid w:val="1175E191"/>
    <w:rsid w:val="117BD247"/>
    <w:rsid w:val="118258A5"/>
    <w:rsid w:val="11928EDF"/>
    <w:rsid w:val="1196F8BA"/>
    <w:rsid w:val="1197C258"/>
    <w:rsid w:val="11C50D2D"/>
    <w:rsid w:val="11D65E8E"/>
    <w:rsid w:val="11D72C7A"/>
    <w:rsid w:val="11E7AFF0"/>
    <w:rsid w:val="11EB251A"/>
    <w:rsid w:val="11EEBE56"/>
    <w:rsid w:val="11FCCB1C"/>
    <w:rsid w:val="120E3C50"/>
    <w:rsid w:val="121BBC5D"/>
    <w:rsid w:val="1234A00A"/>
    <w:rsid w:val="124A340C"/>
    <w:rsid w:val="125A5D39"/>
    <w:rsid w:val="127050A3"/>
    <w:rsid w:val="1280944D"/>
    <w:rsid w:val="12838A7D"/>
    <w:rsid w:val="1287EB52"/>
    <w:rsid w:val="12AC42E5"/>
    <w:rsid w:val="12B0D57E"/>
    <w:rsid w:val="12BAB672"/>
    <w:rsid w:val="12BCCAC8"/>
    <w:rsid w:val="12C25E06"/>
    <w:rsid w:val="12C6F396"/>
    <w:rsid w:val="12CC39FF"/>
    <w:rsid w:val="12EE8B2F"/>
    <w:rsid w:val="12F2B23A"/>
    <w:rsid w:val="130801E7"/>
    <w:rsid w:val="130E1421"/>
    <w:rsid w:val="131EEBE2"/>
    <w:rsid w:val="1339A866"/>
    <w:rsid w:val="135F2AA2"/>
    <w:rsid w:val="136C31FC"/>
    <w:rsid w:val="136F9B51"/>
    <w:rsid w:val="13A1FFB9"/>
    <w:rsid w:val="13ABEDB3"/>
    <w:rsid w:val="13BD25D8"/>
    <w:rsid w:val="13D0FC0A"/>
    <w:rsid w:val="13E235D4"/>
    <w:rsid w:val="13ED0E36"/>
    <w:rsid w:val="13F194A1"/>
    <w:rsid w:val="13F54738"/>
    <w:rsid w:val="13F9E0FE"/>
    <w:rsid w:val="13FD3427"/>
    <w:rsid w:val="13FD61DF"/>
    <w:rsid w:val="14084892"/>
    <w:rsid w:val="14111A07"/>
    <w:rsid w:val="141FDD20"/>
    <w:rsid w:val="143748E5"/>
    <w:rsid w:val="143EBE62"/>
    <w:rsid w:val="144D6D25"/>
    <w:rsid w:val="144E771B"/>
    <w:rsid w:val="14510B71"/>
    <w:rsid w:val="145647B8"/>
    <w:rsid w:val="145F0549"/>
    <w:rsid w:val="14627144"/>
    <w:rsid w:val="146F2C8D"/>
    <w:rsid w:val="1474B751"/>
    <w:rsid w:val="147BAFE9"/>
    <w:rsid w:val="148BC148"/>
    <w:rsid w:val="149E68ED"/>
    <w:rsid w:val="14D9AC0C"/>
    <w:rsid w:val="14E3F0BA"/>
    <w:rsid w:val="14EE7571"/>
    <w:rsid w:val="151A1766"/>
    <w:rsid w:val="152945A0"/>
    <w:rsid w:val="15324BE6"/>
    <w:rsid w:val="15446715"/>
    <w:rsid w:val="15460C93"/>
    <w:rsid w:val="1554778E"/>
    <w:rsid w:val="155CED2D"/>
    <w:rsid w:val="1566EBC0"/>
    <w:rsid w:val="15732301"/>
    <w:rsid w:val="15829561"/>
    <w:rsid w:val="158B5EA4"/>
    <w:rsid w:val="159E6F0E"/>
    <w:rsid w:val="15ACD4DE"/>
    <w:rsid w:val="15CC5964"/>
    <w:rsid w:val="16075B51"/>
    <w:rsid w:val="160D67C2"/>
    <w:rsid w:val="160EA089"/>
    <w:rsid w:val="160FF091"/>
    <w:rsid w:val="1623FAF1"/>
    <w:rsid w:val="16316689"/>
    <w:rsid w:val="163798BE"/>
    <w:rsid w:val="164BD903"/>
    <w:rsid w:val="164BEC87"/>
    <w:rsid w:val="16618832"/>
    <w:rsid w:val="16752FFA"/>
    <w:rsid w:val="1699BA29"/>
    <w:rsid w:val="16A866ED"/>
    <w:rsid w:val="16CEB1C3"/>
    <w:rsid w:val="16DA3B1D"/>
    <w:rsid w:val="16DFB629"/>
    <w:rsid w:val="16EFBD8E"/>
    <w:rsid w:val="16EFC35F"/>
    <w:rsid w:val="17206150"/>
    <w:rsid w:val="1721C8DD"/>
    <w:rsid w:val="1726F343"/>
    <w:rsid w:val="1731BCD9"/>
    <w:rsid w:val="1735BC0B"/>
    <w:rsid w:val="173AE56C"/>
    <w:rsid w:val="174030FD"/>
    <w:rsid w:val="174C78A4"/>
    <w:rsid w:val="17691800"/>
    <w:rsid w:val="1795D349"/>
    <w:rsid w:val="17A5DBF0"/>
    <w:rsid w:val="17B1F333"/>
    <w:rsid w:val="17B8AF59"/>
    <w:rsid w:val="17C46C4A"/>
    <w:rsid w:val="17C5F1C1"/>
    <w:rsid w:val="17CDC437"/>
    <w:rsid w:val="17D9730D"/>
    <w:rsid w:val="17F2F937"/>
    <w:rsid w:val="17FEC23E"/>
    <w:rsid w:val="1807266D"/>
    <w:rsid w:val="180D933F"/>
    <w:rsid w:val="1817F3E7"/>
    <w:rsid w:val="181A7BA4"/>
    <w:rsid w:val="181B5B63"/>
    <w:rsid w:val="181DF655"/>
    <w:rsid w:val="182A8804"/>
    <w:rsid w:val="1836F442"/>
    <w:rsid w:val="184B2CB4"/>
    <w:rsid w:val="1855D80A"/>
    <w:rsid w:val="1858E8DF"/>
    <w:rsid w:val="1870255D"/>
    <w:rsid w:val="18802572"/>
    <w:rsid w:val="18A0EB94"/>
    <w:rsid w:val="18A61577"/>
    <w:rsid w:val="18A8D429"/>
    <w:rsid w:val="18CA4BC0"/>
    <w:rsid w:val="18E1F1AF"/>
    <w:rsid w:val="18F90728"/>
    <w:rsid w:val="19071436"/>
    <w:rsid w:val="191E0184"/>
    <w:rsid w:val="1925A5C3"/>
    <w:rsid w:val="1928467C"/>
    <w:rsid w:val="19492C2D"/>
    <w:rsid w:val="19505304"/>
    <w:rsid w:val="195903C9"/>
    <w:rsid w:val="196050CF"/>
    <w:rsid w:val="19675BF7"/>
    <w:rsid w:val="19920443"/>
    <w:rsid w:val="1992379F"/>
    <w:rsid w:val="19966832"/>
    <w:rsid w:val="19BA6F57"/>
    <w:rsid w:val="19C85E68"/>
    <w:rsid w:val="19C8917D"/>
    <w:rsid w:val="1A0B578F"/>
    <w:rsid w:val="1A19DEF8"/>
    <w:rsid w:val="1A21D892"/>
    <w:rsid w:val="1A37477B"/>
    <w:rsid w:val="1A381267"/>
    <w:rsid w:val="1A383139"/>
    <w:rsid w:val="1A38BDD8"/>
    <w:rsid w:val="1A42E9D2"/>
    <w:rsid w:val="1A43AEA6"/>
    <w:rsid w:val="1A66DF20"/>
    <w:rsid w:val="1A6EAAB9"/>
    <w:rsid w:val="1A7048E2"/>
    <w:rsid w:val="1A739E03"/>
    <w:rsid w:val="1A73DA5E"/>
    <w:rsid w:val="1A78562C"/>
    <w:rsid w:val="1A8BCE72"/>
    <w:rsid w:val="1A9A1C1A"/>
    <w:rsid w:val="1AAAD8B8"/>
    <w:rsid w:val="1ABAF6DA"/>
    <w:rsid w:val="1AD38D87"/>
    <w:rsid w:val="1AEC6B10"/>
    <w:rsid w:val="1AF56953"/>
    <w:rsid w:val="1B1C54B5"/>
    <w:rsid w:val="1B20A4F2"/>
    <w:rsid w:val="1B2124D0"/>
    <w:rsid w:val="1B2509E4"/>
    <w:rsid w:val="1B2729B3"/>
    <w:rsid w:val="1B316C4A"/>
    <w:rsid w:val="1B3B8813"/>
    <w:rsid w:val="1B411B5E"/>
    <w:rsid w:val="1B562BD1"/>
    <w:rsid w:val="1B5AE9FA"/>
    <w:rsid w:val="1B5E0940"/>
    <w:rsid w:val="1B7A1FC6"/>
    <w:rsid w:val="1B8B64BF"/>
    <w:rsid w:val="1BCB16E7"/>
    <w:rsid w:val="1BD59F32"/>
    <w:rsid w:val="1BE37D6D"/>
    <w:rsid w:val="1BE39AB1"/>
    <w:rsid w:val="1BE6BD45"/>
    <w:rsid w:val="1BEE885A"/>
    <w:rsid w:val="1BF8342E"/>
    <w:rsid w:val="1C046B2F"/>
    <w:rsid w:val="1C1E81D6"/>
    <w:rsid w:val="1C3CE371"/>
    <w:rsid w:val="1C3DC0FE"/>
    <w:rsid w:val="1C4A37EB"/>
    <w:rsid w:val="1C66B767"/>
    <w:rsid w:val="1C6D7743"/>
    <w:rsid w:val="1C6F67B6"/>
    <w:rsid w:val="1C724C00"/>
    <w:rsid w:val="1C75BB44"/>
    <w:rsid w:val="1CAB1429"/>
    <w:rsid w:val="1CB4318A"/>
    <w:rsid w:val="1CBF10E4"/>
    <w:rsid w:val="1CC1584E"/>
    <w:rsid w:val="1CC47BE3"/>
    <w:rsid w:val="1CD31D78"/>
    <w:rsid w:val="1CD53F6B"/>
    <w:rsid w:val="1CDDD061"/>
    <w:rsid w:val="1CE30519"/>
    <w:rsid w:val="1CE847D5"/>
    <w:rsid w:val="1CE8BB98"/>
    <w:rsid w:val="1CFC68E5"/>
    <w:rsid w:val="1D024D6B"/>
    <w:rsid w:val="1D073DB9"/>
    <w:rsid w:val="1D0B2A9A"/>
    <w:rsid w:val="1D2416FF"/>
    <w:rsid w:val="1D242CE7"/>
    <w:rsid w:val="1D29AF73"/>
    <w:rsid w:val="1D35FA08"/>
    <w:rsid w:val="1D454393"/>
    <w:rsid w:val="1D48DB7A"/>
    <w:rsid w:val="1D497221"/>
    <w:rsid w:val="1D51F081"/>
    <w:rsid w:val="1D63FAB5"/>
    <w:rsid w:val="1D65B8A4"/>
    <w:rsid w:val="1D690BF6"/>
    <w:rsid w:val="1DDFAE6E"/>
    <w:rsid w:val="1DE13564"/>
    <w:rsid w:val="1DE7D0DE"/>
    <w:rsid w:val="1DF39FB1"/>
    <w:rsid w:val="1DFB93CE"/>
    <w:rsid w:val="1E070C4E"/>
    <w:rsid w:val="1E1D249E"/>
    <w:rsid w:val="1E2FEC32"/>
    <w:rsid w:val="1E426A46"/>
    <w:rsid w:val="1E54121D"/>
    <w:rsid w:val="1E54C2CF"/>
    <w:rsid w:val="1E5D28AF"/>
    <w:rsid w:val="1E637269"/>
    <w:rsid w:val="1E69ED00"/>
    <w:rsid w:val="1E843C4B"/>
    <w:rsid w:val="1E99C18F"/>
    <w:rsid w:val="1E9CAC8C"/>
    <w:rsid w:val="1EB64B11"/>
    <w:rsid w:val="1ED6D65B"/>
    <w:rsid w:val="1ED73AD1"/>
    <w:rsid w:val="1EE5DB84"/>
    <w:rsid w:val="1EE886CA"/>
    <w:rsid w:val="1EFA221D"/>
    <w:rsid w:val="1F1F2C16"/>
    <w:rsid w:val="1F3E374D"/>
    <w:rsid w:val="1F6D5DE1"/>
    <w:rsid w:val="1F6FCD9E"/>
    <w:rsid w:val="1F7BA8B2"/>
    <w:rsid w:val="1F908BC0"/>
    <w:rsid w:val="1F9D979D"/>
    <w:rsid w:val="1FAAA8E9"/>
    <w:rsid w:val="1FB153AD"/>
    <w:rsid w:val="1FBF89AB"/>
    <w:rsid w:val="1FE46128"/>
    <w:rsid w:val="1FED64C5"/>
    <w:rsid w:val="1FF01CE0"/>
    <w:rsid w:val="1FF80773"/>
    <w:rsid w:val="201414ED"/>
    <w:rsid w:val="2015C650"/>
    <w:rsid w:val="2020CA0B"/>
    <w:rsid w:val="202A3734"/>
    <w:rsid w:val="203A93ED"/>
    <w:rsid w:val="205D18E8"/>
    <w:rsid w:val="205D3AB6"/>
    <w:rsid w:val="2082C6F3"/>
    <w:rsid w:val="2088D1A9"/>
    <w:rsid w:val="208F1BE7"/>
    <w:rsid w:val="208F7950"/>
    <w:rsid w:val="20A47249"/>
    <w:rsid w:val="20A951BD"/>
    <w:rsid w:val="20AD9257"/>
    <w:rsid w:val="20BD8122"/>
    <w:rsid w:val="20C2FFDA"/>
    <w:rsid w:val="20C31093"/>
    <w:rsid w:val="20CE32BD"/>
    <w:rsid w:val="20D3FD53"/>
    <w:rsid w:val="20F800E2"/>
    <w:rsid w:val="2117CCEE"/>
    <w:rsid w:val="211925A4"/>
    <w:rsid w:val="2128C6E3"/>
    <w:rsid w:val="213EED6E"/>
    <w:rsid w:val="2149B0F0"/>
    <w:rsid w:val="2152CE11"/>
    <w:rsid w:val="21567CBA"/>
    <w:rsid w:val="2156C9B2"/>
    <w:rsid w:val="215735A6"/>
    <w:rsid w:val="215F2C22"/>
    <w:rsid w:val="21601970"/>
    <w:rsid w:val="21623A16"/>
    <w:rsid w:val="218876DB"/>
    <w:rsid w:val="21936946"/>
    <w:rsid w:val="21AEC56D"/>
    <w:rsid w:val="21B2B62A"/>
    <w:rsid w:val="21B3D4F2"/>
    <w:rsid w:val="21CAD035"/>
    <w:rsid w:val="21D2487B"/>
    <w:rsid w:val="21DAABDB"/>
    <w:rsid w:val="21E36781"/>
    <w:rsid w:val="21E5646B"/>
    <w:rsid w:val="21E7458E"/>
    <w:rsid w:val="21EE22D0"/>
    <w:rsid w:val="22005492"/>
    <w:rsid w:val="222508F0"/>
    <w:rsid w:val="2229F683"/>
    <w:rsid w:val="22446EC9"/>
    <w:rsid w:val="225D8E90"/>
    <w:rsid w:val="225E3B52"/>
    <w:rsid w:val="2267D657"/>
    <w:rsid w:val="226AA551"/>
    <w:rsid w:val="227BEF39"/>
    <w:rsid w:val="228336DA"/>
    <w:rsid w:val="2293ED8D"/>
    <w:rsid w:val="2295F967"/>
    <w:rsid w:val="229E157F"/>
    <w:rsid w:val="229EC102"/>
    <w:rsid w:val="229F5D30"/>
    <w:rsid w:val="229FE96E"/>
    <w:rsid w:val="22A5FCDC"/>
    <w:rsid w:val="22AA8A82"/>
    <w:rsid w:val="22B22FE6"/>
    <w:rsid w:val="22B704FF"/>
    <w:rsid w:val="22C5E6AC"/>
    <w:rsid w:val="22DEF79D"/>
    <w:rsid w:val="22E11883"/>
    <w:rsid w:val="22F12A35"/>
    <w:rsid w:val="22FE6BB9"/>
    <w:rsid w:val="2303C6FF"/>
    <w:rsid w:val="23169B16"/>
    <w:rsid w:val="231AFE82"/>
    <w:rsid w:val="23235441"/>
    <w:rsid w:val="2332F608"/>
    <w:rsid w:val="2339FC5F"/>
    <w:rsid w:val="233D28EA"/>
    <w:rsid w:val="23429291"/>
    <w:rsid w:val="23538FAE"/>
    <w:rsid w:val="235CA6FA"/>
    <w:rsid w:val="23672C67"/>
    <w:rsid w:val="236731D7"/>
    <w:rsid w:val="237E009E"/>
    <w:rsid w:val="23861910"/>
    <w:rsid w:val="23B00B4A"/>
    <w:rsid w:val="23C49AF3"/>
    <w:rsid w:val="24350EF0"/>
    <w:rsid w:val="243F1204"/>
    <w:rsid w:val="2447D8E8"/>
    <w:rsid w:val="244D0BAB"/>
    <w:rsid w:val="24665894"/>
    <w:rsid w:val="24690236"/>
    <w:rsid w:val="246CE9E1"/>
    <w:rsid w:val="246D489B"/>
    <w:rsid w:val="246DEB29"/>
    <w:rsid w:val="24808B7A"/>
    <w:rsid w:val="2482D13B"/>
    <w:rsid w:val="24836219"/>
    <w:rsid w:val="24870273"/>
    <w:rsid w:val="248AD3B5"/>
    <w:rsid w:val="2492A807"/>
    <w:rsid w:val="24A979E1"/>
    <w:rsid w:val="24A9C321"/>
    <w:rsid w:val="24EAC03A"/>
    <w:rsid w:val="24EF9FDD"/>
    <w:rsid w:val="24F4A92A"/>
    <w:rsid w:val="25024485"/>
    <w:rsid w:val="25030238"/>
    <w:rsid w:val="250CA8CE"/>
    <w:rsid w:val="2513B16B"/>
    <w:rsid w:val="25394E06"/>
    <w:rsid w:val="25404094"/>
    <w:rsid w:val="2567F0F3"/>
    <w:rsid w:val="25716E87"/>
    <w:rsid w:val="257898E9"/>
    <w:rsid w:val="257DA032"/>
    <w:rsid w:val="25BBF324"/>
    <w:rsid w:val="25C4FFD6"/>
    <w:rsid w:val="25D07EBB"/>
    <w:rsid w:val="260BD210"/>
    <w:rsid w:val="26123948"/>
    <w:rsid w:val="26130874"/>
    <w:rsid w:val="2624BF7C"/>
    <w:rsid w:val="267B5FF7"/>
    <w:rsid w:val="26877FDD"/>
    <w:rsid w:val="2696296E"/>
    <w:rsid w:val="26A1D68F"/>
    <w:rsid w:val="26A465F1"/>
    <w:rsid w:val="26AD600D"/>
    <w:rsid w:val="26AE287C"/>
    <w:rsid w:val="26AFB629"/>
    <w:rsid w:val="26B3723E"/>
    <w:rsid w:val="26CC52AF"/>
    <w:rsid w:val="26DD90D6"/>
    <w:rsid w:val="26DE94A4"/>
    <w:rsid w:val="26EDD67F"/>
    <w:rsid w:val="26EEC35B"/>
    <w:rsid w:val="26FF52EF"/>
    <w:rsid w:val="2708D317"/>
    <w:rsid w:val="27251C1F"/>
    <w:rsid w:val="2725A40E"/>
    <w:rsid w:val="27287B94"/>
    <w:rsid w:val="273FABEA"/>
    <w:rsid w:val="2748AA01"/>
    <w:rsid w:val="2749DB75"/>
    <w:rsid w:val="274AB287"/>
    <w:rsid w:val="275437B3"/>
    <w:rsid w:val="275BE4FA"/>
    <w:rsid w:val="2767EAEC"/>
    <w:rsid w:val="27928520"/>
    <w:rsid w:val="279DB53C"/>
    <w:rsid w:val="27A6A8D6"/>
    <w:rsid w:val="27AC07C4"/>
    <w:rsid w:val="27C09C35"/>
    <w:rsid w:val="27CA9CE2"/>
    <w:rsid w:val="27D9B060"/>
    <w:rsid w:val="27E3A6A8"/>
    <w:rsid w:val="27E7804D"/>
    <w:rsid w:val="27F59AF3"/>
    <w:rsid w:val="2801BD27"/>
    <w:rsid w:val="280D885F"/>
    <w:rsid w:val="281271CC"/>
    <w:rsid w:val="281B0866"/>
    <w:rsid w:val="281BB788"/>
    <w:rsid w:val="28506582"/>
    <w:rsid w:val="2859B76B"/>
    <w:rsid w:val="285CD9D6"/>
    <w:rsid w:val="2863467D"/>
    <w:rsid w:val="28710FA8"/>
    <w:rsid w:val="2879E8B0"/>
    <w:rsid w:val="287B2E05"/>
    <w:rsid w:val="287C4373"/>
    <w:rsid w:val="289FFAD2"/>
    <w:rsid w:val="28A7C412"/>
    <w:rsid w:val="28AC1F5A"/>
    <w:rsid w:val="28C38893"/>
    <w:rsid w:val="28C91187"/>
    <w:rsid w:val="28CCCA70"/>
    <w:rsid w:val="28F7D2D1"/>
    <w:rsid w:val="28FA2B33"/>
    <w:rsid w:val="292DA764"/>
    <w:rsid w:val="294B1ACE"/>
    <w:rsid w:val="29502B2F"/>
    <w:rsid w:val="2955B63B"/>
    <w:rsid w:val="2964262C"/>
    <w:rsid w:val="297CA5F7"/>
    <w:rsid w:val="297F08D5"/>
    <w:rsid w:val="2986A2B2"/>
    <w:rsid w:val="298C99AF"/>
    <w:rsid w:val="29900A09"/>
    <w:rsid w:val="299FF54C"/>
    <w:rsid w:val="29A3A89E"/>
    <w:rsid w:val="29B13754"/>
    <w:rsid w:val="29B72186"/>
    <w:rsid w:val="29BE9059"/>
    <w:rsid w:val="29C764DB"/>
    <w:rsid w:val="29CC4480"/>
    <w:rsid w:val="29DDBBF0"/>
    <w:rsid w:val="29F6F76A"/>
    <w:rsid w:val="2A051171"/>
    <w:rsid w:val="2A163E4F"/>
    <w:rsid w:val="2A1B0CC7"/>
    <w:rsid w:val="2A34C114"/>
    <w:rsid w:val="2A4D802A"/>
    <w:rsid w:val="2A552CD5"/>
    <w:rsid w:val="2A5A9922"/>
    <w:rsid w:val="2A988F85"/>
    <w:rsid w:val="2A9AB457"/>
    <w:rsid w:val="2AB003AB"/>
    <w:rsid w:val="2AC68716"/>
    <w:rsid w:val="2AD42B7E"/>
    <w:rsid w:val="2ADF0230"/>
    <w:rsid w:val="2AEFCABD"/>
    <w:rsid w:val="2AFC0961"/>
    <w:rsid w:val="2B12DA02"/>
    <w:rsid w:val="2B1B7B17"/>
    <w:rsid w:val="2B324230"/>
    <w:rsid w:val="2B3CC5F1"/>
    <w:rsid w:val="2B3F5CDE"/>
    <w:rsid w:val="2B44BEBE"/>
    <w:rsid w:val="2B5BE0A4"/>
    <w:rsid w:val="2B778AE9"/>
    <w:rsid w:val="2B8C7A90"/>
    <w:rsid w:val="2BA657BD"/>
    <w:rsid w:val="2BB2A0E2"/>
    <w:rsid w:val="2BB8D28C"/>
    <w:rsid w:val="2BBD2752"/>
    <w:rsid w:val="2BD8B920"/>
    <w:rsid w:val="2BDD4B78"/>
    <w:rsid w:val="2BE83C21"/>
    <w:rsid w:val="2BEB59E0"/>
    <w:rsid w:val="2BEB669A"/>
    <w:rsid w:val="2BF4933B"/>
    <w:rsid w:val="2BF8C989"/>
    <w:rsid w:val="2BF9D3C0"/>
    <w:rsid w:val="2C054415"/>
    <w:rsid w:val="2C0B2BA3"/>
    <w:rsid w:val="2C155E08"/>
    <w:rsid w:val="2C464AC5"/>
    <w:rsid w:val="2C5BC58B"/>
    <w:rsid w:val="2C64AB0A"/>
    <w:rsid w:val="2C662DAA"/>
    <w:rsid w:val="2C8D203E"/>
    <w:rsid w:val="2C8F2FFB"/>
    <w:rsid w:val="2C9F9580"/>
    <w:rsid w:val="2CE49964"/>
    <w:rsid w:val="2CFD59D9"/>
    <w:rsid w:val="2D0022BE"/>
    <w:rsid w:val="2D1E8CC5"/>
    <w:rsid w:val="2D2A47B5"/>
    <w:rsid w:val="2D2EA88E"/>
    <w:rsid w:val="2D3A6331"/>
    <w:rsid w:val="2D5D5D63"/>
    <w:rsid w:val="2D5F9297"/>
    <w:rsid w:val="2D76C93C"/>
    <w:rsid w:val="2D82A0C1"/>
    <w:rsid w:val="2D93CE81"/>
    <w:rsid w:val="2DA1C535"/>
    <w:rsid w:val="2DBCA5E4"/>
    <w:rsid w:val="2DC84F7D"/>
    <w:rsid w:val="2DF9FE0A"/>
    <w:rsid w:val="2DFB64D5"/>
    <w:rsid w:val="2E10AC62"/>
    <w:rsid w:val="2E24728E"/>
    <w:rsid w:val="2E3C398C"/>
    <w:rsid w:val="2E481731"/>
    <w:rsid w:val="2E55B3DE"/>
    <w:rsid w:val="2E59389B"/>
    <w:rsid w:val="2E67D032"/>
    <w:rsid w:val="2E6D8627"/>
    <w:rsid w:val="2E758708"/>
    <w:rsid w:val="2E8DE5B3"/>
    <w:rsid w:val="2E903069"/>
    <w:rsid w:val="2E97FD33"/>
    <w:rsid w:val="2EA1F169"/>
    <w:rsid w:val="2EAB79BA"/>
    <w:rsid w:val="2ED2F237"/>
    <w:rsid w:val="2EF14F30"/>
    <w:rsid w:val="2F0D4664"/>
    <w:rsid w:val="2F0E8B37"/>
    <w:rsid w:val="2F2FA703"/>
    <w:rsid w:val="2F37B839"/>
    <w:rsid w:val="2F4F1CF9"/>
    <w:rsid w:val="2F56E56F"/>
    <w:rsid w:val="2F5722F8"/>
    <w:rsid w:val="2F5896DF"/>
    <w:rsid w:val="2F5C679C"/>
    <w:rsid w:val="2F680500"/>
    <w:rsid w:val="2FA85156"/>
    <w:rsid w:val="2FAEFB1B"/>
    <w:rsid w:val="2FB307FF"/>
    <w:rsid w:val="2FB8F327"/>
    <w:rsid w:val="2FD5AD75"/>
    <w:rsid w:val="2FD817AD"/>
    <w:rsid w:val="302F90C1"/>
    <w:rsid w:val="3049D841"/>
    <w:rsid w:val="3059D4E3"/>
    <w:rsid w:val="305E6C19"/>
    <w:rsid w:val="3071E6AD"/>
    <w:rsid w:val="3075890C"/>
    <w:rsid w:val="307FBF98"/>
    <w:rsid w:val="30908743"/>
    <w:rsid w:val="3091E79F"/>
    <w:rsid w:val="3096BC81"/>
    <w:rsid w:val="309D7057"/>
    <w:rsid w:val="30A4D785"/>
    <w:rsid w:val="30A84B2D"/>
    <w:rsid w:val="30AC5200"/>
    <w:rsid w:val="30B4E970"/>
    <w:rsid w:val="30C3208C"/>
    <w:rsid w:val="30DAA82F"/>
    <w:rsid w:val="30FC4CC3"/>
    <w:rsid w:val="30FDC207"/>
    <w:rsid w:val="31234499"/>
    <w:rsid w:val="313F91FE"/>
    <w:rsid w:val="31572643"/>
    <w:rsid w:val="31675F50"/>
    <w:rsid w:val="316A9C94"/>
    <w:rsid w:val="316C26D0"/>
    <w:rsid w:val="316C8AB1"/>
    <w:rsid w:val="3181F682"/>
    <w:rsid w:val="318849F8"/>
    <w:rsid w:val="319CA75B"/>
    <w:rsid w:val="31A070F1"/>
    <w:rsid w:val="31A1E73F"/>
    <w:rsid w:val="31A64787"/>
    <w:rsid w:val="31A93C5C"/>
    <w:rsid w:val="31B97DED"/>
    <w:rsid w:val="31CA90C0"/>
    <w:rsid w:val="31D37CBF"/>
    <w:rsid w:val="31DEF58F"/>
    <w:rsid w:val="31F95E8E"/>
    <w:rsid w:val="320261EA"/>
    <w:rsid w:val="320C1ABD"/>
    <w:rsid w:val="322748AD"/>
    <w:rsid w:val="32397E8A"/>
    <w:rsid w:val="32416F60"/>
    <w:rsid w:val="32484EC7"/>
    <w:rsid w:val="324FDA9B"/>
    <w:rsid w:val="32522155"/>
    <w:rsid w:val="327FBDF6"/>
    <w:rsid w:val="32855892"/>
    <w:rsid w:val="3293B68E"/>
    <w:rsid w:val="3298B1FA"/>
    <w:rsid w:val="32A52A21"/>
    <w:rsid w:val="32AC55DE"/>
    <w:rsid w:val="32AE704B"/>
    <w:rsid w:val="32B91614"/>
    <w:rsid w:val="32C5D680"/>
    <w:rsid w:val="32C80130"/>
    <w:rsid w:val="32ECEFB8"/>
    <w:rsid w:val="32ED4123"/>
    <w:rsid w:val="32EF5CE6"/>
    <w:rsid w:val="32F0B182"/>
    <w:rsid w:val="33156A28"/>
    <w:rsid w:val="3332DB52"/>
    <w:rsid w:val="33454707"/>
    <w:rsid w:val="335FD8D4"/>
    <w:rsid w:val="33610B5B"/>
    <w:rsid w:val="33779AE1"/>
    <w:rsid w:val="3377A307"/>
    <w:rsid w:val="338834B8"/>
    <w:rsid w:val="338960CB"/>
    <w:rsid w:val="338EAFA5"/>
    <w:rsid w:val="33BB0F5D"/>
    <w:rsid w:val="33C4BDE0"/>
    <w:rsid w:val="33E2F1E1"/>
    <w:rsid w:val="33EDA6DA"/>
    <w:rsid w:val="33F33E38"/>
    <w:rsid w:val="33F6575A"/>
    <w:rsid w:val="33FA949D"/>
    <w:rsid w:val="33FB6FAE"/>
    <w:rsid w:val="3402C796"/>
    <w:rsid w:val="341675BF"/>
    <w:rsid w:val="341A05EB"/>
    <w:rsid w:val="341BAE0E"/>
    <w:rsid w:val="3487F05C"/>
    <w:rsid w:val="34B9BAE2"/>
    <w:rsid w:val="34BE66AA"/>
    <w:rsid w:val="3517CE13"/>
    <w:rsid w:val="35241CA2"/>
    <w:rsid w:val="352A6589"/>
    <w:rsid w:val="3531E26F"/>
    <w:rsid w:val="3537A194"/>
    <w:rsid w:val="35383236"/>
    <w:rsid w:val="355EC62F"/>
    <w:rsid w:val="35688EE3"/>
    <w:rsid w:val="35913D01"/>
    <w:rsid w:val="359749D7"/>
    <w:rsid w:val="359F784E"/>
    <w:rsid w:val="35A97A36"/>
    <w:rsid w:val="35BA8120"/>
    <w:rsid w:val="35BEFF73"/>
    <w:rsid w:val="35C7AF84"/>
    <w:rsid w:val="35CFAD2D"/>
    <w:rsid w:val="35DDF609"/>
    <w:rsid w:val="35EA913A"/>
    <w:rsid w:val="35EE118D"/>
    <w:rsid w:val="35F6630F"/>
    <w:rsid w:val="35FB1EE2"/>
    <w:rsid w:val="36058D6C"/>
    <w:rsid w:val="361BBC22"/>
    <w:rsid w:val="3630456F"/>
    <w:rsid w:val="363FFA5A"/>
    <w:rsid w:val="3642D0CC"/>
    <w:rsid w:val="3645DEB9"/>
    <w:rsid w:val="36498CFF"/>
    <w:rsid w:val="364DC1A8"/>
    <w:rsid w:val="365FB6F8"/>
    <w:rsid w:val="36623158"/>
    <w:rsid w:val="3666052B"/>
    <w:rsid w:val="367108EB"/>
    <w:rsid w:val="367712AC"/>
    <w:rsid w:val="367CA8DC"/>
    <w:rsid w:val="367E6471"/>
    <w:rsid w:val="368728D9"/>
    <w:rsid w:val="3696D679"/>
    <w:rsid w:val="36AB8425"/>
    <w:rsid w:val="36ACF7FD"/>
    <w:rsid w:val="36B53397"/>
    <w:rsid w:val="36D13421"/>
    <w:rsid w:val="36D43DF0"/>
    <w:rsid w:val="36E7544E"/>
    <w:rsid w:val="36E8F842"/>
    <w:rsid w:val="36F4CA82"/>
    <w:rsid w:val="36F7B7F4"/>
    <w:rsid w:val="3706E49D"/>
    <w:rsid w:val="3751D730"/>
    <w:rsid w:val="376980C5"/>
    <w:rsid w:val="376A8038"/>
    <w:rsid w:val="376AFE70"/>
    <w:rsid w:val="3782C071"/>
    <w:rsid w:val="3790BE02"/>
    <w:rsid w:val="3796BF75"/>
    <w:rsid w:val="379F75D1"/>
    <w:rsid w:val="37AF3496"/>
    <w:rsid w:val="37B963A6"/>
    <w:rsid w:val="37E895C9"/>
    <w:rsid w:val="37EF0217"/>
    <w:rsid w:val="38098C22"/>
    <w:rsid w:val="381CB85C"/>
    <w:rsid w:val="386C529D"/>
    <w:rsid w:val="3871BC89"/>
    <w:rsid w:val="38A1495A"/>
    <w:rsid w:val="38A69A96"/>
    <w:rsid w:val="38CE23DE"/>
    <w:rsid w:val="38D3B124"/>
    <w:rsid w:val="38D86566"/>
    <w:rsid w:val="38DDCEB4"/>
    <w:rsid w:val="38EA672D"/>
    <w:rsid w:val="39099FF6"/>
    <w:rsid w:val="3919B4C0"/>
    <w:rsid w:val="39214F36"/>
    <w:rsid w:val="392C9ECE"/>
    <w:rsid w:val="393D9C9A"/>
    <w:rsid w:val="394249DC"/>
    <w:rsid w:val="394DCD23"/>
    <w:rsid w:val="3963E278"/>
    <w:rsid w:val="39716AFF"/>
    <w:rsid w:val="3972261B"/>
    <w:rsid w:val="39BCAB47"/>
    <w:rsid w:val="39EB89BD"/>
    <w:rsid w:val="39F14B0E"/>
    <w:rsid w:val="39F4F49D"/>
    <w:rsid w:val="39FF253B"/>
    <w:rsid w:val="3A03F393"/>
    <w:rsid w:val="3A06D188"/>
    <w:rsid w:val="3A182E6A"/>
    <w:rsid w:val="3A1ED167"/>
    <w:rsid w:val="3A226398"/>
    <w:rsid w:val="3A277916"/>
    <w:rsid w:val="3A398B6A"/>
    <w:rsid w:val="3A76C8B3"/>
    <w:rsid w:val="3A93DC59"/>
    <w:rsid w:val="3A983F4E"/>
    <w:rsid w:val="3AC44BCA"/>
    <w:rsid w:val="3AC71321"/>
    <w:rsid w:val="3AD4D009"/>
    <w:rsid w:val="3AEF8FBB"/>
    <w:rsid w:val="3AF551D3"/>
    <w:rsid w:val="3B007A4C"/>
    <w:rsid w:val="3B022041"/>
    <w:rsid w:val="3B110373"/>
    <w:rsid w:val="3B15A27E"/>
    <w:rsid w:val="3B15E669"/>
    <w:rsid w:val="3B216374"/>
    <w:rsid w:val="3B280F55"/>
    <w:rsid w:val="3B30D6A1"/>
    <w:rsid w:val="3B35E4CD"/>
    <w:rsid w:val="3B4B7749"/>
    <w:rsid w:val="3B64EC93"/>
    <w:rsid w:val="3B6A3C6F"/>
    <w:rsid w:val="3B6CB671"/>
    <w:rsid w:val="3B89BBB7"/>
    <w:rsid w:val="3B8D8A10"/>
    <w:rsid w:val="3B8DCD95"/>
    <w:rsid w:val="3B8E77EF"/>
    <w:rsid w:val="3BAA1CF1"/>
    <w:rsid w:val="3BAED7F3"/>
    <w:rsid w:val="3BCBF9CD"/>
    <w:rsid w:val="3BCFD1E7"/>
    <w:rsid w:val="3BE5F5DC"/>
    <w:rsid w:val="3BE88646"/>
    <w:rsid w:val="3BEF0CFF"/>
    <w:rsid w:val="3C1834F1"/>
    <w:rsid w:val="3C294A45"/>
    <w:rsid w:val="3C35D1EA"/>
    <w:rsid w:val="3C48C222"/>
    <w:rsid w:val="3C4EFBE7"/>
    <w:rsid w:val="3C5A9D2F"/>
    <w:rsid w:val="3C6500DF"/>
    <w:rsid w:val="3C6AAA73"/>
    <w:rsid w:val="3C6FBFAE"/>
    <w:rsid w:val="3C7B8A14"/>
    <w:rsid w:val="3C80FE26"/>
    <w:rsid w:val="3C8C320E"/>
    <w:rsid w:val="3C963F2C"/>
    <w:rsid w:val="3CB06FB4"/>
    <w:rsid w:val="3CB21250"/>
    <w:rsid w:val="3CBCF3F3"/>
    <w:rsid w:val="3CC352E8"/>
    <w:rsid w:val="3CC5B10F"/>
    <w:rsid w:val="3CDA0FA3"/>
    <w:rsid w:val="3CE5A76F"/>
    <w:rsid w:val="3CEE8BF2"/>
    <w:rsid w:val="3CF5D69B"/>
    <w:rsid w:val="3D01743E"/>
    <w:rsid w:val="3D0B8126"/>
    <w:rsid w:val="3D0D665C"/>
    <w:rsid w:val="3D21E05B"/>
    <w:rsid w:val="3D37E1C0"/>
    <w:rsid w:val="3D3817B2"/>
    <w:rsid w:val="3D3C9A14"/>
    <w:rsid w:val="3D49B05A"/>
    <w:rsid w:val="3D4B9C1E"/>
    <w:rsid w:val="3D5E6BC8"/>
    <w:rsid w:val="3D65C6F9"/>
    <w:rsid w:val="3D72305C"/>
    <w:rsid w:val="3D793E45"/>
    <w:rsid w:val="3D7AD15F"/>
    <w:rsid w:val="3D81ECCB"/>
    <w:rsid w:val="3D839712"/>
    <w:rsid w:val="3DA6BF5A"/>
    <w:rsid w:val="3DA8D6FB"/>
    <w:rsid w:val="3DC052E0"/>
    <w:rsid w:val="3DC5C5D6"/>
    <w:rsid w:val="3DCD5A5D"/>
    <w:rsid w:val="3DD0D6B3"/>
    <w:rsid w:val="3DD5C10B"/>
    <w:rsid w:val="3DE8BA3B"/>
    <w:rsid w:val="3DEB8EC2"/>
    <w:rsid w:val="3DF15C01"/>
    <w:rsid w:val="3E03FB2D"/>
    <w:rsid w:val="3E41E69E"/>
    <w:rsid w:val="3E4D4340"/>
    <w:rsid w:val="3E52B239"/>
    <w:rsid w:val="3E546D76"/>
    <w:rsid w:val="3E7DBDFF"/>
    <w:rsid w:val="3E8DB9E2"/>
    <w:rsid w:val="3E9A95FE"/>
    <w:rsid w:val="3EAA62F9"/>
    <w:rsid w:val="3EC04ED4"/>
    <w:rsid w:val="3EC1A978"/>
    <w:rsid w:val="3EEF2232"/>
    <w:rsid w:val="3F076F05"/>
    <w:rsid w:val="3F0D8964"/>
    <w:rsid w:val="3F1670A3"/>
    <w:rsid w:val="3F2FD2C3"/>
    <w:rsid w:val="3F36C5A7"/>
    <w:rsid w:val="3F43E43C"/>
    <w:rsid w:val="3F4F2BEA"/>
    <w:rsid w:val="3F515686"/>
    <w:rsid w:val="3F66E1B8"/>
    <w:rsid w:val="3F68F907"/>
    <w:rsid w:val="3F6A02EE"/>
    <w:rsid w:val="3F82E27A"/>
    <w:rsid w:val="3F92DC2D"/>
    <w:rsid w:val="3F963843"/>
    <w:rsid w:val="3FA29BF7"/>
    <w:rsid w:val="3FB6A3EF"/>
    <w:rsid w:val="3FDDE2C0"/>
    <w:rsid w:val="3FE6CFCB"/>
    <w:rsid w:val="3FE9B02A"/>
    <w:rsid w:val="4008F36E"/>
    <w:rsid w:val="40196255"/>
    <w:rsid w:val="402788E1"/>
    <w:rsid w:val="402A403A"/>
    <w:rsid w:val="403989EF"/>
    <w:rsid w:val="403A081C"/>
    <w:rsid w:val="40488A23"/>
    <w:rsid w:val="405A71F6"/>
    <w:rsid w:val="4064BF89"/>
    <w:rsid w:val="406786A5"/>
    <w:rsid w:val="4069BB59"/>
    <w:rsid w:val="407332B8"/>
    <w:rsid w:val="407CD8BC"/>
    <w:rsid w:val="40C47ECE"/>
    <w:rsid w:val="40C6C1B7"/>
    <w:rsid w:val="40C93858"/>
    <w:rsid w:val="40D870F5"/>
    <w:rsid w:val="41002EAE"/>
    <w:rsid w:val="41034D52"/>
    <w:rsid w:val="4121B7A3"/>
    <w:rsid w:val="412D2D3C"/>
    <w:rsid w:val="413B1C3D"/>
    <w:rsid w:val="415435F1"/>
    <w:rsid w:val="41610740"/>
    <w:rsid w:val="41687FC2"/>
    <w:rsid w:val="416D008F"/>
    <w:rsid w:val="417CAEB0"/>
    <w:rsid w:val="41B8CF30"/>
    <w:rsid w:val="41C0E441"/>
    <w:rsid w:val="41CCCBF8"/>
    <w:rsid w:val="41E32EF3"/>
    <w:rsid w:val="41F942FF"/>
    <w:rsid w:val="41FB6DB2"/>
    <w:rsid w:val="420D6D46"/>
    <w:rsid w:val="420E5BAB"/>
    <w:rsid w:val="421A6D02"/>
    <w:rsid w:val="421ADA8C"/>
    <w:rsid w:val="422C0CA4"/>
    <w:rsid w:val="42364BA3"/>
    <w:rsid w:val="42386512"/>
    <w:rsid w:val="424962E1"/>
    <w:rsid w:val="4272D12C"/>
    <w:rsid w:val="4278AC34"/>
    <w:rsid w:val="427EB8D8"/>
    <w:rsid w:val="4283CCD5"/>
    <w:rsid w:val="42880CFF"/>
    <w:rsid w:val="42999F12"/>
    <w:rsid w:val="42C3CEFB"/>
    <w:rsid w:val="42C8057B"/>
    <w:rsid w:val="42D06127"/>
    <w:rsid w:val="42D42AAD"/>
    <w:rsid w:val="42EB71C7"/>
    <w:rsid w:val="43172196"/>
    <w:rsid w:val="433B0020"/>
    <w:rsid w:val="43443CEC"/>
    <w:rsid w:val="4352798F"/>
    <w:rsid w:val="4355B222"/>
    <w:rsid w:val="439BB456"/>
    <w:rsid w:val="43A500FA"/>
    <w:rsid w:val="43BB280B"/>
    <w:rsid w:val="43C06D9B"/>
    <w:rsid w:val="43CDA710"/>
    <w:rsid w:val="43CFC3DB"/>
    <w:rsid w:val="43D0A64A"/>
    <w:rsid w:val="43DF0179"/>
    <w:rsid w:val="43E72DE2"/>
    <w:rsid w:val="43F32DE6"/>
    <w:rsid w:val="43F3DEE0"/>
    <w:rsid w:val="43F7D8F9"/>
    <w:rsid w:val="43FD8B04"/>
    <w:rsid w:val="44139E55"/>
    <w:rsid w:val="442897E8"/>
    <w:rsid w:val="44364C6C"/>
    <w:rsid w:val="4448659B"/>
    <w:rsid w:val="444B8E69"/>
    <w:rsid w:val="4456ADCA"/>
    <w:rsid w:val="445A2C82"/>
    <w:rsid w:val="44CC85AD"/>
    <w:rsid w:val="44DC6725"/>
    <w:rsid w:val="45497077"/>
    <w:rsid w:val="45568D67"/>
    <w:rsid w:val="4572FDE5"/>
    <w:rsid w:val="457A14E4"/>
    <w:rsid w:val="4596B5CA"/>
    <w:rsid w:val="45A53E94"/>
    <w:rsid w:val="45A88EE5"/>
    <w:rsid w:val="45B772CD"/>
    <w:rsid w:val="45BE564D"/>
    <w:rsid w:val="45C566C9"/>
    <w:rsid w:val="45C61242"/>
    <w:rsid w:val="45C8D95A"/>
    <w:rsid w:val="45F0BC05"/>
    <w:rsid w:val="45FE774D"/>
    <w:rsid w:val="4608A176"/>
    <w:rsid w:val="4609C70C"/>
    <w:rsid w:val="463387BE"/>
    <w:rsid w:val="463A8321"/>
    <w:rsid w:val="46557882"/>
    <w:rsid w:val="4661E6AC"/>
    <w:rsid w:val="46625643"/>
    <w:rsid w:val="4673E57B"/>
    <w:rsid w:val="46C35B4B"/>
    <w:rsid w:val="46D9C3F7"/>
    <w:rsid w:val="46FDED4D"/>
    <w:rsid w:val="473B814F"/>
    <w:rsid w:val="473C6BD8"/>
    <w:rsid w:val="4764E781"/>
    <w:rsid w:val="476716C8"/>
    <w:rsid w:val="476D59B9"/>
    <w:rsid w:val="47748253"/>
    <w:rsid w:val="477A5ACC"/>
    <w:rsid w:val="47941DE0"/>
    <w:rsid w:val="4798036D"/>
    <w:rsid w:val="47B6F7C0"/>
    <w:rsid w:val="47B86224"/>
    <w:rsid w:val="47CA14A7"/>
    <w:rsid w:val="47D664C8"/>
    <w:rsid w:val="47E734EA"/>
    <w:rsid w:val="480412D6"/>
    <w:rsid w:val="481019A2"/>
    <w:rsid w:val="48184DFA"/>
    <w:rsid w:val="484A0EC7"/>
    <w:rsid w:val="484F1C29"/>
    <w:rsid w:val="486A08FD"/>
    <w:rsid w:val="486D7567"/>
    <w:rsid w:val="48772EC5"/>
    <w:rsid w:val="4881B54D"/>
    <w:rsid w:val="48877B9A"/>
    <w:rsid w:val="48977399"/>
    <w:rsid w:val="489B333E"/>
    <w:rsid w:val="48AA9EA7"/>
    <w:rsid w:val="48AB3460"/>
    <w:rsid w:val="48B84C8C"/>
    <w:rsid w:val="48C3FA60"/>
    <w:rsid w:val="48C51F8A"/>
    <w:rsid w:val="48CCB4C6"/>
    <w:rsid w:val="48CFC88A"/>
    <w:rsid w:val="48D59CA7"/>
    <w:rsid w:val="48DE10D0"/>
    <w:rsid w:val="48E07130"/>
    <w:rsid w:val="48E47772"/>
    <w:rsid w:val="48EE7C3F"/>
    <w:rsid w:val="48F09A83"/>
    <w:rsid w:val="490DF941"/>
    <w:rsid w:val="491733EB"/>
    <w:rsid w:val="4917F4A7"/>
    <w:rsid w:val="491B4DF6"/>
    <w:rsid w:val="4924EECF"/>
    <w:rsid w:val="492BDD64"/>
    <w:rsid w:val="49338C40"/>
    <w:rsid w:val="493C7393"/>
    <w:rsid w:val="495917F5"/>
    <w:rsid w:val="4971FE00"/>
    <w:rsid w:val="49805D01"/>
    <w:rsid w:val="49866AB1"/>
    <w:rsid w:val="4989C219"/>
    <w:rsid w:val="4993E045"/>
    <w:rsid w:val="4994FB73"/>
    <w:rsid w:val="49BA7648"/>
    <w:rsid w:val="49C9330D"/>
    <w:rsid w:val="49F3ADDF"/>
    <w:rsid w:val="4A4A940D"/>
    <w:rsid w:val="4A67B179"/>
    <w:rsid w:val="4A697F2E"/>
    <w:rsid w:val="4A7402B9"/>
    <w:rsid w:val="4A7F1202"/>
    <w:rsid w:val="4A8259FD"/>
    <w:rsid w:val="4A8B64A1"/>
    <w:rsid w:val="4A99E296"/>
    <w:rsid w:val="4A9D3039"/>
    <w:rsid w:val="4AAAE4D4"/>
    <w:rsid w:val="4AAF09EC"/>
    <w:rsid w:val="4AC780D9"/>
    <w:rsid w:val="4ADD3753"/>
    <w:rsid w:val="4AE0410F"/>
    <w:rsid w:val="4AE13567"/>
    <w:rsid w:val="4AF6D311"/>
    <w:rsid w:val="4B1ADD10"/>
    <w:rsid w:val="4B50E920"/>
    <w:rsid w:val="4B51E5DF"/>
    <w:rsid w:val="4B64DB06"/>
    <w:rsid w:val="4B7AA442"/>
    <w:rsid w:val="4B824AD4"/>
    <w:rsid w:val="4B9161C5"/>
    <w:rsid w:val="4B941CB1"/>
    <w:rsid w:val="4BA7A058"/>
    <w:rsid w:val="4BB9CB03"/>
    <w:rsid w:val="4BBD5EBD"/>
    <w:rsid w:val="4BD8676A"/>
    <w:rsid w:val="4BE78857"/>
    <w:rsid w:val="4BF02089"/>
    <w:rsid w:val="4BF77A1F"/>
    <w:rsid w:val="4BFAB2DD"/>
    <w:rsid w:val="4C0D2B7C"/>
    <w:rsid w:val="4C0FCD39"/>
    <w:rsid w:val="4C1E7F24"/>
    <w:rsid w:val="4C2FA085"/>
    <w:rsid w:val="4C3216A9"/>
    <w:rsid w:val="4C32E0BF"/>
    <w:rsid w:val="4C330D4D"/>
    <w:rsid w:val="4C47C4B7"/>
    <w:rsid w:val="4C489678"/>
    <w:rsid w:val="4C49B541"/>
    <w:rsid w:val="4C5E585D"/>
    <w:rsid w:val="4C61055A"/>
    <w:rsid w:val="4C70B4A4"/>
    <w:rsid w:val="4C827F7D"/>
    <w:rsid w:val="4C886DCD"/>
    <w:rsid w:val="4CACFA52"/>
    <w:rsid w:val="4CAD9E58"/>
    <w:rsid w:val="4CB6366F"/>
    <w:rsid w:val="4CB9C5F8"/>
    <w:rsid w:val="4CDF85AF"/>
    <w:rsid w:val="4CE00315"/>
    <w:rsid w:val="4CE57AF9"/>
    <w:rsid w:val="4CE6584E"/>
    <w:rsid w:val="4CF5A175"/>
    <w:rsid w:val="4D017386"/>
    <w:rsid w:val="4D056BA5"/>
    <w:rsid w:val="4D13691E"/>
    <w:rsid w:val="4D141658"/>
    <w:rsid w:val="4D166FC5"/>
    <w:rsid w:val="4D25A671"/>
    <w:rsid w:val="4D3C6ACD"/>
    <w:rsid w:val="4D448B01"/>
    <w:rsid w:val="4D4A995D"/>
    <w:rsid w:val="4D51741C"/>
    <w:rsid w:val="4D6159F9"/>
    <w:rsid w:val="4D74E742"/>
    <w:rsid w:val="4D77411B"/>
    <w:rsid w:val="4D7B7AE9"/>
    <w:rsid w:val="4D81EA05"/>
    <w:rsid w:val="4D85E9B0"/>
    <w:rsid w:val="4D8B31DE"/>
    <w:rsid w:val="4D912805"/>
    <w:rsid w:val="4D934FB0"/>
    <w:rsid w:val="4DA63C4A"/>
    <w:rsid w:val="4DB75892"/>
    <w:rsid w:val="4DCB3A48"/>
    <w:rsid w:val="4DD8C2B5"/>
    <w:rsid w:val="4DDD9F89"/>
    <w:rsid w:val="4DE093BB"/>
    <w:rsid w:val="4DEF37D3"/>
    <w:rsid w:val="4DF3B443"/>
    <w:rsid w:val="4DFC91C3"/>
    <w:rsid w:val="4E18909F"/>
    <w:rsid w:val="4E1CA057"/>
    <w:rsid w:val="4E3C767D"/>
    <w:rsid w:val="4E6096C8"/>
    <w:rsid w:val="4E778D60"/>
    <w:rsid w:val="4E7DDE4E"/>
    <w:rsid w:val="4E822CB7"/>
    <w:rsid w:val="4E896F37"/>
    <w:rsid w:val="4E8ED289"/>
    <w:rsid w:val="4EA5EE4E"/>
    <w:rsid w:val="4EAB72D6"/>
    <w:rsid w:val="4EDC2E27"/>
    <w:rsid w:val="4F018355"/>
    <w:rsid w:val="4F1F0393"/>
    <w:rsid w:val="4F2BBD19"/>
    <w:rsid w:val="4F391884"/>
    <w:rsid w:val="4F3A7A2A"/>
    <w:rsid w:val="4F3A9D85"/>
    <w:rsid w:val="4F3AD17D"/>
    <w:rsid w:val="4F4D1D79"/>
    <w:rsid w:val="4F566FC2"/>
    <w:rsid w:val="4F7E8EC1"/>
    <w:rsid w:val="4F8C5FE7"/>
    <w:rsid w:val="4F9452DF"/>
    <w:rsid w:val="4FBD384F"/>
    <w:rsid w:val="4FC4AA14"/>
    <w:rsid w:val="4FC51988"/>
    <w:rsid w:val="4FD0A460"/>
    <w:rsid w:val="4FD12FBA"/>
    <w:rsid w:val="4FD81FBC"/>
    <w:rsid w:val="4FDF8B43"/>
    <w:rsid w:val="4FEF00AC"/>
    <w:rsid w:val="4FF937D2"/>
    <w:rsid w:val="50007EC8"/>
    <w:rsid w:val="501F7267"/>
    <w:rsid w:val="50348231"/>
    <w:rsid w:val="50577240"/>
    <w:rsid w:val="505AD9B3"/>
    <w:rsid w:val="5076FABB"/>
    <w:rsid w:val="508DE0CF"/>
    <w:rsid w:val="509366F7"/>
    <w:rsid w:val="5098FDA2"/>
    <w:rsid w:val="50BCDDBD"/>
    <w:rsid w:val="50C8F0D3"/>
    <w:rsid w:val="50CFF7D0"/>
    <w:rsid w:val="50D4A9DC"/>
    <w:rsid w:val="50D4F371"/>
    <w:rsid w:val="50DB1C22"/>
    <w:rsid w:val="50DC8F9F"/>
    <w:rsid w:val="50E47D25"/>
    <w:rsid w:val="50E9C81C"/>
    <w:rsid w:val="50ECBC78"/>
    <w:rsid w:val="50EF8CE4"/>
    <w:rsid w:val="50F0875A"/>
    <w:rsid w:val="510756C7"/>
    <w:rsid w:val="510ADBFB"/>
    <w:rsid w:val="511CA51A"/>
    <w:rsid w:val="511FD0A2"/>
    <w:rsid w:val="5153ADEF"/>
    <w:rsid w:val="51544393"/>
    <w:rsid w:val="5161F833"/>
    <w:rsid w:val="5168CFA9"/>
    <w:rsid w:val="516CE0A9"/>
    <w:rsid w:val="517F5B4C"/>
    <w:rsid w:val="5183BB01"/>
    <w:rsid w:val="51AFC909"/>
    <w:rsid w:val="51C00EE8"/>
    <w:rsid w:val="51C6B108"/>
    <w:rsid w:val="51CA4FFF"/>
    <w:rsid w:val="51D829C0"/>
    <w:rsid w:val="51DA9807"/>
    <w:rsid w:val="52019DC6"/>
    <w:rsid w:val="5206F699"/>
    <w:rsid w:val="520A38D0"/>
    <w:rsid w:val="521767A6"/>
    <w:rsid w:val="522447BD"/>
    <w:rsid w:val="52449396"/>
    <w:rsid w:val="52465E3A"/>
    <w:rsid w:val="526A5494"/>
    <w:rsid w:val="5272315B"/>
    <w:rsid w:val="5282C601"/>
    <w:rsid w:val="5287DB83"/>
    <w:rsid w:val="52941148"/>
    <w:rsid w:val="529E4A3A"/>
    <w:rsid w:val="52B6838D"/>
    <w:rsid w:val="52B70500"/>
    <w:rsid w:val="52C8342A"/>
    <w:rsid w:val="52CAA14A"/>
    <w:rsid w:val="52CC2223"/>
    <w:rsid w:val="52D2387F"/>
    <w:rsid w:val="52E9DBFC"/>
    <w:rsid w:val="53115756"/>
    <w:rsid w:val="5345BB3E"/>
    <w:rsid w:val="5345ED13"/>
    <w:rsid w:val="535EC8D7"/>
    <w:rsid w:val="536A4603"/>
    <w:rsid w:val="536CBA40"/>
    <w:rsid w:val="538147F0"/>
    <w:rsid w:val="538EB597"/>
    <w:rsid w:val="53A39F03"/>
    <w:rsid w:val="53AA8BB2"/>
    <w:rsid w:val="53AE42A7"/>
    <w:rsid w:val="53AF2CDB"/>
    <w:rsid w:val="53B37B5C"/>
    <w:rsid w:val="53BCD90E"/>
    <w:rsid w:val="53DAC4B1"/>
    <w:rsid w:val="53F38F26"/>
    <w:rsid w:val="53FB205E"/>
    <w:rsid w:val="53FB9AD8"/>
    <w:rsid w:val="540BF8E6"/>
    <w:rsid w:val="542DDE5E"/>
    <w:rsid w:val="543D9316"/>
    <w:rsid w:val="545110C6"/>
    <w:rsid w:val="5465761A"/>
    <w:rsid w:val="5478C690"/>
    <w:rsid w:val="548502B9"/>
    <w:rsid w:val="548B8352"/>
    <w:rsid w:val="549A7615"/>
    <w:rsid w:val="54A2971B"/>
    <w:rsid w:val="54ADFE6F"/>
    <w:rsid w:val="54AF6915"/>
    <w:rsid w:val="54CFC2CB"/>
    <w:rsid w:val="54D69EA8"/>
    <w:rsid w:val="54D8FA7D"/>
    <w:rsid w:val="54DA95FE"/>
    <w:rsid w:val="54E067F0"/>
    <w:rsid w:val="54E27807"/>
    <w:rsid w:val="54E7DD58"/>
    <w:rsid w:val="5516FFF9"/>
    <w:rsid w:val="5528F154"/>
    <w:rsid w:val="552E9949"/>
    <w:rsid w:val="553B14A4"/>
    <w:rsid w:val="553C0E4B"/>
    <w:rsid w:val="554675FC"/>
    <w:rsid w:val="556C7F48"/>
    <w:rsid w:val="558A465D"/>
    <w:rsid w:val="55960304"/>
    <w:rsid w:val="55A071C0"/>
    <w:rsid w:val="55A2752E"/>
    <w:rsid w:val="55AD38CB"/>
    <w:rsid w:val="55B7C836"/>
    <w:rsid w:val="55B8025F"/>
    <w:rsid w:val="55C19A37"/>
    <w:rsid w:val="55C3C5E5"/>
    <w:rsid w:val="55DEE630"/>
    <w:rsid w:val="55FA23E7"/>
    <w:rsid w:val="56248917"/>
    <w:rsid w:val="564D1993"/>
    <w:rsid w:val="5659974E"/>
    <w:rsid w:val="567CF68E"/>
    <w:rsid w:val="569A5826"/>
    <w:rsid w:val="56AD4E23"/>
    <w:rsid w:val="56AEFDBA"/>
    <w:rsid w:val="56B56531"/>
    <w:rsid w:val="56C11D41"/>
    <w:rsid w:val="56C39F5E"/>
    <w:rsid w:val="56DA4DF9"/>
    <w:rsid w:val="56DFA447"/>
    <w:rsid w:val="56F34C8B"/>
    <w:rsid w:val="5701EEDA"/>
    <w:rsid w:val="5717E214"/>
    <w:rsid w:val="571B9014"/>
    <w:rsid w:val="5727C2D5"/>
    <w:rsid w:val="572CB199"/>
    <w:rsid w:val="572F5C52"/>
    <w:rsid w:val="573380C5"/>
    <w:rsid w:val="573A964C"/>
    <w:rsid w:val="57495BE7"/>
    <w:rsid w:val="5766D116"/>
    <w:rsid w:val="5769A389"/>
    <w:rsid w:val="5772AAA6"/>
    <w:rsid w:val="577F9B07"/>
    <w:rsid w:val="577FD68E"/>
    <w:rsid w:val="579B2DBC"/>
    <w:rsid w:val="579E317F"/>
    <w:rsid w:val="57A72EC5"/>
    <w:rsid w:val="57A808E4"/>
    <w:rsid w:val="57AD30C0"/>
    <w:rsid w:val="57C4F353"/>
    <w:rsid w:val="57DED094"/>
    <w:rsid w:val="57E9F9C8"/>
    <w:rsid w:val="5802F8C4"/>
    <w:rsid w:val="58035064"/>
    <w:rsid w:val="5825A26B"/>
    <w:rsid w:val="5839E3BF"/>
    <w:rsid w:val="58417242"/>
    <w:rsid w:val="585205BB"/>
    <w:rsid w:val="58552BCE"/>
    <w:rsid w:val="5856B2F3"/>
    <w:rsid w:val="585DBF3A"/>
    <w:rsid w:val="58680E8F"/>
    <w:rsid w:val="58835C15"/>
    <w:rsid w:val="589E817D"/>
    <w:rsid w:val="58AB7C70"/>
    <w:rsid w:val="58B7269C"/>
    <w:rsid w:val="58BB4E5A"/>
    <w:rsid w:val="58C85198"/>
    <w:rsid w:val="58CD0C93"/>
    <w:rsid w:val="58CE42E9"/>
    <w:rsid w:val="58E172DF"/>
    <w:rsid w:val="58F42085"/>
    <w:rsid w:val="58F4E380"/>
    <w:rsid w:val="58FF6E1C"/>
    <w:rsid w:val="5903F802"/>
    <w:rsid w:val="592D98B1"/>
    <w:rsid w:val="5933FE90"/>
    <w:rsid w:val="5949F393"/>
    <w:rsid w:val="594E5AA2"/>
    <w:rsid w:val="595674DF"/>
    <w:rsid w:val="59795F0A"/>
    <w:rsid w:val="599D5F46"/>
    <w:rsid w:val="59E4A575"/>
    <w:rsid w:val="59F4BA4A"/>
    <w:rsid w:val="59FFE63A"/>
    <w:rsid w:val="5A02F299"/>
    <w:rsid w:val="5A0CA9AC"/>
    <w:rsid w:val="5A11BC7C"/>
    <w:rsid w:val="5A54131D"/>
    <w:rsid w:val="5A5C21FE"/>
    <w:rsid w:val="5A62FDE1"/>
    <w:rsid w:val="5A78C594"/>
    <w:rsid w:val="5A79A4DD"/>
    <w:rsid w:val="5A7E09FC"/>
    <w:rsid w:val="5A87F703"/>
    <w:rsid w:val="5A9C17FF"/>
    <w:rsid w:val="5AA1CA2A"/>
    <w:rsid w:val="5AAC89C0"/>
    <w:rsid w:val="5AADB9EB"/>
    <w:rsid w:val="5AAE3144"/>
    <w:rsid w:val="5ABD59FB"/>
    <w:rsid w:val="5AC54A7D"/>
    <w:rsid w:val="5AC6EB9F"/>
    <w:rsid w:val="5ACB628E"/>
    <w:rsid w:val="5B3A6E30"/>
    <w:rsid w:val="5B560205"/>
    <w:rsid w:val="5B581571"/>
    <w:rsid w:val="5B722670"/>
    <w:rsid w:val="5B7491A9"/>
    <w:rsid w:val="5B7FEB18"/>
    <w:rsid w:val="5B974186"/>
    <w:rsid w:val="5BAE5D9A"/>
    <w:rsid w:val="5BB56B0E"/>
    <w:rsid w:val="5BB5FB79"/>
    <w:rsid w:val="5BBCB283"/>
    <w:rsid w:val="5BC1AEF3"/>
    <w:rsid w:val="5BE069B6"/>
    <w:rsid w:val="5BE5DBD5"/>
    <w:rsid w:val="5BEA43BD"/>
    <w:rsid w:val="5BF19AD1"/>
    <w:rsid w:val="5C03765B"/>
    <w:rsid w:val="5C1720C0"/>
    <w:rsid w:val="5C1CA940"/>
    <w:rsid w:val="5C2933D7"/>
    <w:rsid w:val="5C2A4CF8"/>
    <w:rsid w:val="5C52477A"/>
    <w:rsid w:val="5C5D7737"/>
    <w:rsid w:val="5C661902"/>
    <w:rsid w:val="5C95F44A"/>
    <w:rsid w:val="5C9BC1AF"/>
    <w:rsid w:val="5CA5308C"/>
    <w:rsid w:val="5CC29434"/>
    <w:rsid w:val="5CC47526"/>
    <w:rsid w:val="5CD4D242"/>
    <w:rsid w:val="5CD4DC61"/>
    <w:rsid w:val="5CE13679"/>
    <w:rsid w:val="5CFB33FA"/>
    <w:rsid w:val="5CFC0CDF"/>
    <w:rsid w:val="5CFF6EA3"/>
    <w:rsid w:val="5D0A39A6"/>
    <w:rsid w:val="5D0ABA03"/>
    <w:rsid w:val="5D302A87"/>
    <w:rsid w:val="5D3A99E9"/>
    <w:rsid w:val="5D3C2785"/>
    <w:rsid w:val="5D52589E"/>
    <w:rsid w:val="5D656F29"/>
    <w:rsid w:val="5D84FC7B"/>
    <w:rsid w:val="5D88677E"/>
    <w:rsid w:val="5D8AD527"/>
    <w:rsid w:val="5D9DB394"/>
    <w:rsid w:val="5DB6B8B3"/>
    <w:rsid w:val="5DBAA31A"/>
    <w:rsid w:val="5DCF073C"/>
    <w:rsid w:val="5DF059D6"/>
    <w:rsid w:val="5E0CDC81"/>
    <w:rsid w:val="5E20482F"/>
    <w:rsid w:val="5E2902E1"/>
    <w:rsid w:val="5E43F1C7"/>
    <w:rsid w:val="5E54AA22"/>
    <w:rsid w:val="5E5B5776"/>
    <w:rsid w:val="5E5D5F84"/>
    <w:rsid w:val="5E658E4B"/>
    <w:rsid w:val="5E6F0E63"/>
    <w:rsid w:val="5E714FB1"/>
    <w:rsid w:val="5E72A24F"/>
    <w:rsid w:val="5E7CD0E6"/>
    <w:rsid w:val="5E92900D"/>
    <w:rsid w:val="5EA8A6F5"/>
    <w:rsid w:val="5EB1C7DE"/>
    <w:rsid w:val="5ED9154B"/>
    <w:rsid w:val="5EE3B0A1"/>
    <w:rsid w:val="5EF6B44D"/>
    <w:rsid w:val="5F045463"/>
    <w:rsid w:val="5F209617"/>
    <w:rsid w:val="5F257414"/>
    <w:rsid w:val="5F37299E"/>
    <w:rsid w:val="5F3FD30B"/>
    <w:rsid w:val="5F3FEBFC"/>
    <w:rsid w:val="5F42AD10"/>
    <w:rsid w:val="5F4922CE"/>
    <w:rsid w:val="5F549574"/>
    <w:rsid w:val="5F5861AB"/>
    <w:rsid w:val="5F5ED08E"/>
    <w:rsid w:val="5F677302"/>
    <w:rsid w:val="5F8B6426"/>
    <w:rsid w:val="5F8E7C19"/>
    <w:rsid w:val="5F93896B"/>
    <w:rsid w:val="5F945B40"/>
    <w:rsid w:val="5FBBAC76"/>
    <w:rsid w:val="5FC5A3E7"/>
    <w:rsid w:val="5FD24F40"/>
    <w:rsid w:val="5FE29A30"/>
    <w:rsid w:val="5FE64CFD"/>
    <w:rsid w:val="5FF27A9C"/>
    <w:rsid w:val="600869B4"/>
    <w:rsid w:val="602869B0"/>
    <w:rsid w:val="602E2194"/>
    <w:rsid w:val="604EE47D"/>
    <w:rsid w:val="605F8E18"/>
    <w:rsid w:val="6073C117"/>
    <w:rsid w:val="60819880"/>
    <w:rsid w:val="60850F66"/>
    <w:rsid w:val="60A66112"/>
    <w:rsid w:val="60ADB468"/>
    <w:rsid w:val="60AFE035"/>
    <w:rsid w:val="60CA9658"/>
    <w:rsid w:val="60CF272B"/>
    <w:rsid w:val="60FF069D"/>
    <w:rsid w:val="61112E82"/>
    <w:rsid w:val="6123E2B8"/>
    <w:rsid w:val="61317F5C"/>
    <w:rsid w:val="613DA0A4"/>
    <w:rsid w:val="615B65E6"/>
    <w:rsid w:val="6176AD22"/>
    <w:rsid w:val="61A8332C"/>
    <w:rsid w:val="61B1B756"/>
    <w:rsid w:val="61B6925D"/>
    <w:rsid w:val="61C3FB40"/>
    <w:rsid w:val="61C5AD6B"/>
    <w:rsid w:val="61D1F845"/>
    <w:rsid w:val="61DCE7E5"/>
    <w:rsid w:val="61EE20AE"/>
    <w:rsid w:val="61F4FAF4"/>
    <w:rsid w:val="620196B7"/>
    <w:rsid w:val="6207080F"/>
    <w:rsid w:val="620BBE9B"/>
    <w:rsid w:val="6216FF14"/>
    <w:rsid w:val="622174AA"/>
    <w:rsid w:val="6225BD4C"/>
    <w:rsid w:val="623621B9"/>
    <w:rsid w:val="625F72B6"/>
    <w:rsid w:val="62603503"/>
    <w:rsid w:val="627CD05C"/>
    <w:rsid w:val="62B26AAD"/>
    <w:rsid w:val="62C1D939"/>
    <w:rsid w:val="62C67DD1"/>
    <w:rsid w:val="62CA4AF5"/>
    <w:rsid w:val="62E1C81B"/>
    <w:rsid w:val="62EFA348"/>
    <w:rsid w:val="62F2EE7C"/>
    <w:rsid w:val="62F9B61E"/>
    <w:rsid w:val="6318BB3E"/>
    <w:rsid w:val="6319CAE7"/>
    <w:rsid w:val="633CF4AE"/>
    <w:rsid w:val="63486A5B"/>
    <w:rsid w:val="63651CF3"/>
    <w:rsid w:val="6366C664"/>
    <w:rsid w:val="637F3271"/>
    <w:rsid w:val="638EF201"/>
    <w:rsid w:val="63B3ED67"/>
    <w:rsid w:val="63BD67CC"/>
    <w:rsid w:val="63C1B112"/>
    <w:rsid w:val="63E8C855"/>
    <w:rsid w:val="63EC5008"/>
    <w:rsid w:val="63EE9346"/>
    <w:rsid w:val="63F3A4B3"/>
    <w:rsid w:val="63F9BC39"/>
    <w:rsid w:val="64058759"/>
    <w:rsid w:val="6412AE61"/>
    <w:rsid w:val="641AB6F4"/>
    <w:rsid w:val="641D3610"/>
    <w:rsid w:val="643241B1"/>
    <w:rsid w:val="64358879"/>
    <w:rsid w:val="6446A4E7"/>
    <w:rsid w:val="6452B692"/>
    <w:rsid w:val="646D6C2E"/>
    <w:rsid w:val="646DA4D9"/>
    <w:rsid w:val="64951CD9"/>
    <w:rsid w:val="64A26B9E"/>
    <w:rsid w:val="64A2DE20"/>
    <w:rsid w:val="64B625E6"/>
    <w:rsid w:val="64B6B941"/>
    <w:rsid w:val="64BB326A"/>
    <w:rsid w:val="64BBE458"/>
    <w:rsid w:val="64BDD1CF"/>
    <w:rsid w:val="64EAD06D"/>
    <w:rsid w:val="64FB9619"/>
    <w:rsid w:val="64FD482B"/>
    <w:rsid w:val="650AFC62"/>
    <w:rsid w:val="651620B4"/>
    <w:rsid w:val="6526156B"/>
    <w:rsid w:val="653A9974"/>
    <w:rsid w:val="653F5A86"/>
    <w:rsid w:val="65450D2A"/>
    <w:rsid w:val="6550F3F1"/>
    <w:rsid w:val="6553B309"/>
    <w:rsid w:val="65591BB1"/>
    <w:rsid w:val="65606E00"/>
    <w:rsid w:val="65681EC7"/>
    <w:rsid w:val="6585022C"/>
    <w:rsid w:val="659EB8A8"/>
    <w:rsid w:val="65A0AC94"/>
    <w:rsid w:val="65C2F806"/>
    <w:rsid w:val="65CFA1E1"/>
    <w:rsid w:val="65E5D729"/>
    <w:rsid w:val="65F06178"/>
    <w:rsid w:val="65FC6590"/>
    <w:rsid w:val="65FF3B9F"/>
    <w:rsid w:val="66231547"/>
    <w:rsid w:val="6638B21A"/>
    <w:rsid w:val="664472D8"/>
    <w:rsid w:val="6658E8EC"/>
    <w:rsid w:val="66591628"/>
    <w:rsid w:val="66741997"/>
    <w:rsid w:val="66879CF0"/>
    <w:rsid w:val="668D9874"/>
    <w:rsid w:val="66ACB40B"/>
    <w:rsid w:val="66D236D7"/>
    <w:rsid w:val="66D2C354"/>
    <w:rsid w:val="66DE962B"/>
    <w:rsid w:val="66EFBDEA"/>
    <w:rsid w:val="6708560E"/>
    <w:rsid w:val="671D86BC"/>
    <w:rsid w:val="672D453F"/>
    <w:rsid w:val="6730F33A"/>
    <w:rsid w:val="673CD5A2"/>
    <w:rsid w:val="67586B68"/>
    <w:rsid w:val="675DBDBC"/>
    <w:rsid w:val="6770181C"/>
    <w:rsid w:val="6780BDF3"/>
    <w:rsid w:val="6783BE3E"/>
    <w:rsid w:val="67860809"/>
    <w:rsid w:val="678B7237"/>
    <w:rsid w:val="67A91885"/>
    <w:rsid w:val="67AD4617"/>
    <w:rsid w:val="67CEEAA3"/>
    <w:rsid w:val="67D70B0D"/>
    <w:rsid w:val="67DC9451"/>
    <w:rsid w:val="67E3B0A8"/>
    <w:rsid w:val="67FD7CB5"/>
    <w:rsid w:val="67FF7035"/>
    <w:rsid w:val="680DDB7E"/>
    <w:rsid w:val="681B6D13"/>
    <w:rsid w:val="68203DE8"/>
    <w:rsid w:val="682A8789"/>
    <w:rsid w:val="682D58B9"/>
    <w:rsid w:val="684EAADE"/>
    <w:rsid w:val="68577313"/>
    <w:rsid w:val="68685279"/>
    <w:rsid w:val="68ADEA74"/>
    <w:rsid w:val="68B206A1"/>
    <w:rsid w:val="68B83000"/>
    <w:rsid w:val="68BF7F3F"/>
    <w:rsid w:val="68C740B3"/>
    <w:rsid w:val="68D49B9D"/>
    <w:rsid w:val="68D5F324"/>
    <w:rsid w:val="68E17487"/>
    <w:rsid w:val="690B5AD5"/>
    <w:rsid w:val="690CDF03"/>
    <w:rsid w:val="6916D91F"/>
    <w:rsid w:val="6929635C"/>
    <w:rsid w:val="69346C7D"/>
    <w:rsid w:val="6939BF7F"/>
    <w:rsid w:val="6959FD95"/>
    <w:rsid w:val="695BAD81"/>
    <w:rsid w:val="697CFFDA"/>
    <w:rsid w:val="698ACEA1"/>
    <w:rsid w:val="69B0423C"/>
    <w:rsid w:val="69B4C709"/>
    <w:rsid w:val="69B8F610"/>
    <w:rsid w:val="69C042F6"/>
    <w:rsid w:val="69CE6EAC"/>
    <w:rsid w:val="69DF5B81"/>
    <w:rsid w:val="69F4F4CF"/>
    <w:rsid w:val="6A121C90"/>
    <w:rsid w:val="6A2605B8"/>
    <w:rsid w:val="6A26A188"/>
    <w:rsid w:val="6A2C3617"/>
    <w:rsid w:val="6A318691"/>
    <w:rsid w:val="6A329EA5"/>
    <w:rsid w:val="6A381429"/>
    <w:rsid w:val="6A405C72"/>
    <w:rsid w:val="6A42E464"/>
    <w:rsid w:val="6A478CC6"/>
    <w:rsid w:val="6A4F6829"/>
    <w:rsid w:val="6A60D351"/>
    <w:rsid w:val="6A611E4D"/>
    <w:rsid w:val="6A6763BF"/>
    <w:rsid w:val="6A77F2A3"/>
    <w:rsid w:val="6A80DCBE"/>
    <w:rsid w:val="6A815871"/>
    <w:rsid w:val="6A9A69EF"/>
    <w:rsid w:val="6AA1C261"/>
    <w:rsid w:val="6AA2A9E7"/>
    <w:rsid w:val="6AA7C387"/>
    <w:rsid w:val="6AB98406"/>
    <w:rsid w:val="6AC6F909"/>
    <w:rsid w:val="6AD08324"/>
    <w:rsid w:val="6AED92D8"/>
    <w:rsid w:val="6B1059E2"/>
    <w:rsid w:val="6B31E6CE"/>
    <w:rsid w:val="6B3F8C11"/>
    <w:rsid w:val="6B539A01"/>
    <w:rsid w:val="6B5C1991"/>
    <w:rsid w:val="6B5DBB20"/>
    <w:rsid w:val="6B637C81"/>
    <w:rsid w:val="6B7CA7CF"/>
    <w:rsid w:val="6B833273"/>
    <w:rsid w:val="6BA3D0DA"/>
    <w:rsid w:val="6BA95568"/>
    <w:rsid w:val="6BBAEE2A"/>
    <w:rsid w:val="6BC2D879"/>
    <w:rsid w:val="6BF2A3EB"/>
    <w:rsid w:val="6BFA4940"/>
    <w:rsid w:val="6BFEB2F1"/>
    <w:rsid w:val="6C1138C0"/>
    <w:rsid w:val="6C28E6F0"/>
    <w:rsid w:val="6C29C01A"/>
    <w:rsid w:val="6C33B514"/>
    <w:rsid w:val="6C50327F"/>
    <w:rsid w:val="6C63008C"/>
    <w:rsid w:val="6C7A1A6D"/>
    <w:rsid w:val="6C9FDF72"/>
    <w:rsid w:val="6CC81FFD"/>
    <w:rsid w:val="6CDA08D7"/>
    <w:rsid w:val="6CE093CB"/>
    <w:rsid w:val="6CF588B4"/>
    <w:rsid w:val="6D0362AD"/>
    <w:rsid w:val="6D0DAE68"/>
    <w:rsid w:val="6D380C9F"/>
    <w:rsid w:val="6D483D2D"/>
    <w:rsid w:val="6D49C86C"/>
    <w:rsid w:val="6D529409"/>
    <w:rsid w:val="6D668594"/>
    <w:rsid w:val="6D67C13C"/>
    <w:rsid w:val="6D753903"/>
    <w:rsid w:val="6D77B7F4"/>
    <w:rsid w:val="6D7B435E"/>
    <w:rsid w:val="6D7EDBEE"/>
    <w:rsid w:val="6D87F596"/>
    <w:rsid w:val="6D89557A"/>
    <w:rsid w:val="6D8ADC7F"/>
    <w:rsid w:val="6DCBE490"/>
    <w:rsid w:val="6DE695DD"/>
    <w:rsid w:val="6DEDE84D"/>
    <w:rsid w:val="6E038359"/>
    <w:rsid w:val="6E090E89"/>
    <w:rsid w:val="6E24F45F"/>
    <w:rsid w:val="6E263AA2"/>
    <w:rsid w:val="6E267D74"/>
    <w:rsid w:val="6E2EA4E7"/>
    <w:rsid w:val="6E327686"/>
    <w:rsid w:val="6E3FF282"/>
    <w:rsid w:val="6E4D66A2"/>
    <w:rsid w:val="6E6EE347"/>
    <w:rsid w:val="6E8DBEBC"/>
    <w:rsid w:val="6E90E942"/>
    <w:rsid w:val="6E96CF5F"/>
    <w:rsid w:val="6E9BA8F1"/>
    <w:rsid w:val="6E9CF648"/>
    <w:rsid w:val="6EA24EDC"/>
    <w:rsid w:val="6EA38E95"/>
    <w:rsid w:val="6EA950C2"/>
    <w:rsid w:val="6EB96C07"/>
    <w:rsid w:val="6EE2D958"/>
    <w:rsid w:val="6EF8EAB6"/>
    <w:rsid w:val="6EFF90B0"/>
    <w:rsid w:val="6F00F3A4"/>
    <w:rsid w:val="6F03A322"/>
    <w:rsid w:val="6F101C4A"/>
    <w:rsid w:val="6F24C8A9"/>
    <w:rsid w:val="6F3369F0"/>
    <w:rsid w:val="6F709680"/>
    <w:rsid w:val="6F758054"/>
    <w:rsid w:val="6F815D9A"/>
    <w:rsid w:val="6F96BF1D"/>
    <w:rsid w:val="6F9883F1"/>
    <w:rsid w:val="6FA8A820"/>
    <w:rsid w:val="6FA9D796"/>
    <w:rsid w:val="6FB7D9FE"/>
    <w:rsid w:val="6FB936CD"/>
    <w:rsid w:val="6FBB2A8D"/>
    <w:rsid w:val="6FCC8BF8"/>
    <w:rsid w:val="6FF5F2EC"/>
    <w:rsid w:val="701AD0D6"/>
    <w:rsid w:val="7063DFD9"/>
    <w:rsid w:val="7073D66D"/>
    <w:rsid w:val="707E2125"/>
    <w:rsid w:val="70961E29"/>
    <w:rsid w:val="70BC59B2"/>
    <w:rsid w:val="70D875F9"/>
    <w:rsid w:val="7108F59F"/>
    <w:rsid w:val="710AE880"/>
    <w:rsid w:val="711471AC"/>
    <w:rsid w:val="711E6E60"/>
    <w:rsid w:val="713118E2"/>
    <w:rsid w:val="71335E7D"/>
    <w:rsid w:val="714614E7"/>
    <w:rsid w:val="71469B5E"/>
    <w:rsid w:val="7181AFB7"/>
    <w:rsid w:val="7189E122"/>
    <w:rsid w:val="7194EE44"/>
    <w:rsid w:val="719672FB"/>
    <w:rsid w:val="71971399"/>
    <w:rsid w:val="719777C0"/>
    <w:rsid w:val="719FF04F"/>
    <w:rsid w:val="71A9458A"/>
    <w:rsid w:val="71E53A4D"/>
    <w:rsid w:val="71E9C044"/>
    <w:rsid w:val="722491A7"/>
    <w:rsid w:val="72493D56"/>
    <w:rsid w:val="724A493B"/>
    <w:rsid w:val="724ECFE8"/>
    <w:rsid w:val="72914E90"/>
    <w:rsid w:val="7297D113"/>
    <w:rsid w:val="729A58DD"/>
    <w:rsid w:val="72A1FC05"/>
    <w:rsid w:val="72B9247F"/>
    <w:rsid w:val="72CCB302"/>
    <w:rsid w:val="72E62FF7"/>
    <w:rsid w:val="73033A21"/>
    <w:rsid w:val="7309D0E8"/>
    <w:rsid w:val="731366F9"/>
    <w:rsid w:val="73403221"/>
    <w:rsid w:val="736E0753"/>
    <w:rsid w:val="73838801"/>
    <w:rsid w:val="73B3FBB3"/>
    <w:rsid w:val="73B5F573"/>
    <w:rsid w:val="73BC29CE"/>
    <w:rsid w:val="73DEE2E5"/>
    <w:rsid w:val="73EB3EB7"/>
    <w:rsid w:val="73EBA942"/>
    <w:rsid w:val="740BE12C"/>
    <w:rsid w:val="74108768"/>
    <w:rsid w:val="74250704"/>
    <w:rsid w:val="742F13A7"/>
    <w:rsid w:val="74317E09"/>
    <w:rsid w:val="74466664"/>
    <w:rsid w:val="744EF875"/>
    <w:rsid w:val="74522F07"/>
    <w:rsid w:val="74595359"/>
    <w:rsid w:val="749A361A"/>
    <w:rsid w:val="74BE2270"/>
    <w:rsid w:val="74CA473C"/>
    <w:rsid w:val="74DCFB7C"/>
    <w:rsid w:val="74F850DB"/>
    <w:rsid w:val="7531D0FC"/>
    <w:rsid w:val="75575351"/>
    <w:rsid w:val="756B0C90"/>
    <w:rsid w:val="7572B3F4"/>
    <w:rsid w:val="757F8814"/>
    <w:rsid w:val="75912FDC"/>
    <w:rsid w:val="759CA865"/>
    <w:rsid w:val="75AEFA9A"/>
    <w:rsid w:val="75BC6832"/>
    <w:rsid w:val="75C869F4"/>
    <w:rsid w:val="75DC5CDD"/>
    <w:rsid w:val="75DCF2B1"/>
    <w:rsid w:val="7600D92B"/>
    <w:rsid w:val="76113DD9"/>
    <w:rsid w:val="76141E1A"/>
    <w:rsid w:val="761D516C"/>
    <w:rsid w:val="76200B73"/>
    <w:rsid w:val="762BD27C"/>
    <w:rsid w:val="766F7CF9"/>
    <w:rsid w:val="7673C714"/>
    <w:rsid w:val="76C719EB"/>
    <w:rsid w:val="76D19A09"/>
    <w:rsid w:val="76DEF854"/>
    <w:rsid w:val="76DFEAB3"/>
    <w:rsid w:val="76EBAC77"/>
    <w:rsid w:val="76F67C3E"/>
    <w:rsid w:val="76F68548"/>
    <w:rsid w:val="76F821FC"/>
    <w:rsid w:val="76FB2EAC"/>
    <w:rsid w:val="770132F7"/>
    <w:rsid w:val="771056C4"/>
    <w:rsid w:val="77171022"/>
    <w:rsid w:val="771A8D7E"/>
    <w:rsid w:val="7735579F"/>
    <w:rsid w:val="773CE82C"/>
    <w:rsid w:val="774CEC35"/>
    <w:rsid w:val="7770090B"/>
    <w:rsid w:val="777207FE"/>
    <w:rsid w:val="7779B122"/>
    <w:rsid w:val="777C9475"/>
    <w:rsid w:val="7780EAE3"/>
    <w:rsid w:val="77869075"/>
    <w:rsid w:val="778BEE89"/>
    <w:rsid w:val="77A1511C"/>
    <w:rsid w:val="77A887B2"/>
    <w:rsid w:val="77A8AF1A"/>
    <w:rsid w:val="77B47051"/>
    <w:rsid w:val="77BEBFD0"/>
    <w:rsid w:val="77DF8838"/>
    <w:rsid w:val="77EFE90B"/>
    <w:rsid w:val="77F48A93"/>
    <w:rsid w:val="77F54B90"/>
    <w:rsid w:val="77FBA671"/>
    <w:rsid w:val="78093A76"/>
    <w:rsid w:val="78155475"/>
    <w:rsid w:val="781EA6CB"/>
    <w:rsid w:val="78250195"/>
    <w:rsid w:val="783CCCFA"/>
    <w:rsid w:val="7842AC4F"/>
    <w:rsid w:val="786A8451"/>
    <w:rsid w:val="787044C2"/>
    <w:rsid w:val="787196C0"/>
    <w:rsid w:val="7889D398"/>
    <w:rsid w:val="78AEB620"/>
    <w:rsid w:val="78B0A025"/>
    <w:rsid w:val="78CECE21"/>
    <w:rsid w:val="78EEA16C"/>
    <w:rsid w:val="78F441F6"/>
    <w:rsid w:val="78FEF0B3"/>
    <w:rsid w:val="790227CB"/>
    <w:rsid w:val="790DC201"/>
    <w:rsid w:val="792313B0"/>
    <w:rsid w:val="792D1B6F"/>
    <w:rsid w:val="797482C5"/>
    <w:rsid w:val="799DE161"/>
    <w:rsid w:val="79A039BF"/>
    <w:rsid w:val="79B01004"/>
    <w:rsid w:val="79B0CB2F"/>
    <w:rsid w:val="79B34480"/>
    <w:rsid w:val="79C663D2"/>
    <w:rsid w:val="79E8EB0D"/>
    <w:rsid w:val="79EC3575"/>
    <w:rsid w:val="79F26306"/>
    <w:rsid w:val="7A0C27CD"/>
    <w:rsid w:val="7A4D5041"/>
    <w:rsid w:val="7A58B0D6"/>
    <w:rsid w:val="7A59F155"/>
    <w:rsid w:val="7A5A4378"/>
    <w:rsid w:val="7A5A98EB"/>
    <w:rsid w:val="7A5E36B2"/>
    <w:rsid w:val="7A763D93"/>
    <w:rsid w:val="7A93324C"/>
    <w:rsid w:val="7A94A72B"/>
    <w:rsid w:val="7A9A6E76"/>
    <w:rsid w:val="7AA30645"/>
    <w:rsid w:val="7AA90238"/>
    <w:rsid w:val="7AB70800"/>
    <w:rsid w:val="7AD22302"/>
    <w:rsid w:val="7AD8D8F6"/>
    <w:rsid w:val="7ADD5B64"/>
    <w:rsid w:val="7AE12610"/>
    <w:rsid w:val="7AEAA084"/>
    <w:rsid w:val="7B200687"/>
    <w:rsid w:val="7B30B9B7"/>
    <w:rsid w:val="7B353FAD"/>
    <w:rsid w:val="7B36A660"/>
    <w:rsid w:val="7B3C1E40"/>
    <w:rsid w:val="7B439A06"/>
    <w:rsid w:val="7B5B17A0"/>
    <w:rsid w:val="7B652B68"/>
    <w:rsid w:val="7B68595C"/>
    <w:rsid w:val="7B6B4D6A"/>
    <w:rsid w:val="7B6FC76B"/>
    <w:rsid w:val="7B749296"/>
    <w:rsid w:val="7BB13A3F"/>
    <w:rsid w:val="7BB59E6E"/>
    <w:rsid w:val="7BC92084"/>
    <w:rsid w:val="7BD4F798"/>
    <w:rsid w:val="7BE480E0"/>
    <w:rsid w:val="7BF0DBF4"/>
    <w:rsid w:val="7BF5EE14"/>
    <w:rsid w:val="7BF82B19"/>
    <w:rsid w:val="7C1ACDB2"/>
    <w:rsid w:val="7C318263"/>
    <w:rsid w:val="7C35D76B"/>
    <w:rsid w:val="7C4D49C4"/>
    <w:rsid w:val="7C73FF87"/>
    <w:rsid w:val="7C7AB98F"/>
    <w:rsid w:val="7C8C6A01"/>
    <w:rsid w:val="7C8FB046"/>
    <w:rsid w:val="7C996012"/>
    <w:rsid w:val="7C9F42E8"/>
    <w:rsid w:val="7CCE71CE"/>
    <w:rsid w:val="7CDEBE7D"/>
    <w:rsid w:val="7CE3021B"/>
    <w:rsid w:val="7CE7AD6B"/>
    <w:rsid w:val="7CF13BB5"/>
    <w:rsid w:val="7D113AF0"/>
    <w:rsid w:val="7D1184DB"/>
    <w:rsid w:val="7D1A34C8"/>
    <w:rsid w:val="7D23A224"/>
    <w:rsid w:val="7D254962"/>
    <w:rsid w:val="7D27B902"/>
    <w:rsid w:val="7D390B49"/>
    <w:rsid w:val="7D508F68"/>
    <w:rsid w:val="7D543E3B"/>
    <w:rsid w:val="7D60B45D"/>
    <w:rsid w:val="7D611528"/>
    <w:rsid w:val="7D74BB23"/>
    <w:rsid w:val="7D79E16D"/>
    <w:rsid w:val="7D8811BD"/>
    <w:rsid w:val="7DB90734"/>
    <w:rsid w:val="7DCF96AF"/>
    <w:rsid w:val="7DDA79E4"/>
    <w:rsid w:val="7DE4140B"/>
    <w:rsid w:val="7DF1EFDC"/>
    <w:rsid w:val="7E11A022"/>
    <w:rsid w:val="7E186448"/>
    <w:rsid w:val="7E1A2DE8"/>
    <w:rsid w:val="7E1EF6FA"/>
    <w:rsid w:val="7E2531B5"/>
    <w:rsid w:val="7E31C6B6"/>
    <w:rsid w:val="7E383FA8"/>
    <w:rsid w:val="7E556CAD"/>
    <w:rsid w:val="7E5BDF66"/>
    <w:rsid w:val="7E5C6D93"/>
    <w:rsid w:val="7E7017A4"/>
    <w:rsid w:val="7E7614E0"/>
    <w:rsid w:val="7E8FEA58"/>
    <w:rsid w:val="7E93FC82"/>
    <w:rsid w:val="7E9E153C"/>
    <w:rsid w:val="7EA114CD"/>
    <w:rsid w:val="7EC14676"/>
    <w:rsid w:val="7EF758B7"/>
    <w:rsid w:val="7EFB6979"/>
    <w:rsid w:val="7F0EF9BA"/>
    <w:rsid w:val="7F125C48"/>
    <w:rsid w:val="7F327410"/>
    <w:rsid w:val="7F44700D"/>
    <w:rsid w:val="7F61098D"/>
    <w:rsid w:val="7F684C4D"/>
    <w:rsid w:val="7F8EC9CD"/>
    <w:rsid w:val="7FA6A39F"/>
    <w:rsid w:val="7FB4EAFF"/>
    <w:rsid w:val="7FC00D0E"/>
    <w:rsid w:val="7FC4C400"/>
    <w:rsid w:val="7FEE3E94"/>
    <w:rsid w:val="7FF18A83"/>
    <w:rsid w:val="7FFD1C6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1508"/>
  <w15:chartTrackingRefBased/>
  <w15:docId w15:val="{768137A5-2F5A-4533-B420-4B9525D7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uiPriority="0" w:qFormat="1"/>
    <w:lsdException w:name="annotation text" w:semiHidden="1" w:uiPriority="0"/>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F1B"/>
    <w:pPr>
      <w:spacing w:before="120" w:after="120"/>
    </w:pPr>
    <w:rPr>
      <w:rFonts w:ascii="Calibri" w:hAnsi="Calibri"/>
    </w:rPr>
  </w:style>
  <w:style w:type="paragraph" w:styleId="Heading1">
    <w:name w:val="heading 1"/>
    <w:basedOn w:val="Heading2"/>
    <w:next w:val="Normal"/>
    <w:link w:val="Heading1Char"/>
    <w:uiPriority w:val="9"/>
    <w:qFormat/>
    <w:rsid w:val="00A7279D"/>
    <w:pPr>
      <w:spacing w:after="240" w:line="640" w:lineRule="exact"/>
      <w:outlineLvl w:val="0"/>
    </w:pPr>
    <w:rPr>
      <w:sz w:val="60"/>
      <w:szCs w:val="32"/>
    </w:rPr>
  </w:style>
  <w:style w:type="paragraph" w:styleId="Heading2">
    <w:name w:val="heading 2"/>
    <w:basedOn w:val="Normal"/>
    <w:next w:val="Normal"/>
    <w:link w:val="Heading2Char"/>
    <w:uiPriority w:val="9"/>
    <w:qFormat/>
    <w:rsid w:val="00A7279D"/>
    <w:pPr>
      <w:keepNext/>
      <w:keepLines/>
      <w:spacing w:before="240" w:after="60" w:line="240" w:lineRule="auto"/>
      <w:outlineLvl w:val="1"/>
    </w:pPr>
    <w:rPr>
      <w:rFonts w:eastAsiaTheme="majorEastAsia" w:cstheme="majorBidi"/>
      <w:color w:val="0F294C"/>
      <w:sz w:val="36"/>
      <w:szCs w:val="26"/>
    </w:rPr>
  </w:style>
  <w:style w:type="paragraph" w:styleId="Heading3">
    <w:name w:val="heading 3"/>
    <w:basedOn w:val="Heading4"/>
    <w:next w:val="Normal"/>
    <w:link w:val="Heading3Char"/>
    <w:autoRedefine/>
    <w:uiPriority w:val="9"/>
    <w:qFormat/>
    <w:rsid w:val="00FC0169"/>
    <w:pPr>
      <w:spacing w:before="180" w:after="100"/>
      <w:outlineLvl w:val="2"/>
    </w:pPr>
    <w:rPr>
      <w:i w:val="0"/>
      <w:sz w:val="26"/>
      <w:szCs w:val="24"/>
      <w:lang w:eastAsia="en-AU"/>
    </w:rPr>
  </w:style>
  <w:style w:type="paragraph" w:styleId="Heading4">
    <w:name w:val="heading 4"/>
    <w:basedOn w:val="Heading5"/>
    <w:next w:val="Normal"/>
    <w:link w:val="Heading4Char"/>
    <w:uiPriority w:val="9"/>
    <w:qFormat/>
    <w:rsid w:val="00E76557"/>
    <w:pPr>
      <w:outlineLvl w:val="3"/>
    </w:pPr>
    <w:rPr>
      <w:i/>
      <w:iCs/>
      <w:color w:val="auto"/>
      <w:sz w:val="24"/>
    </w:rPr>
  </w:style>
  <w:style w:type="paragraph" w:styleId="Heading5">
    <w:name w:val="heading 5"/>
    <w:basedOn w:val="Normal"/>
    <w:next w:val="Normal"/>
    <w:link w:val="Heading5Char"/>
    <w:uiPriority w:val="9"/>
    <w:semiHidden/>
    <w:rsid w:val="00813629"/>
    <w:pPr>
      <w:keepNext/>
      <w:keepLines/>
      <w:spacing w:before="40"/>
      <w:outlineLvl w:val="4"/>
    </w:pPr>
    <w:rPr>
      <w:rFonts w:eastAsiaTheme="majorEastAsia" w:cstheme="majorBidi"/>
      <w:b/>
      <w:color w:val="757575"/>
    </w:rPr>
  </w:style>
  <w:style w:type="paragraph" w:styleId="Heading6">
    <w:name w:val="heading 6"/>
    <w:basedOn w:val="Normal"/>
    <w:next w:val="Normal"/>
    <w:link w:val="Heading6Char"/>
    <w:uiPriority w:val="9"/>
    <w:semiHidden/>
    <w:rsid w:val="00813629"/>
    <w:pPr>
      <w:keepNext/>
      <w:keepLines/>
      <w:spacing w:before="40"/>
      <w:outlineLvl w:val="5"/>
    </w:pPr>
    <w:rPr>
      <w:rFonts w:eastAsiaTheme="majorEastAsia"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Heading1"/>
    <w:next w:val="Normal"/>
    <w:link w:val="TitleChar"/>
    <w:uiPriority w:val="10"/>
    <w:qFormat/>
    <w:rsid w:val="00C54C5D"/>
    <w:pPr>
      <w:tabs>
        <w:tab w:val="right" w:pos="3856"/>
      </w:tabs>
      <w:spacing w:before="1980" w:after="0" w:line="240" w:lineRule="auto"/>
      <w:ind w:left="397"/>
      <w:contextualSpacing/>
      <w:jc w:val="right"/>
    </w:pPr>
    <w:rPr>
      <w:rFonts w:ascii="Sylfaen" w:hAnsi="Sylfaen"/>
      <w:spacing w:val="-10"/>
      <w:kern w:val="28"/>
      <w:szCs w:val="56"/>
    </w:rPr>
  </w:style>
  <w:style w:type="character" w:customStyle="1" w:styleId="TitleChar">
    <w:name w:val="Title Char"/>
    <w:basedOn w:val="DefaultParagraphFont"/>
    <w:link w:val="Title"/>
    <w:uiPriority w:val="10"/>
    <w:rsid w:val="00C54C5D"/>
    <w:rPr>
      <w:rFonts w:ascii="Sylfaen" w:eastAsiaTheme="majorEastAsia" w:hAnsi="Sylfaen" w:cstheme="majorBidi"/>
      <w:color w:val="0F294C"/>
      <w:spacing w:val="-10"/>
      <w:kern w:val="28"/>
      <w:sz w:val="60"/>
      <w:szCs w:val="56"/>
    </w:rPr>
  </w:style>
  <w:style w:type="character" w:customStyle="1" w:styleId="Heading1Char">
    <w:name w:val="Heading 1 Char"/>
    <w:basedOn w:val="DefaultParagraphFont"/>
    <w:link w:val="Heading1"/>
    <w:uiPriority w:val="9"/>
    <w:rsid w:val="00A7279D"/>
    <w:rPr>
      <w:rFonts w:ascii="Calibri" w:eastAsiaTheme="majorEastAsia" w:hAnsi="Calibri" w:cstheme="majorBidi"/>
      <w:color w:val="0F294C"/>
      <w:sz w:val="60"/>
      <w:szCs w:val="32"/>
    </w:rPr>
  </w:style>
  <w:style w:type="character" w:customStyle="1" w:styleId="Heading2Char">
    <w:name w:val="Heading 2 Char"/>
    <w:basedOn w:val="DefaultParagraphFont"/>
    <w:link w:val="Heading2"/>
    <w:uiPriority w:val="9"/>
    <w:rsid w:val="00A7279D"/>
    <w:rPr>
      <w:rFonts w:ascii="Calibri" w:eastAsiaTheme="majorEastAsia" w:hAnsi="Calibri" w:cstheme="majorBidi"/>
      <w:color w:val="0F294C"/>
      <w:sz w:val="36"/>
      <w:szCs w:val="26"/>
    </w:rPr>
  </w:style>
  <w:style w:type="character" w:customStyle="1" w:styleId="Heading3Char">
    <w:name w:val="Heading 3 Char"/>
    <w:basedOn w:val="DefaultParagraphFont"/>
    <w:link w:val="Heading3"/>
    <w:uiPriority w:val="9"/>
    <w:rsid w:val="00FC0169"/>
    <w:rPr>
      <w:rFonts w:ascii="Calibri" w:eastAsiaTheme="majorEastAsia" w:hAnsi="Calibri" w:cstheme="majorBidi"/>
      <w:b/>
      <w:iCs/>
      <w:sz w:val="26"/>
      <w:szCs w:val="24"/>
      <w:lang w:eastAsia="en-AU"/>
    </w:rPr>
  </w:style>
  <w:style w:type="character" w:customStyle="1" w:styleId="Heading4Char">
    <w:name w:val="Heading 4 Char"/>
    <w:basedOn w:val="DefaultParagraphFont"/>
    <w:link w:val="Heading4"/>
    <w:uiPriority w:val="9"/>
    <w:rsid w:val="00E76557"/>
    <w:rPr>
      <w:rFonts w:ascii="Calibri" w:eastAsiaTheme="majorEastAsia" w:hAnsi="Calibri" w:cstheme="majorBidi"/>
      <w:b/>
      <w:i/>
      <w:iCs/>
      <w:sz w:val="24"/>
    </w:rPr>
  </w:style>
  <w:style w:type="paragraph" w:styleId="ListNumber">
    <w:name w:val="List Number"/>
    <w:basedOn w:val="Normal"/>
    <w:uiPriority w:val="99"/>
    <w:qFormat/>
    <w:rsid w:val="00C70FA5"/>
    <w:pPr>
      <w:tabs>
        <w:tab w:val="num" w:pos="360"/>
      </w:tabs>
      <w:ind w:left="360" w:hanging="360"/>
      <w:contextualSpacing/>
    </w:pPr>
  </w:style>
  <w:style w:type="paragraph" w:styleId="ListNumber2">
    <w:name w:val="List Number 2"/>
    <w:basedOn w:val="Normal"/>
    <w:uiPriority w:val="99"/>
    <w:qFormat/>
    <w:rsid w:val="00717EB9"/>
    <w:pPr>
      <w:numPr>
        <w:ilvl w:val="1"/>
        <w:numId w:val="7"/>
      </w:numPr>
      <w:contextualSpacing/>
    </w:pPr>
  </w:style>
  <w:style w:type="paragraph" w:styleId="ListBullet">
    <w:name w:val="List Bullet"/>
    <w:basedOn w:val="Normal"/>
    <w:uiPriority w:val="99"/>
    <w:qFormat/>
    <w:rsid w:val="00992749"/>
    <w:pPr>
      <w:numPr>
        <w:numId w:val="27"/>
      </w:numPr>
      <w:contextualSpacing/>
    </w:pPr>
  </w:style>
  <w:style w:type="paragraph" w:styleId="ListBullet2">
    <w:name w:val="List Bullet 2"/>
    <w:basedOn w:val="Normal"/>
    <w:uiPriority w:val="99"/>
    <w:qFormat/>
    <w:rsid w:val="00425B4D"/>
    <w:pPr>
      <w:numPr>
        <w:numId w:val="11"/>
      </w:numPr>
      <w:tabs>
        <w:tab w:val="left" w:pos="567"/>
      </w:tabs>
      <w:spacing w:before="0" w:after="0"/>
      <w:contextualSpacing/>
    </w:pPr>
  </w:style>
  <w:style w:type="character" w:styleId="Hyperlink">
    <w:name w:val="Hyperlink"/>
    <w:basedOn w:val="DefaultParagraphFont"/>
    <w:uiPriority w:val="99"/>
    <w:qFormat/>
    <w:rsid w:val="009B7F3F"/>
    <w:rPr>
      <w:noProof/>
      <w:color w:val="0D4F88"/>
      <w:u w:val="single"/>
    </w:rPr>
  </w:style>
  <w:style w:type="table" w:styleId="TableGrid">
    <w:name w:val="Table Grid"/>
    <w:aliases w:val="NRSB Table,DPS Table Grid,none"/>
    <w:basedOn w:val="TableNormal"/>
    <w:uiPriority w:val="39"/>
    <w:rsid w:val="00517934"/>
    <w:pPr>
      <w:spacing w:after="40" w:line="240" w:lineRule="auto"/>
    </w:pPr>
    <w:tblPr>
      <w:tblStyleRowBandSize w:val="1"/>
      <w:tblCellMar>
        <w:top w:w="45" w:type="dxa"/>
      </w:tblCellMar>
    </w:tblPr>
    <w:tcPr>
      <w:vAlign w:val="center"/>
    </w:tcPr>
    <w:tblStylePr w:type="firstRow">
      <w:pPr>
        <w:jc w:val="left"/>
      </w:pPr>
      <w:rPr>
        <w:rFonts w:ascii="Calibri" w:hAnsi="Calibri"/>
        <w:b/>
        <w:color w:val="FFFFFF" w:themeColor="background1"/>
        <w:sz w:val="24"/>
      </w:rPr>
      <w:tblPr/>
      <w:tcPr>
        <w:shd w:val="clear" w:color="auto" w:fill="0F294C"/>
      </w:tcPr>
    </w:tblStylePr>
    <w:tblStylePr w:type="lastRow">
      <w:tblPr/>
      <w:tcPr>
        <w:tcBorders>
          <w:bottom w:val="single" w:sz="4" w:space="0" w:color="0F294C"/>
        </w:tcBorders>
      </w:tcPr>
    </w:tblStylePr>
    <w:tblStylePr w:type="band1Horz">
      <w:tblPr/>
      <w:tcPr>
        <w:shd w:val="clear" w:color="auto" w:fill="D7E0F1"/>
      </w:tcPr>
    </w:tblStylePr>
  </w:style>
  <w:style w:type="paragraph" w:styleId="Caption">
    <w:name w:val="caption"/>
    <w:basedOn w:val="Normal"/>
    <w:next w:val="Normal"/>
    <w:uiPriority w:val="35"/>
    <w:qFormat/>
    <w:rsid w:val="00C046E0"/>
    <w:pPr>
      <w:pBdr>
        <w:top w:val="single" w:sz="4" w:space="5" w:color="auto"/>
      </w:pBdr>
      <w:tabs>
        <w:tab w:val="left" w:pos="993"/>
      </w:tabs>
      <w:spacing w:before="240"/>
    </w:pPr>
    <w:rPr>
      <w:sz w:val="24"/>
    </w:rPr>
  </w:style>
  <w:style w:type="numbering" w:customStyle="1" w:styleId="RSCBNumberList1">
    <w:name w:val="RSCB Number List 1"/>
    <w:uiPriority w:val="99"/>
    <w:rsid w:val="00A513A6"/>
    <w:pPr>
      <w:numPr>
        <w:numId w:val="4"/>
      </w:numPr>
    </w:pPr>
  </w:style>
  <w:style w:type="paragraph" w:styleId="ListBullet3">
    <w:name w:val="List Bullet 3"/>
    <w:basedOn w:val="Normal"/>
    <w:uiPriority w:val="99"/>
    <w:qFormat/>
    <w:rsid w:val="004356EF"/>
    <w:pPr>
      <w:numPr>
        <w:ilvl w:val="2"/>
        <w:numId w:val="9"/>
      </w:numPr>
      <w:tabs>
        <w:tab w:val="left" w:pos="851"/>
      </w:tabs>
      <w:contextualSpacing/>
    </w:pPr>
  </w:style>
  <w:style w:type="paragraph" w:styleId="ListNumber3">
    <w:name w:val="List Number 3"/>
    <w:basedOn w:val="Normal"/>
    <w:uiPriority w:val="99"/>
    <w:qFormat/>
    <w:rsid w:val="00A513A6"/>
    <w:pPr>
      <w:numPr>
        <w:ilvl w:val="2"/>
        <w:numId w:val="7"/>
      </w:numPr>
      <w:tabs>
        <w:tab w:val="left" w:pos="1021"/>
      </w:tabs>
      <w:contextualSpacing/>
    </w:pPr>
  </w:style>
  <w:style w:type="paragraph" w:styleId="ListNumber4">
    <w:name w:val="List Number 4"/>
    <w:basedOn w:val="Normal"/>
    <w:uiPriority w:val="99"/>
    <w:qFormat/>
    <w:rsid w:val="00A513A6"/>
    <w:pPr>
      <w:numPr>
        <w:ilvl w:val="3"/>
        <w:numId w:val="7"/>
      </w:numPr>
      <w:contextualSpacing/>
    </w:pPr>
  </w:style>
  <w:style w:type="paragraph" w:styleId="ListBullet4">
    <w:name w:val="List Bullet 4"/>
    <w:basedOn w:val="Normal"/>
    <w:uiPriority w:val="99"/>
    <w:qFormat/>
    <w:rsid w:val="004356EF"/>
    <w:pPr>
      <w:numPr>
        <w:numId w:val="10"/>
      </w:numPr>
      <w:tabs>
        <w:tab w:val="left" w:pos="1134"/>
      </w:tabs>
      <w:ind w:left="1135" w:hanging="284"/>
      <w:contextualSpacing/>
    </w:pPr>
  </w:style>
  <w:style w:type="numbering" w:customStyle="1" w:styleId="Style1">
    <w:name w:val="Style1"/>
    <w:uiPriority w:val="99"/>
    <w:rsid w:val="00316088"/>
    <w:pPr>
      <w:numPr>
        <w:numId w:val="5"/>
      </w:numPr>
    </w:pPr>
  </w:style>
  <w:style w:type="paragraph" w:styleId="Header">
    <w:name w:val="header"/>
    <w:basedOn w:val="Normal"/>
    <w:link w:val="HeaderChar"/>
    <w:uiPriority w:val="99"/>
    <w:semiHidden/>
    <w:rsid w:val="00EE7FDA"/>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685CF0"/>
    <w:rPr>
      <w:rFonts w:ascii="Calibri" w:hAnsi="Calibri"/>
    </w:rPr>
  </w:style>
  <w:style w:type="paragraph" w:styleId="Footer">
    <w:name w:val="footer"/>
    <w:basedOn w:val="Normal"/>
    <w:link w:val="FooterChar"/>
    <w:uiPriority w:val="99"/>
    <w:rsid w:val="00C13137"/>
    <w:pPr>
      <w:tabs>
        <w:tab w:val="center" w:pos="4513"/>
        <w:tab w:val="right" w:pos="9026"/>
      </w:tabs>
      <w:spacing w:line="240" w:lineRule="auto"/>
      <w:jc w:val="right"/>
    </w:pPr>
    <w:rPr>
      <w:color w:val="FFFFFF" w:themeColor="background1"/>
    </w:rPr>
  </w:style>
  <w:style w:type="character" w:customStyle="1" w:styleId="FooterChar">
    <w:name w:val="Footer Char"/>
    <w:basedOn w:val="DefaultParagraphFont"/>
    <w:link w:val="Footer"/>
    <w:uiPriority w:val="99"/>
    <w:rsid w:val="00C13137"/>
    <w:rPr>
      <w:rFonts w:ascii="Calibri" w:hAnsi="Calibri"/>
      <w:color w:val="FFFFFF" w:themeColor="background1"/>
    </w:rPr>
  </w:style>
  <w:style w:type="paragraph" w:styleId="FootnoteText">
    <w:name w:val="footnote text"/>
    <w:basedOn w:val="Normal"/>
    <w:link w:val="FootnoteTextChar"/>
    <w:qFormat/>
    <w:rsid w:val="00F55123"/>
    <w:pPr>
      <w:spacing w:line="240" w:lineRule="auto"/>
    </w:pPr>
    <w:rPr>
      <w:sz w:val="18"/>
      <w:szCs w:val="20"/>
    </w:rPr>
  </w:style>
  <w:style w:type="character" w:customStyle="1" w:styleId="FootnoteTextChar">
    <w:name w:val="Footnote Text Char"/>
    <w:basedOn w:val="DefaultParagraphFont"/>
    <w:link w:val="FootnoteText"/>
    <w:rsid w:val="00F55123"/>
    <w:rPr>
      <w:rFonts w:ascii="Calibri" w:hAnsi="Calibri"/>
      <w:sz w:val="18"/>
      <w:szCs w:val="20"/>
    </w:rPr>
  </w:style>
  <w:style w:type="character" w:styleId="FootnoteReference">
    <w:name w:val="footnote reference"/>
    <w:basedOn w:val="DefaultParagraphFont"/>
    <w:unhideWhenUsed/>
    <w:rsid w:val="005725B2"/>
    <w:rPr>
      <w:vertAlign w:val="superscript"/>
    </w:rPr>
  </w:style>
  <w:style w:type="character" w:customStyle="1" w:styleId="Subtitle-BlueItalic">
    <w:name w:val="_Subtitle - Blue Italic"/>
    <w:basedOn w:val="Subtitle-Blue"/>
    <w:uiPriority w:val="1"/>
    <w:qFormat/>
    <w:rsid w:val="000936DC"/>
    <w:rPr>
      <w:rFonts w:asciiTheme="minorHAnsi" w:hAnsiTheme="minorHAnsi"/>
      <w:i/>
      <w:sz w:val="31"/>
    </w:rPr>
  </w:style>
  <w:style w:type="character" w:customStyle="1" w:styleId="Subtitle-BigSpace">
    <w:name w:val="_Subtitle - Big Space"/>
    <w:basedOn w:val="Subtitle-BlueItalic"/>
    <w:uiPriority w:val="1"/>
    <w:qFormat/>
    <w:rsid w:val="00E04885"/>
    <w:rPr>
      <w:rFonts w:asciiTheme="minorHAnsi" w:hAnsiTheme="minorHAnsi"/>
      <w:i w:val="0"/>
      <w:sz w:val="498"/>
      <w:szCs w:val="60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semiHidden/>
    <w:rsid w:val="00EF60BC"/>
    <w:rPr>
      <w:rFonts w:ascii="Calibri" w:eastAsiaTheme="majorEastAsia" w:hAnsi="Calibri" w:cstheme="majorBidi"/>
      <w:b/>
      <w:color w:val="757575"/>
    </w:rPr>
  </w:style>
  <w:style w:type="character" w:customStyle="1" w:styleId="Heading6Char">
    <w:name w:val="Heading 6 Char"/>
    <w:basedOn w:val="DefaultParagraphFont"/>
    <w:link w:val="Heading6"/>
    <w:uiPriority w:val="9"/>
    <w:semiHidden/>
    <w:rsid w:val="00EF60BC"/>
    <w:rPr>
      <w:rFonts w:ascii="Calibri" w:eastAsiaTheme="majorEastAsia" w:hAnsi="Calibri" w:cstheme="majorBidi"/>
      <w:b/>
      <w:i/>
      <w:color w:val="757575"/>
    </w:rPr>
  </w:style>
  <w:style w:type="paragraph" w:customStyle="1" w:styleId="Normal-Centred">
    <w:name w:val="Normal - Centred"/>
    <w:basedOn w:val="Normal"/>
    <w:rsid w:val="00595EBF"/>
    <w:pPr>
      <w:spacing w:line="240" w:lineRule="auto"/>
      <w:jc w:val="center"/>
    </w:pPr>
  </w:style>
  <w:style w:type="character" w:styleId="Emphasis">
    <w:name w:val="Emphasis"/>
    <w:basedOn w:val="DefaultParagraphFont"/>
    <w:uiPriority w:val="20"/>
    <w:qFormat/>
    <w:rsid w:val="001C6347"/>
    <w:rPr>
      <w:b w:val="0"/>
      <w:i/>
      <w:iCs/>
    </w:rPr>
  </w:style>
  <w:style w:type="paragraph" w:customStyle="1" w:styleId="Source">
    <w:name w:val="Source"/>
    <w:basedOn w:val="Normal"/>
    <w:rsid w:val="000C7841"/>
    <w:pPr>
      <w:pBdr>
        <w:bottom w:val="single" w:sz="4" w:space="5" w:color="auto"/>
      </w:pBdr>
      <w:tabs>
        <w:tab w:val="left" w:pos="590"/>
      </w:tabs>
      <w:ind w:left="590" w:hanging="590"/>
    </w:pPr>
    <w:rPr>
      <w:sz w:val="18"/>
    </w:rPr>
  </w:style>
  <w:style w:type="paragraph" w:customStyle="1" w:styleId="Normal-AfterTableFigure">
    <w:name w:val="Normal - After Table/Figure"/>
    <w:basedOn w:val="Normal"/>
    <w:qFormat/>
    <w:rsid w:val="00F465FF"/>
    <w:pPr>
      <w:spacing w:before="240"/>
    </w:pPr>
  </w:style>
  <w:style w:type="paragraph" w:customStyle="1" w:styleId="Heading1-Numbered">
    <w:name w:val="Heading 1 - Numbered"/>
    <w:basedOn w:val="Heading1"/>
    <w:rsid w:val="0025698F"/>
    <w:pPr>
      <w:numPr>
        <w:numId w:val="6"/>
      </w:numPr>
    </w:pPr>
  </w:style>
  <w:style w:type="paragraph" w:customStyle="1" w:styleId="Heading2-Numbered">
    <w:name w:val="Heading 2 - Numbered"/>
    <w:basedOn w:val="Heading2"/>
    <w:rsid w:val="006A7ED1"/>
    <w:pPr>
      <w:numPr>
        <w:ilvl w:val="1"/>
        <w:numId w:val="6"/>
      </w:numPr>
      <w:tabs>
        <w:tab w:val="left" w:pos="595"/>
      </w:tabs>
    </w:pPr>
  </w:style>
  <w:style w:type="paragraph" w:styleId="Quote">
    <w:name w:val="Quote"/>
    <w:basedOn w:val="Normal"/>
    <w:next w:val="Normal"/>
    <w:link w:val="QuoteChar"/>
    <w:uiPriority w:val="29"/>
    <w:qFormat/>
    <w:rsid w:val="00F121AC"/>
    <w:pPr>
      <w:spacing w:before="200" w:line="240" w:lineRule="auto"/>
      <w:ind w:left="567" w:right="567"/>
    </w:pPr>
    <w:rPr>
      <w:i/>
      <w:iCs/>
      <w:color w:val="404040" w:themeColor="text1" w:themeTint="BF"/>
    </w:rPr>
  </w:style>
  <w:style w:type="character" w:customStyle="1" w:styleId="QuoteChar">
    <w:name w:val="Quote Char"/>
    <w:basedOn w:val="DefaultParagraphFont"/>
    <w:link w:val="Quote"/>
    <w:uiPriority w:val="29"/>
    <w:rsid w:val="00F121AC"/>
    <w:rPr>
      <w:i/>
      <w:iCs/>
      <w:color w:val="404040" w:themeColor="text1" w:themeTint="BF"/>
    </w:rPr>
  </w:style>
  <w:style w:type="character" w:styleId="IntenseEmphasis">
    <w:name w:val="Intense Emphasis"/>
    <w:basedOn w:val="DefaultParagraphFont"/>
    <w:uiPriority w:val="21"/>
    <w:rsid w:val="00A34D39"/>
    <w:rPr>
      <w:b/>
      <w:i/>
      <w:iCs/>
      <w:color w:val="auto"/>
    </w:rPr>
  </w:style>
  <w:style w:type="paragraph" w:customStyle="1" w:styleId="BoardMembers">
    <w:name w:val="Board Members"/>
    <w:basedOn w:val="Normal"/>
    <w:rsid w:val="00371714"/>
    <w:pPr>
      <w:spacing w:after="1680"/>
    </w:pPr>
  </w:style>
  <w:style w:type="paragraph" w:styleId="TOC1">
    <w:name w:val="toc 1"/>
    <w:basedOn w:val="Normal"/>
    <w:next w:val="Normal"/>
    <w:autoRedefine/>
    <w:uiPriority w:val="39"/>
    <w:unhideWhenUsed/>
    <w:rsid w:val="00D34691"/>
    <w:pPr>
      <w:tabs>
        <w:tab w:val="right" w:pos="9060"/>
      </w:tabs>
      <w:spacing w:before="180" w:after="100"/>
    </w:pPr>
    <w:rPr>
      <w:color w:val="32375D"/>
      <w:sz w:val="28"/>
    </w:rPr>
  </w:style>
  <w:style w:type="paragraph" w:styleId="TOC2">
    <w:name w:val="toc 2"/>
    <w:basedOn w:val="Normal"/>
    <w:next w:val="Normal"/>
    <w:autoRedefine/>
    <w:uiPriority w:val="39"/>
    <w:unhideWhenUsed/>
    <w:rsid w:val="00D34691"/>
    <w:pPr>
      <w:tabs>
        <w:tab w:val="left" w:pos="880"/>
        <w:tab w:val="right" w:pos="9060"/>
      </w:tabs>
      <w:spacing w:before="60" w:after="60"/>
      <w:ind w:left="567"/>
    </w:pPr>
    <w:rPr>
      <w:noProof/>
      <w:lang w:val="en-US"/>
    </w:rPr>
  </w:style>
  <w:style w:type="paragraph" w:styleId="TOC3">
    <w:name w:val="toc 3"/>
    <w:basedOn w:val="Normal"/>
    <w:next w:val="Normal"/>
    <w:autoRedefine/>
    <w:uiPriority w:val="39"/>
    <w:unhideWhenUsed/>
    <w:rsid w:val="00FE6EE5"/>
    <w:pPr>
      <w:tabs>
        <w:tab w:val="right" w:pos="9060"/>
      </w:tabs>
      <w:spacing w:after="100"/>
      <w:ind w:left="737"/>
    </w:pPr>
    <w:rPr>
      <w:noProof/>
    </w:rPr>
  </w:style>
  <w:style w:type="paragraph" w:styleId="TOCHeading">
    <w:name w:val="TOC Heading"/>
    <w:basedOn w:val="Heading1"/>
    <w:next w:val="Normal"/>
    <w:uiPriority w:val="39"/>
    <w:unhideWhenUsed/>
    <w:qFormat/>
    <w:rsid w:val="00325FDF"/>
  </w:style>
  <w:style w:type="table" w:customStyle="1" w:styleId="PullOutBox1">
    <w:name w:val="Pull Out Box 1"/>
    <w:basedOn w:val="TableNormal"/>
    <w:uiPriority w:val="99"/>
    <w:rsid w:val="00A00917"/>
    <w:pPr>
      <w:spacing w:before="120" w:after="0" w:line="240" w:lineRule="auto"/>
    </w:pPr>
    <w:tblPr/>
    <w:tcPr>
      <w:shd w:val="clear" w:color="auto" w:fill="E3E8F4"/>
    </w:tcPr>
  </w:style>
  <w:style w:type="paragraph" w:styleId="BalloonText">
    <w:name w:val="Balloon Text"/>
    <w:basedOn w:val="Normal"/>
    <w:link w:val="BalloonTextChar"/>
    <w:uiPriority w:val="99"/>
    <w:semiHidden/>
    <w:rsid w:val="00334D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9D"/>
    <w:rPr>
      <w:rFonts w:ascii="Segoe UI" w:hAnsi="Segoe UI" w:cs="Segoe UI"/>
      <w:sz w:val="18"/>
      <w:szCs w:val="18"/>
    </w:rPr>
  </w:style>
  <w:style w:type="paragraph" w:customStyle="1" w:styleId="Normal-Indentwithinnumber">
    <w:name w:val="Normal - Indent within number"/>
    <w:basedOn w:val="Normal"/>
    <w:rsid w:val="008E0B17"/>
    <w:pPr>
      <w:ind w:left="284"/>
    </w:pPr>
  </w:style>
  <w:style w:type="character" w:styleId="CommentReference">
    <w:name w:val="annotation reference"/>
    <w:basedOn w:val="DefaultParagraphFont"/>
    <w:semiHidden/>
    <w:rsid w:val="006E1D52"/>
    <w:rPr>
      <w:sz w:val="16"/>
      <w:szCs w:val="16"/>
    </w:rPr>
  </w:style>
  <w:style w:type="paragraph" w:styleId="CommentText">
    <w:name w:val="annotation text"/>
    <w:basedOn w:val="Normal"/>
    <w:link w:val="CommentTextChar"/>
    <w:rsid w:val="006E1D52"/>
    <w:pPr>
      <w:spacing w:line="240" w:lineRule="auto"/>
    </w:pPr>
    <w:rPr>
      <w:szCs w:val="20"/>
    </w:rPr>
  </w:style>
  <w:style w:type="character" w:customStyle="1" w:styleId="CommentTextChar">
    <w:name w:val="Comment Text Char"/>
    <w:basedOn w:val="DefaultParagraphFont"/>
    <w:link w:val="CommentText"/>
    <w:rsid w:val="006E1D52"/>
    <w:rPr>
      <w:rFonts w:ascii="Arial" w:hAnsi="Arial"/>
      <w:sz w:val="20"/>
      <w:szCs w:val="20"/>
    </w:rPr>
  </w:style>
  <w:style w:type="paragraph" w:styleId="CommentSubject">
    <w:name w:val="annotation subject"/>
    <w:basedOn w:val="CommentText"/>
    <w:next w:val="CommentText"/>
    <w:link w:val="CommentSubjectChar"/>
    <w:uiPriority w:val="99"/>
    <w:semiHidden/>
    <w:rsid w:val="006E1D52"/>
    <w:rPr>
      <w:b/>
      <w:bCs/>
    </w:rPr>
  </w:style>
  <w:style w:type="character" w:customStyle="1" w:styleId="CommentSubjectChar">
    <w:name w:val="Comment Subject Char"/>
    <w:basedOn w:val="CommentTextChar"/>
    <w:link w:val="CommentSubject"/>
    <w:uiPriority w:val="99"/>
    <w:semiHidden/>
    <w:rsid w:val="006E1D52"/>
    <w:rPr>
      <w:rFonts w:ascii="Arial" w:hAnsi="Arial"/>
      <w:b/>
      <w:bCs/>
      <w:sz w:val="20"/>
      <w:szCs w:val="20"/>
    </w:rPr>
  </w:style>
  <w:style w:type="paragraph" w:customStyle="1" w:styleId="TOC1-ListofExhibits">
    <w:name w:val="TOC 1 - List of Exhibits"/>
    <w:basedOn w:val="TOC1"/>
    <w:qFormat/>
    <w:rsid w:val="006D4DF9"/>
    <w:pPr>
      <w:spacing w:before="120" w:after="0"/>
      <w:ind w:left="1134" w:hanging="1134"/>
    </w:pPr>
    <w:rPr>
      <w:color w:val="auto"/>
      <w:sz w:val="22"/>
    </w:rPr>
  </w:style>
  <w:style w:type="paragraph" w:customStyle="1" w:styleId="Notes-NoLine">
    <w:name w:val="Notes - No Line"/>
    <w:basedOn w:val="Source"/>
    <w:qFormat/>
    <w:rsid w:val="000C7841"/>
    <w:pPr>
      <w:pBdr>
        <w:bottom w:val="none" w:sz="0" w:space="0" w:color="auto"/>
      </w:pBdr>
    </w:pPr>
  </w:style>
  <w:style w:type="character" w:styleId="FollowedHyperlink">
    <w:name w:val="FollowedHyperlink"/>
    <w:basedOn w:val="DefaultParagraphFont"/>
    <w:uiPriority w:val="99"/>
    <w:semiHidden/>
    <w:rsid w:val="00187808"/>
    <w:rPr>
      <w:color w:val="954F72" w:themeColor="followedHyperlink"/>
      <w:u w:val="single"/>
    </w:rPr>
  </w:style>
  <w:style w:type="paragraph" w:customStyle="1" w:styleId="BoxHeading-Finding">
    <w:name w:val="Box Heading - Finding"/>
    <w:basedOn w:val="Normal"/>
    <w:autoRedefine/>
    <w:rsid w:val="00CA70BD"/>
    <w:pPr>
      <w:keepNext/>
      <w:keepLines/>
      <w:framePr w:hSpace="180" w:wrap="around" w:vAnchor="text" w:hAnchor="margin" w:y="293"/>
      <w:spacing w:after="40" w:line="240" w:lineRule="auto"/>
    </w:pPr>
    <w:rPr>
      <w:rFonts w:eastAsiaTheme="majorEastAsia" w:cstheme="majorBidi"/>
      <w:b/>
      <w:color w:val="000000" w:themeColor="text1"/>
      <w:sz w:val="26"/>
      <w:szCs w:val="26"/>
    </w:rPr>
  </w:style>
  <w:style w:type="paragraph" w:customStyle="1" w:styleId="BoxHeading-Recommendation">
    <w:name w:val="Box Heading - Recommendation"/>
    <w:qFormat/>
    <w:rsid w:val="00582755"/>
    <w:pPr>
      <w:framePr w:hSpace="180" w:wrap="around" w:vAnchor="text" w:hAnchor="margin" w:y="-70"/>
      <w:numPr>
        <w:numId w:val="8"/>
      </w:numPr>
      <w:spacing w:before="120" w:after="0" w:line="240" w:lineRule="auto"/>
      <w:ind w:left="357"/>
    </w:pPr>
    <w:rPr>
      <w:rFonts w:ascii="Calibri" w:eastAsiaTheme="majorEastAsia" w:hAnsi="Calibri" w:cstheme="majorBidi"/>
      <w:b/>
      <w:color w:val="000000" w:themeColor="text1"/>
      <w:sz w:val="26"/>
      <w:szCs w:val="26"/>
    </w:rPr>
  </w:style>
  <w:style w:type="paragraph" w:customStyle="1" w:styleId="Notes">
    <w:name w:val="Notes"/>
    <w:basedOn w:val="Source"/>
    <w:qFormat/>
    <w:rsid w:val="000C7841"/>
    <w:pPr>
      <w:pBdr>
        <w:bottom w:val="single" w:sz="4" w:space="6" w:color="auto"/>
      </w:pBdr>
    </w:pPr>
  </w:style>
  <w:style w:type="table" w:styleId="GridTable1Light">
    <w:name w:val="Grid Table 1 Light"/>
    <w:basedOn w:val="TableNormal"/>
    <w:uiPriority w:val="46"/>
    <w:rsid w:val="00A7185E"/>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ullOutBox32">
    <w:name w:val="Pull Out Box 32"/>
    <w:basedOn w:val="TableNormal"/>
    <w:uiPriority w:val="99"/>
    <w:rsid w:val="00A7185E"/>
    <w:pPr>
      <w:spacing w:after="0" w:line="240" w:lineRule="auto"/>
    </w:pPr>
    <w:tblPr/>
    <w:tcPr>
      <w:shd w:val="clear" w:color="auto" w:fill="ECECEC"/>
    </w:tcPr>
  </w:style>
  <w:style w:type="paragraph" w:styleId="NormalWeb">
    <w:name w:val="Normal (Web)"/>
    <w:basedOn w:val="Normal"/>
    <w:uiPriority w:val="99"/>
    <w:semiHidden/>
    <w:unhideWhenUsed/>
    <w:rsid w:val="00A7185E"/>
    <w:pPr>
      <w:spacing w:before="100" w:beforeAutospacing="1" w:after="100" w:afterAutospacing="1" w:line="240" w:lineRule="auto"/>
    </w:pPr>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A7185E"/>
    <w:pPr>
      <w:spacing w:before="0" w:after="0" w:line="240" w:lineRule="auto"/>
    </w:pPr>
    <w:rPr>
      <w:rFonts w:cs="Times New Roman"/>
      <w:sz w:val="20"/>
      <w:szCs w:val="20"/>
    </w:rPr>
  </w:style>
  <w:style w:type="character" w:customStyle="1" w:styleId="EndnoteTextChar">
    <w:name w:val="Endnote Text Char"/>
    <w:basedOn w:val="DefaultParagraphFont"/>
    <w:link w:val="EndnoteText"/>
    <w:uiPriority w:val="99"/>
    <w:semiHidden/>
    <w:rsid w:val="00A7185E"/>
    <w:rPr>
      <w:rFonts w:ascii="Calibri" w:hAnsi="Calibri" w:cs="Times New Roman"/>
      <w:sz w:val="20"/>
      <w:szCs w:val="20"/>
    </w:rPr>
  </w:style>
  <w:style w:type="character" w:styleId="EndnoteReference">
    <w:name w:val="endnote reference"/>
    <w:basedOn w:val="DefaultParagraphFont"/>
    <w:uiPriority w:val="99"/>
    <w:semiHidden/>
    <w:unhideWhenUsed/>
    <w:rsid w:val="00A7185E"/>
    <w:rPr>
      <w:vertAlign w:val="superscript"/>
    </w:rPr>
  </w:style>
  <w:style w:type="numbering" w:customStyle="1" w:styleId="NoList1">
    <w:name w:val="No List1"/>
    <w:next w:val="NoList"/>
    <w:uiPriority w:val="99"/>
    <w:semiHidden/>
    <w:unhideWhenUsed/>
    <w:rsid w:val="00210278"/>
  </w:style>
  <w:style w:type="paragraph" w:styleId="Revision">
    <w:name w:val="Revision"/>
    <w:hidden/>
    <w:uiPriority w:val="99"/>
    <w:semiHidden/>
    <w:rsid w:val="00612DC9"/>
    <w:pPr>
      <w:spacing w:after="0" w:line="240" w:lineRule="auto"/>
    </w:pPr>
    <w:rPr>
      <w:rFonts w:ascii="Calibri" w:hAnsi="Calibri"/>
    </w:rPr>
  </w:style>
  <w:style w:type="numbering" w:customStyle="1" w:styleId="NoList2">
    <w:name w:val="No List2"/>
    <w:next w:val="NoList"/>
    <w:uiPriority w:val="99"/>
    <w:semiHidden/>
    <w:unhideWhenUsed/>
    <w:rsid w:val="007722A4"/>
  </w:style>
  <w:style w:type="numbering" w:customStyle="1" w:styleId="RSCBNumberList11">
    <w:name w:val="RSCB Number List 11"/>
    <w:uiPriority w:val="99"/>
    <w:rsid w:val="007722A4"/>
  </w:style>
  <w:style w:type="numbering" w:customStyle="1" w:styleId="Style11">
    <w:name w:val="Style11"/>
    <w:uiPriority w:val="99"/>
    <w:rsid w:val="007722A4"/>
  </w:style>
  <w:style w:type="table" w:customStyle="1" w:styleId="PullOutBox22">
    <w:name w:val="Pull Out Box 22"/>
    <w:basedOn w:val="TableNormal"/>
    <w:uiPriority w:val="99"/>
    <w:rsid w:val="0095073C"/>
    <w:pPr>
      <w:spacing w:after="0" w:line="240" w:lineRule="auto"/>
    </w:pPr>
    <w:tblPr/>
    <w:tcPr>
      <w:shd w:val="clear" w:color="auto" w:fill="F8E7DC"/>
    </w:tcPr>
  </w:style>
  <w:style w:type="numbering" w:customStyle="1" w:styleId="NoList11">
    <w:name w:val="No List11"/>
    <w:next w:val="NoList"/>
    <w:uiPriority w:val="99"/>
    <w:semiHidden/>
    <w:unhideWhenUsed/>
    <w:rsid w:val="007722A4"/>
  </w:style>
  <w:style w:type="numbering" w:customStyle="1" w:styleId="NoList3">
    <w:name w:val="No List3"/>
    <w:next w:val="NoList"/>
    <w:uiPriority w:val="99"/>
    <w:semiHidden/>
    <w:unhideWhenUsed/>
    <w:rsid w:val="00EF5883"/>
  </w:style>
  <w:style w:type="numbering" w:customStyle="1" w:styleId="NoList12">
    <w:name w:val="No List12"/>
    <w:next w:val="NoList"/>
    <w:uiPriority w:val="99"/>
    <w:semiHidden/>
    <w:unhideWhenUsed/>
    <w:rsid w:val="00EF5883"/>
  </w:style>
  <w:style w:type="numbering" w:customStyle="1" w:styleId="NoList21">
    <w:name w:val="No List21"/>
    <w:next w:val="NoList"/>
    <w:uiPriority w:val="99"/>
    <w:semiHidden/>
    <w:unhideWhenUsed/>
    <w:rsid w:val="00EF5883"/>
  </w:style>
  <w:style w:type="numbering" w:customStyle="1" w:styleId="RSCBNumberList111">
    <w:name w:val="RSCB Number List 111"/>
    <w:uiPriority w:val="99"/>
    <w:rsid w:val="00EF5883"/>
  </w:style>
  <w:style w:type="numbering" w:customStyle="1" w:styleId="Style111">
    <w:name w:val="Style111"/>
    <w:uiPriority w:val="99"/>
    <w:rsid w:val="00EF5883"/>
  </w:style>
  <w:style w:type="numbering" w:customStyle="1" w:styleId="NoList111">
    <w:name w:val="No List111"/>
    <w:next w:val="NoList"/>
    <w:uiPriority w:val="99"/>
    <w:semiHidden/>
    <w:unhideWhenUsed/>
    <w:rsid w:val="00EF5883"/>
  </w:style>
  <w:style w:type="character" w:customStyle="1" w:styleId="Subtitle-Blue">
    <w:name w:val="_Subtitle - Blue"/>
    <w:basedOn w:val="DefaultParagraphFont"/>
    <w:uiPriority w:val="1"/>
    <w:qFormat/>
    <w:rsid w:val="000936DC"/>
    <w:rPr>
      <w:rFonts w:asciiTheme="minorHAnsi" w:hAnsiTheme="minorHAnsi"/>
      <w:sz w:val="31"/>
    </w:rPr>
  </w:style>
  <w:style w:type="character" w:customStyle="1" w:styleId="Subtitle-White">
    <w:name w:val="_Subtitle - White"/>
    <w:basedOn w:val="Subtitle-Blue"/>
    <w:uiPriority w:val="1"/>
    <w:qFormat/>
    <w:rsid w:val="006C6FBA"/>
    <w:rPr>
      <w:rFonts w:asciiTheme="minorHAnsi" w:hAnsiTheme="minorHAnsi"/>
      <w:color w:val="FFFFFF" w:themeColor="background1"/>
      <w:sz w:val="41"/>
    </w:rPr>
  </w:style>
  <w:style w:type="character" w:customStyle="1" w:styleId="Subtitle-WhiteBold">
    <w:name w:val="_Subtitle - White Bold"/>
    <w:basedOn w:val="Subtitle-White"/>
    <w:uiPriority w:val="1"/>
    <w:qFormat/>
    <w:rsid w:val="006C6FBA"/>
    <w:rPr>
      <w:rFonts w:asciiTheme="minorHAnsi" w:hAnsiTheme="minorHAnsi"/>
      <w:b/>
      <w:color w:val="FFFFFF" w:themeColor="background1"/>
      <w:sz w:val="41"/>
    </w:rPr>
  </w:style>
  <w:style w:type="character" w:customStyle="1" w:styleId="Subtitle-SmallSpace">
    <w:name w:val="_Subtitle - Small Space"/>
    <w:basedOn w:val="Subtitle-Blue"/>
    <w:uiPriority w:val="1"/>
    <w:qFormat/>
    <w:rsid w:val="00A96180"/>
    <w:rPr>
      <w:rFonts w:asciiTheme="minorHAnsi" w:hAnsiTheme="minorHAnsi"/>
      <w:color w:val="FFFFFF" w:themeColor="background1"/>
      <w:sz w:val="20"/>
    </w:rPr>
  </w:style>
  <w:style w:type="paragraph" w:customStyle="1" w:styleId="BoardMembers-Heading">
    <w:name w:val="Board Members - Heading"/>
    <w:basedOn w:val="BoardMembers"/>
    <w:rsid w:val="004212F5"/>
    <w:pPr>
      <w:spacing w:after="120"/>
    </w:pPr>
    <w:rPr>
      <w:b/>
    </w:rPr>
  </w:style>
  <w:style w:type="paragraph" w:customStyle="1" w:styleId="Heading1-LetterofTransmission">
    <w:name w:val="Heading 1 - Letter of Transmission"/>
    <w:basedOn w:val="Heading1"/>
    <w:qFormat/>
    <w:rsid w:val="008B5C32"/>
    <w:pPr>
      <w:spacing w:before="40" w:after="40" w:line="400" w:lineRule="exact"/>
    </w:pPr>
    <w:rPr>
      <w:rFonts w:eastAsia="Times New Roman"/>
      <w:color w:val="FFFFFF" w:themeColor="background1"/>
      <w:sz w:val="12"/>
    </w:rPr>
  </w:style>
  <w:style w:type="paragraph" w:customStyle="1" w:styleId="ListBullet2-Pulloutbox">
    <w:name w:val="List Bullet 2 - Pullout box"/>
    <w:basedOn w:val="ListBullet2"/>
    <w:qFormat/>
    <w:rsid w:val="00517934"/>
    <w:pPr>
      <w:spacing w:after="160" w:line="240" w:lineRule="auto"/>
    </w:pPr>
  </w:style>
  <w:style w:type="paragraph" w:customStyle="1" w:styleId="BoxHeading-Box">
    <w:name w:val="Box Heading - Box"/>
    <w:basedOn w:val="BoxHeading-Finding"/>
    <w:qFormat/>
    <w:rsid w:val="00A7279D"/>
    <w:pPr>
      <w:framePr w:wrap="around"/>
    </w:pPr>
  </w:style>
  <w:style w:type="paragraph" w:customStyle="1" w:styleId="Normal-Pulloutboxlast">
    <w:name w:val="Normal - Pullout box last"/>
    <w:basedOn w:val="Normal"/>
    <w:qFormat/>
    <w:rsid w:val="00517934"/>
    <w:pPr>
      <w:spacing w:after="160" w:line="240" w:lineRule="auto"/>
    </w:pPr>
  </w:style>
  <w:style w:type="paragraph" w:customStyle="1" w:styleId="ListBullet-Pulloutbox">
    <w:name w:val="List Bullet - Pullout box"/>
    <w:basedOn w:val="ListBullet"/>
    <w:qFormat/>
    <w:rsid w:val="00517934"/>
    <w:pPr>
      <w:spacing w:after="160" w:line="240" w:lineRule="auto"/>
    </w:pPr>
    <w:rPr>
      <w:noProof/>
    </w:rPr>
  </w:style>
  <w:style w:type="paragraph" w:customStyle="1" w:styleId="Copyright">
    <w:name w:val="Copyright"/>
    <w:basedOn w:val="Normal"/>
    <w:qFormat/>
    <w:rsid w:val="006779CC"/>
    <w:pPr>
      <w:spacing w:line="240" w:lineRule="auto"/>
    </w:pPr>
    <w:rPr>
      <w:sz w:val="20"/>
    </w:rPr>
  </w:style>
  <w:style w:type="paragraph" w:customStyle="1" w:styleId="Copyright-Indent">
    <w:name w:val="Copyright - Indent"/>
    <w:basedOn w:val="Copyright"/>
    <w:qFormat/>
    <w:rsid w:val="006779CC"/>
    <w:pPr>
      <w:ind w:left="595"/>
    </w:pPr>
  </w:style>
  <w:style w:type="paragraph" w:customStyle="1" w:styleId="Table">
    <w:name w:val="Table"/>
    <w:basedOn w:val="Normal"/>
    <w:next w:val="Normal"/>
    <w:qFormat/>
    <w:rsid w:val="002F24E3"/>
    <w:pPr>
      <w:spacing w:before="20" w:after="20" w:line="240" w:lineRule="auto"/>
      <w:jc w:val="right"/>
    </w:pPr>
    <w:rPr>
      <w:rFonts w:asciiTheme="minorHAnsi" w:eastAsiaTheme="minorEastAsia" w:hAnsiTheme="minorHAnsi" w:cstheme="minorHAnsi"/>
      <w:bCs/>
      <w:szCs w:val="20"/>
    </w:rPr>
  </w:style>
  <w:style w:type="paragraph" w:customStyle="1" w:styleId="ListBullet-noafter">
    <w:name w:val="List Bullet - no after"/>
    <w:basedOn w:val="ListBullet"/>
    <w:qFormat/>
    <w:rsid w:val="00C13137"/>
    <w:pPr>
      <w:spacing w:after="0"/>
    </w:pPr>
  </w:style>
  <w:style w:type="paragraph" w:styleId="TableofFigures">
    <w:name w:val="table of figures"/>
    <w:aliases w:val="List of Tables"/>
    <w:basedOn w:val="Normal"/>
    <w:next w:val="Normal"/>
    <w:uiPriority w:val="99"/>
    <w:rsid w:val="00260942"/>
    <w:pPr>
      <w:spacing w:after="0"/>
    </w:pPr>
  </w:style>
  <w:style w:type="paragraph" w:customStyle="1" w:styleId="Quote-BeforeBox">
    <w:name w:val="Quote - Before Box"/>
    <w:basedOn w:val="Quote"/>
    <w:rsid w:val="007469A8"/>
    <w:pPr>
      <w:spacing w:after="240"/>
    </w:pPr>
    <w:rPr>
      <w:rFonts w:eastAsia="Times New Roman" w:cs="Times New Roman"/>
      <w:szCs w:val="20"/>
    </w:rPr>
  </w:style>
  <w:style w:type="paragraph" w:customStyle="1" w:styleId="Heading2-Findings">
    <w:name w:val="Heading 2 - Findings"/>
    <w:basedOn w:val="Heading2"/>
    <w:qFormat/>
    <w:rsid w:val="0045624B"/>
  </w:style>
  <w:style w:type="table" w:customStyle="1" w:styleId="GridTable4-Accent41">
    <w:name w:val="Grid Table 4 - Accent 41"/>
    <w:basedOn w:val="TableNormal"/>
    <w:next w:val="GridTable4-Accent4"/>
    <w:uiPriority w:val="49"/>
    <w:rsid w:val="00BB363E"/>
    <w:pPr>
      <w:spacing w:after="0" w:line="240" w:lineRule="auto"/>
    </w:pPr>
    <w:rPr>
      <w:rFonts w:eastAsia="Times New Roman"/>
    </w:rPr>
    <w:tblPr>
      <w:tblStyleRowBandSize w:val="1"/>
      <w:tblStyleColBandSize w:val="1"/>
      <w:tblBorders>
        <w:top w:val="single" w:sz="4" w:space="0" w:color="A55EBE"/>
        <w:left w:val="single" w:sz="4" w:space="0" w:color="A55EBE"/>
        <w:bottom w:val="single" w:sz="4" w:space="0" w:color="A55EBE"/>
        <w:right w:val="single" w:sz="4" w:space="0" w:color="A55EBE"/>
        <w:insideH w:val="single" w:sz="4" w:space="0" w:color="A55EBE"/>
        <w:insideV w:val="single" w:sz="4" w:space="0" w:color="A55EBE"/>
      </w:tblBorders>
    </w:tblPr>
    <w:tblStylePr w:type="firstRow">
      <w:rPr>
        <w:b/>
        <w:bCs/>
        <w:color w:val="FFFFFF"/>
      </w:rPr>
      <w:tblPr/>
      <w:tcPr>
        <w:tcBorders>
          <w:top w:val="single" w:sz="4" w:space="0" w:color="522761"/>
          <w:left w:val="single" w:sz="4" w:space="0" w:color="522761"/>
          <w:bottom w:val="single" w:sz="4" w:space="0" w:color="522761"/>
          <w:right w:val="single" w:sz="4" w:space="0" w:color="522761"/>
          <w:insideH w:val="nil"/>
          <w:insideV w:val="nil"/>
        </w:tcBorders>
        <w:shd w:val="clear" w:color="auto" w:fill="522761"/>
      </w:tcPr>
    </w:tblStylePr>
    <w:tblStylePr w:type="lastRow">
      <w:rPr>
        <w:b/>
        <w:bCs/>
      </w:rPr>
      <w:tblPr/>
      <w:tcPr>
        <w:tcBorders>
          <w:top w:val="double" w:sz="4" w:space="0" w:color="522761"/>
        </w:tcBorders>
      </w:tcPr>
    </w:tblStylePr>
    <w:tblStylePr w:type="firstCol">
      <w:rPr>
        <w:b/>
        <w:bCs/>
      </w:rPr>
    </w:tblStylePr>
    <w:tblStylePr w:type="lastCol">
      <w:rPr>
        <w:b/>
        <w:bCs/>
      </w:rPr>
    </w:tblStylePr>
    <w:tblStylePr w:type="band1Vert">
      <w:tblPr/>
      <w:tcPr>
        <w:shd w:val="clear" w:color="auto" w:fill="E1C9E9"/>
      </w:tcPr>
    </w:tblStylePr>
    <w:tblStylePr w:type="band1Horz">
      <w:tblPr/>
      <w:tcPr>
        <w:shd w:val="clear" w:color="auto" w:fill="E1C9E9"/>
      </w:tcPr>
    </w:tblStylePr>
  </w:style>
  <w:style w:type="table" w:styleId="GridTable4-Accent4">
    <w:name w:val="Grid Table 4 Accent 4"/>
    <w:basedOn w:val="TableNormal"/>
    <w:uiPriority w:val="49"/>
    <w:rsid w:val="00BB363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2">
    <w:name w:val="Grid Table 4 - Accent 42"/>
    <w:basedOn w:val="TableNormal"/>
    <w:next w:val="GridTable4-Accent4"/>
    <w:uiPriority w:val="49"/>
    <w:rsid w:val="00BB363E"/>
    <w:pPr>
      <w:spacing w:after="0" w:line="240" w:lineRule="auto"/>
    </w:pPr>
    <w:rPr>
      <w:rFonts w:eastAsia="Times New Roman"/>
    </w:rPr>
    <w:tblPr>
      <w:tblStyleRowBandSize w:val="1"/>
      <w:tblStyleColBandSize w:val="1"/>
      <w:tblBorders>
        <w:top w:val="single" w:sz="4" w:space="0" w:color="A55EBE"/>
        <w:left w:val="single" w:sz="4" w:space="0" w:color="A55EBE"/>
        <w:bottom w:val="single" w:sz="4" w:space="0" w:color="A55EBE"/>
        <w:right w:val="single" w:sz="4" w:space="0" w:color="A55EBE"/>
        <w:insideH w:val="single" w:sz="4" w:space="0" w:color="A55EBE"/>
        <w:insideV w:val="single" w:sz="4" w:space="0" w:color="A55EBE"/>
      </w:tblBorders>
    </w:tblPr>
    <w:tblStylePr w:type="firstRow">
      <w:rPr>
        <w:b/>
        <w:bCs/>
        <w:color w:val="FFFFFF"/>
      </w:rPr>
      <w:tblPr/>
      <w:tcPr>
        <w:tcBorders>
          <w:top w:val="single" w:sz="4" w:space="0" w:color="522761"/>
          <w:left w:val="single" w:sz="4" w:space="0" w:color="522761"/>
          <w:bottom w:val="single" w:sz="4" w:space="0" w:color="522761"/>
          <w:right w:val="single" w:sz="4" w:space="0" w:color="522761"/>
          <w:insideH w:val="nil"/>
          <w:insideV w:val="nil"/>
        </w:tcBorders>
        <w:shd w:val="clear" w:color="auto" w:fill="522761"/>
      </w:tcPr>
    </w:tblStylePr>
    <w:tblStylePr w:type="lastRow">
      <w:rPr>
        <w:b/>
        <w:bCs/>
      </w:rPr>
      <w:tblPr/>
      <w:tcPr>
        <w:tcBorders>
          <w:top w:val="double" w:sz="4" w:space="0" w:color="522761"/>
        </w:tcBorders>
      </w:tcPr>
    </w:tblStylePr>
    <w:tblStylePr w:type="firstCol">
      <w:rPr>
        <w:b/>
        <w:bCs/>
      </w:rPr>
    </w:tblStylePr>
    <w:tblStylePr w:type="lastCol">
      <w:rPr>
        <w:b/>
        <w:bCs/>
      </w:rPr>
    </w:tblStylePr>
    <w:tblStylePr w:type="band1Vert">
      <w:tblPr/>
      <w:tcPr>
        <w:shd w:val="clear" w:color="auto" w:fill="E1C9E9"/>
      </w:tcPr>
    </w:tblStylePr>
    <w:tblStylePr w:type="band1Horz">
      <w:tblPr/>
      <w:tcPr>
        <w:shd w:val="clear" w:color="auto" w:fill="E1C9E9"/>
      </w:tcPr>
    </w:tblStylePr>
  </w:style>
  <w:style w:type="table" w:customStyle="1" w:styleId="GridTable4-Accent43">
    <w:name w:val="Grid Table 4 - Accent 43"/>
    <w:basedOn w:val="TableNormal"/>
    <w:next w:val="GridTable4-Accent4"/>
    <w:uiPriority w:val="49"/>
    <w:rsid w:val="0003034E"/>
    <w:pPr>
      <w:spacing w:after="0" w:line="240" w:lineRule="auto"/>
    </w:pPr>
    <w:rPr>
      <w:rFonts w:eastAsia="Times New Roman"/>
    </w:rPr>
    <w:tblPr>
      <w:tblStyleRowBandSize w:val="1"/>
      <w:tblStyleColBandSize w:val="1"/>
      <w:tblBorders>
        <w:top w:val="single" w:sz="4" w:space="0" w:color="A55EBE"/>
        <w:left w:val="single" w:sz="4" w:space="0" w:color="A55EBE"/>
        <w:bottom w:val="single" w:sz="4" w:space="0" w:color="A55EBE"/>
        <w:right w:val="single" w:sz="4" w:space="0" w:color="A55EBE"/>
        <w:insideH w:val="single" w:sz="4" w:space="0" w:color="A55EBE"/>
        <w:insideV w:val="single" w:sz="4" w:space="0" w:color="A55EBE"/>
      </w:tblBorders>
    </w:tblPr>
    <w:tblStylePr w:type="firstRow">
      <w:rPr>
        <w:b/>
        <w:bCs/>
        <w:color w:val="FFFFFF"/>
      </w:rPr>
      <w:tblPr/>
      <w:tcPr>
        <w:tcBorders>
          <w:top w:val="single" w:sz="4" w:space="0" w:color="522761"/>
          <w:left w:val="single" w:sz="4" w:space="0" w:color="522761"/>
          <w:bottom w:val="single" w:sz="4" w:space="0" w:color="522761"/>
          <w:right w:val="single" w:sz="4" w:space="0" w:color="522761"/>
          <w:insideH w:val="nil"/>
          <w:insideV w:val="nil"/>
        </w:tcBorders>
        <w:shd w:val="clear" w:color="auto" w:fill="522761"/>
      </w:tcPr>
    </w:tblStylePr>
    <w:tblStylePr w:type="lastRow">
      <w:rPr>
        <w:b/>
        <w:bCs/>
      </w:rPr>
      <w:tblPr/>
      <w:tcPr>
        <w:tcBorders>
          <w:top w:val="double" w:sz="4" w:space="0" w:color="522761"/>
        </w:tcBorders>
      </w:tcPr>
    </w:tblStylePr>
    <w:tblStylePr w:type="firstCol">
      <w:rPr>
        <w:b/>
        <w:bCs/>
      </w:rPr>
    </w:tblStylePr>
    <w:tblStylePr w:type="lastCol">
      <w:rPr>
        <w:b/>
        <w:bCs/>
      </w:rPr>
    </w:tblStylePr>
    <w:tblStylePr w:type="band1Vert">
      <w:tblPr/>
      <w:tcPr>
        <w:shd w:val="clear" w:color="auto" w:fill="E1C9E9"/>
      </w:tcPr>
    </w:tblStylePr>
    <w:tblStylePr w:type="band1Horz">
      <w:tblPr/>
      <w:tcPr>
        <w:shd w:val="clear" w:color="auto" w:fill="E1C9E9"/>
      </w:tcPr>
    </w:tblStylePr>
  </w:style>
  <w:style w:type="table" w:customStyle="1" w:styleId="GridTable4-Accent44">
    <w:name w:val="Grid Table 4 - Accent 44"/>
    <w:basedOn w:val="TableNormal"/>
    <w:next w:val="GridTable4-Accent4"/>
    <w:uiPriority w:val="49"/>
    <w:rsid w:val="003258DE"/>
    <w:pPr>
      <w:spacing w:after="0" w:line="240" w:lineRule="auto"/>
    </w:pPr>
    <w:rPr>
      <w:rFonts w:eastAsia="Times New Roman"/>
    </w:rPr>
    <w:tblPr>
      <w:tblStyleRowBandSize w:val="1"/>
      <w:tblStyleColBandSize w:val="1"/>
      <w:tblBorders>
        <w:top w:val="single" w:sz="4" w:space="0" w:color="A55EBE"/>
        <w:left w:val="single" w:sz="4" w:space="0" w:color="A55EBE"/>
        <w:bottom w:val="single" w:sz="4" w:space="0" w:color="A55EBE"/>
        <w:right w:val="single" w:sz="4" w:space="0" w:color="A55EBE"/>
        <w:insideH w:val="single" w:sz="4" w:space="0" w:color="A55EBE"/>
        <w:insideV w:val="single" w:sz="4" w:space="0" w:color="A55EBE"/>
      </w:tblBorders>
    </w:tblPr>
    <w:tblStylePr w:type="firstRow">
      <w:rPr>
        <w:b/>
        <w:bCs/>
        <w:color w:val="FFFFFF"/>
      </w:rPr>
      <w:tblPr/>
      <w:tcPr>
        <w:tcBorders>
          <w:top w:val="single" w:sz="4" w:space="0" w:color="522761"/>
          <w:left w:val="single" w:sz="4" w:space="0" w:color="522761"/>
          <w:bottom w:val="single" w:sz="4" w:space="0" w:color="522761"/>
          <w:right w:val="single" w:sz="4" w:space="0" w:color="522761"/>
          <w:insideH w:val="nil"/>
          <w:insideV w:val="nil"/>
        </w:tcBorders>
        <w:shd w:val="clear" w:color="auto" w:fill="522761"/>
      </w:tcPr>
    </w:tblStylePr>
    <w:tblStylePr w:type="lastRow">
      <w:rPr>
        <w:b/>
        <w:bCs/>
      </w:rPr>
      <w:tblPr/>
      <w:tcPr>
        <w:tcBorders>
          <w:top w:val="double" w:sz="4" w:space="0" w:color="522761"/>
        </w:tcBorders>
      </w:tcPr>
    </w:tblStylePr>
    <w:tblStylePr w:type="firstCol">
      <w:rPr>
        <w:b/>
        <w:bCs/>
      </w:rPr>
    </w:tblStylePr>
    <w:tblStylePr w:type="lastCol">
      <w:rPr>
        <w:b/>
        <w:bCs/>
      </w:rPr>
    </w:tblStylePr>
    <w:tblStylePr w:type="band1Vert">
      <w:tblPr/>
      <w:tcPr>
        <w:shd w:val="clear" w:color="auto" w:fill="E1C9E9"/>
      </w:tcPr>
    </w:tblStylePr>
    <w:tblStylePr w:type="band1Horz">
      <w:tblPr/>
      <w:tcPr>
        <w:shd w:val="clear" w:color="auto" w:fill="E1C9E9"/>
      </w:tcPr>
    </w:tblStylePr>
  </w:style>
  <w:style w:type="paragraph" w:customStyle="1" w:styleId="Heading2TOR">
    <w:name w:val="Heading 2 TOR"/>
    <w:basedOn w:val="Heading3"/>
    <w:rsid w:val="00F004DB"/>
  </w:style>
  <w:style w:type="paragraph" w:customStyle="1" w:styleId="Normal-SingleParaSpacing">
    <w:name w:val="Normal - Single Para Spacing"/>
    <w:basedOn w:val="Normal"/>
    <w:qFormat/>
    <w:rsid w:val="000C28EE"/>
    <w:pPr>
      <w:spacing w:line="240" w:lineRule="auto"/>
    </w:pPr>
  </w:style>
  <w:style w:type="table" w:customStyle="1" w:styleId="GridTable1Light1">
    <w:name w:val="Grid Table 1 Light1"/>
    <w:basedOn w:val="TableNormal"/>
    <w:next w:val="GridTable1Light"/>
    <w:uiPriority w:val="46"/>
    <w:rsid w:val="00774877"/>
    <w:pPr>
      <w:widowControl w:val="0"/>
      <w:autoSpaceDE w:val="0"/>
      <w:autoSpaceDN w:val="0"/>
      <w:spacing w:after="0" w:line="240" w:lineRule="auto"/>
    </w:pPr>
    <w:rPr>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aragraph">
    <w:name w:val="paragraph"/>
    <w:basedOn w:val="Normal"/>
    <w:rsid w:val="00A23B9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ListBullet-Indent">
    <w:name w:val="List Bullet - Indent"/>
    <w:basedOn w:val="ListBullet"/>
    <w:qFormat/>
    <w:rsid w:val="004356EF"/>
    <w:pPr>
      <w:ind w:left="641"/>
    </w:pPr>
  </w:style>
  <w:style w:type="paragraph" w:customStyle="1" w:styleId="Notes-Star">
    <w:name w:val="Notes - Star*"/>
    <w:basedOn w:val="Notes"/>
    <w:qFormat/>
    <w:rsid w:val="007852FA"/>
    <w:pPr>
      <w:tabs>
        <w:tab w:val="clear" w:pos="590"/>
        <w:tab w:val="left" w:pos="284"/>
      </w:tabs>
      <w:ind w:left="284" w:hanging="284"/>
    </w:pPr>
  </w:style>
  <w:style w:type="paragraph" w:customStyle="1" w:styleId="Table-Left">
    <w:name w:val="Table - Left"/>
    <w:basedOn w:val="Table"/>
    <w:qFormat/>
    <w:rsid w:val="002F24E3"/>
    <w:pPr>
      <w:jc w:val="left"/>
    </w:pPr>
  </w:style>
  <w:style w:type="paragraph" w:customStyle="1" w:styleId="Table-Centre">
    <w:name w:val="Table - Centre"/>
    <w:basedOn w:val="Normal"/>
    <w:qFormat/>
    <w:rsid w:val="002F24E3"/>
    <w:pPr>
      <w:spacing w:before="0" w:after="0"/>
      <w:jc w:val="center"/>
    </w:pPr>
  </w:style>
  <w:style w:type="character" w:styleId="UnresolvedMention">
    <w:name w:val="Unresolved Mention"/>
    <w:basedOn w:val="DefaultParagraphFont"/>
    <w:uiPriority w:val="99"/>
    <w:unhideWhenUsed/>
    <w:rsid w:val="002D2FCF"/>
    <w:rPr>
      <w:color w:val="605E5C"/>
      <w:shd w:val="clear" w:color="auto" w:fill="E1DFDD"/>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587633"/>
    <w:pPr>
      <w:spacing w:before="0" w:after="200" w:line="360" w:lineRule="auto"/>
      <w:ind w:left="720"/>
      <w:contextualSpacing/>
    </w:pPr>
    <w:rPr>
      <w:rFonts w:asciiTheme="minorHAnsi" w:hAnsiTheme="minorHAnsi"/>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qFormat/>
    <w:locked/>
    <w:rsid w:val="00587633"/>
  </w:style>
  <w:style w:type="character" w:styleId="Mention">
    <w:name w:val="Mention"/>
    <w:basedOn w:val="DefaultParagraphFont"/>
    <w:uiPriority w:val="99"/>
    <w:unhideWhenUsed/>
    <w:rsid w:val="00965BA3"/>
    <w:rPr>
      <w:color w:val="2B579A"/>
      <w:shd w:val="clear" w:color="auto" w:fill="E1DFDD"/>
    </w:rPr>
  </w:style>
  <w:style w:type="character" w:customStyle="1" w:styleId="markl6mluyfqk">
    <w:name w:val="markl6mluyfqk"/>
    <w:basedOn w:val="DefaultParagraphFont"/>
    <w:rsid w:val="00A751A4"/>
  </w:style>
  <w:style w:type="paragraph" w:customStyle="1" w:styleId="Default">
    <w:name w:val="Default"/>
    <w:rsid w:val="007141DE"/>
    <w:pPr>
      <w:autoSpaceDE w:val="0"/>
      <w:autoSpaceDN w:val="0"/>
      <w:adjustRightInd w:val="0"/>
      <w:spacing w:after="0" w:line="240" w:lineRule="auto"/>
    </w:pPr>
    <w:rPr>
      <w:rFonts w:ascii="Lato" w:hAnsi="Lato" w:cs="Lato"/>
      <w:color w:val="000000"/>
      <w:sz w:val="24"/>
      <w:szCs w:val="24"/>
    </w:rPr>
  </w:style>
  <w:style w:type="character" w:customStyle="1" w:styleId="normaltextrun">
    <w:name w:val="normaltextrun"/>
    <w:basedOn w:val="DefaultParagraphFont"/>
    <w:rsid w:val="00BF6E4E"/>
  </w:style>
  <w:style w:type="table" w:customStyle="1" w:styleId="TableGrid1">
    <w:name w:val="Table Grid1"/>
    <w:basedOn w:val="TableNormal"/>
    <w:next w:val="TableGrid"/>
    <w:uiPriority w:val="39"/>
    <w:rsid w:val="0057073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ne1">
    <w:name w:val="none1"/>
    <w:basedOn w:val="TableNormal"/>
    <w:next w:val="TableGrid"/>
    <w:uiPriority w:val="39"/>
    <w:rsid w:val="006722F7"/>
    <w:pPr>
      <w:kinsoku w:val="0"/>
      <w:overflowPunct w:val="0"/>
      <w:autoSpaceDE w:val="0"/>
      <w:autoSpaceDN w:val="0"/>
      <w:adjustRightInd w:val="0"/>
      <w:snapToGrid w:val="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llchambersNormal">
    <w:name w:val="Bellchambers Normal"/>
    <w:basedOn w:val="Normal"/>
    <w:link w:val="BellchambersNormalChar"/>
    <w:rsid w:val="006C0A6E"/>
    <w:pPr>
      <w:kinsoku w:val="0"/>
      <w:overflowPunct w:val="0"/>
      <w:autoSpaceDE w:val="0"/>
      <w:autoSpaceDN w:val="0"/>
      <w:adjustRightInd w:val="0"/>
      <w:snapToGrid w:val="0"/>
      <w:spacing w:before="0" w:after="240" w:line="240" w:lineRule="auto"/>
    </w:pPr>
    <w:rPr>
      <w:rFonts w:asciiTheme="minorHAnsi" w:eastAsia="Times New Roman" w:hAnsiTheme="minorHAnsi" w:cs="Arial"/>
      <w:snapToGrid w:val="0"/>
      <w:sz w:val="20"/>
      <w:szCs w:val="20"/>
    </w:rPr>
  </w:style>
  <w:style w:type="character" w:customStyle="1" w:styleId="BellchambersNormalChar">
    <w:name w:val="Bellchambers Normal Char"/>
    <w:basedOn w:val="DefaultParagraphFont"/>
    <w:link w:val="BellchambersNormal"/>
    <w:rsid w:val="006C0A6E"/>
    <w:rPr>
      <w:rFonts w:eastAsia="Times New Roman" w:cs="Arial"/>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8865">
      <w:bodyDiv w:val="1"/>
      <w:marLeft w:val="0"/>
      <w:marRight w:val="0"/>
      <w:marTop w:val="0"/>
      <w:marBottom w:val="0"/>
      <w:divBdr>
        <w:top w:val="none" w:sz="0" w:space="0" w:color="auto"/>
        <w:left w:val="none" w:sz="0" w:space="0" w:color="auto"/>
        <w:bottom w:val="none" w:sz="0" w:space="0" w:color="auto"/>
        <w:right w:val="none" w:sz="0" w:space="0" w:color="auto"/>
      </w:divBdr>
    </w:div>
    <w:div w:id="15891519">
      <w:bodyDiv w:val="1"/>
      <w:marLeft w:val="0"/>
      <w:marRight w:val="0"/>
      <w:marTop w:val="0"/>
      <w:marBottom w:val="0"/>
      <w:divBdr>
        <w:top w:val="none" w:sz="0" w:space="0" w:color="auto"/>
        <w:left w:val="none" w:sz="0" w:space="0" w:color="auto"/>
        <w:bottom w:val="none" w:sz="0" w:space="0" w:color="auto"/>
        <w:right w:val="none" w:sz="0" w:space="0" w:color="auto"/>
      </w:divBdr>
    </w:div>
    <w:div w:id="68617177">
      <w:bodyDiv w:val="1"/>
      <w:marLeft w:val="0"/>
      <w:marRight w:val="0"/>
      <w:marTop w:val="0"/>
      <w:marBottom w:val="0"/>
      <w:divBdr>
        <w:top w:val="none" w:sz="0" w:space="0" w:color="auto"/>
        <w:left w:val="none" w:sz="0" w:space="0" w:color="auto"/>
        <w:bottom w:val="none" w:sz="0" w:space="0" w:color="auto"/>
        <w:right w:val="none" w:sz="0" w:space="0" w:color="auto"/>
      </w:divBdr>
    </w:div>
    <w:div w:id="115609455">
      <w:bodyDiv w:val="1"/>
      <w:marLeft w:val="0"/>
      <w:marRight w:val="0"/>
      <w:marTop w:val="0"/>
      <w:marBottom w:val="0"/>
      <w:divBdr>
        <w:top w:val="none" w:sz="0" w:space="0" w:color="auto"/>
        <w:left w:val="none" w:sz="0" w:space="0" w:color="auto"/>
        <w:bottom w:val="none" w:sz="0" w:space="0" w:color="auto"/>
        <w:right w:val="none" w:sz="0" w:space="0" w:color="auto"/>
      </w:divBdr>
    </w:div>
    <w:div w:id="224992350">
      <w:bodyDiv w:val="1"/>
      <w:marLeft w:val="0"/>
      <w:marRight w:val="0"/>
      <w:marTop w:val="0"/>
      <w:marBottom w:val="0"/>
      <w:divBdr>
        <w:top w:val="none" w:sz="0" w:space="0" w:color="auto"/>
        <w:left w:val="none" w:sz="0" w:space="0" w:color="auto"/>
        <w:bottom w:val="none" w:sz="0" w:space="0" w:color="auto"/>
        <w:right w:val="none" w:sz="0" w:space="0" w:color="auto"/>
      </w:divBdr>
    </w:div>
    <w:div w:id="306935065">
      <w:bodyDiv w:val="1"/>
      <w:marLeft w:val="0"/>
      <w:marRight w:val="0"/>
      <w:marTop w:val="0"/>
      <w:marBottom w:val="0"/>
      <w:divBdr>
        <w:top w:val="none" w:sz="0" w:space="0" w:color="auto"/>
        <w:left w:val="none" w:sz="0" w:space="0" w:color="auto"/>
        <w:bottom w:val="none" w:sz="0" w:space="0" w:color="auto"/>
        <w:right w:val="none" w:sz="0" w:space="0" w:color="auto"/>
      </w:divBdr>
    </w:div>
    <w:div w:id="311566237">
      <w:bodyDiv w:val="1"/>
      <w:marLeft w:val="0"/>
      <w:marRight w:val="0"/>
      <w:marTop w:val="0"/>
      <w:marBottom w:val="0"/>
      <w:divBdr>
        <w:top w:val="none" w:sz="0" w:space="0" w:color="auto"/>
        <w:left w:val="none" w:sz="0" w:space="0" w:color="auto"/>
        <w:bottom w:val="none" w:sz="0" w:space="0" w:color="auto"/>
        <w:right w:val="none" w:sz="0" w:space="0" w:color="auto"/>
      </w:divBdr>
    </w:div>
    <w:div w:id="328218555">
      <w:bodyDiv w:val="1"/>
      <w:marLeft w:val="0"/>
      <w:marRight w:val="0"/>
      <w:marTop w:val="0"/>
      <w:marBottom w:val="0"/>
      <w:divBdr>
        <w:top w:val="none" w:sz="0" w:space="0" w:color="auto"/>
        <w:left w:val="none" w:sz="0" w:space="0" w:color="auto"/>
        <w:bottom w:val="none" w:sz="0" w:space="0" w:color="auto"/>
        <w:right w:val="none" w:sz="0" w:space="0" w:color="auto"/>
      </w:divBdr>
    </w:div>
    <w:div w:id="340787565">
      <w:bodyDiv w:val="1"/>
      <w:marLeft w:val="0"/>
      <w:marRight w:val="0"/>
      <w:marTop w:val="0"/>
      <w:marBottom w:val="0"/>
      <w:divBdr>
        <w:top w:val="none" w:sz="0" w:space="0" w:color="auto"/>
        <w:left w:val="none" w:sz="0" w:space="0" w:color="auto"/>
        <w:bottom w:val="none" w:sz="0" w:space="0" w:color="auto"/>
        <w:right w:val="none" w:sz="0" w:space="0" w:color="auto"/>
      </w:divBdr>
    </w:div>
    <w:div w:id="368798708">
      <w:bodyDiv w:val="1"/>
      <w:marLeft w:val="0"/>
      <w:marRight w:val="0"/>
      <w:marTop w:val="0"/>
      <w:marBottom w:val="0"/>
      <w:divBdr>
        <w:top w:val="none" w:sz="0" w:space="0" w:color="auto"/>
        <w:left w:val="none" w:sz="0" w:space="0" w:color="auto"/>
        <w:bottom w:val="none" w:sz="0" w:space="0" w:color="auto"/>
        <w:right w:val="none" w:sz="0" w:space="0" w:color="auto"/>
      </w:divBdr>
    </w:div>
    <w:div w:id="400563311">
      <w:bodyDiv w:val="1"/>
      <w:marLeft w:val="0"/>
      <w:marRight w:val="0"/>
      <w:marTop w:val="0"/>
      <w:marBottom w:val="0"/>
      <w:divBdr>
        <w:top w:val="none" w:sz="0" w:space="0" w:color="auto"/>
        <w:left w:val="none" w:sz="0" w:space="0" w:color="auto"/>
        <w:bottom w:val="none" w:sz="0" w:space="0" w:color="auto"/>
        <w:right w:val="none" w:sz="0" w:space="0" w:color="auto"/>
      </w:divBdr>
    </w:div>
    <w:div w:id="429736170">
      <w:bodyDiv w:val="1"/>
      <w:marLeft w:val="0"/>
      <w:marRight w:val="0"/>
      <w:marTop w:val="0"/>
      <w:marBottom w:val="0"/>
      <w:divBdr>
        <w:top w:val="none" w:sz="0" w:space="0" w:color="auto"/>
        <w:left w:val="none" w:sz="0" w:space="0" w:color="auto"/>
        <w:bottom w:val="none" w:sz="0" w:space="0" w:color="auto"/>
        <w:right w:val="none" w:sz="0" w:space="0" w:color="auto"/>
      </w:divBdr>
    </w:div>
    <w:div w:id="435709417">
      <w:bodyDiv w:val="1"/>
      <w:marLeft w:val="0"/>
      <w:marRight w:val="0"/>
      <w:marTop w:val="0"/>
      <w:marBottom w:val="0"/>
      <w:divBdr>
        <w:top w:val="none" w:sz="0" w:space="0" w:color="auto"/>
        <w:left w:val="none" w:sz="0" w:space="0" w:color="auto"/>
        <w:bottom w:val="none" w:sz="0" w:space="0" w:color="auto"/>
        <w:right w:val="none" w:sz="0" w:space="0" w:color="auto"/>
      </w:divBdr>
    </w:div>
    <w:div w:id="481384107">
      <w:bodyDiv w:val="1"/>
      <w:marLeft w:val="0"/>
      <w:marRight w:val="0"/>
      <w:marTop w:val="0"/>
      <w:marBottom w:val="0"/>
      <w:divBdr>
        <w:top w:val="none" w:sz="0" w:space="0" w:color="auto"/>
        <w:left w:val="none" w:sz="0" w:space="0" w:color="auto"/>
        <w:bottom w:val="none" w:sz="0" w:space="0" w:color="auto"/>
        <w:right w:val="none" w:sz="0" w:space="0" w:color="auto"/>
      </w:divBdr>
    </w:div>
    <w:div w:id="510724814">
      <w:bodyDiv w:val="1"/>
      <w:marLeft w:val="0"/>
      <w:marRight w:val="0"/>
      <w:marTop w:val="0"/>
      <w:marBottom w:val="0"/>
      <w:divBdr>
        <w:top w:val="none" w:sz="0" w:space="0" w:color="auto"/>
        <w:left w:val="none" w:sz="0" w:space="0" w:color="auto"/>
        <w:bottom w:val="none" w:sz="0" w:space="0" w:color="auto"/>
        <w:right w:val="none" w:sz="0" w:space="0" w:color="auto"/>
      </w:divBdr>
    </w:div>
    <w:div w:id="514921009">
      <w:bodyDiv w:val="1"/>
      <w:marLeft w:val="0"/>
      <w:marRight w:val="0"/>
      <w:marTop w:val="0"/>
      <w:marBottom w:val="0"/>
      <w:divBdr>
        <w:top w:val="none" w:sz="0" w:space="0" w:color="auto"/>
        <w:left w:val="none" w:sz="0" w:space="0" w:color="auto"/>
        <w:bottom w:val="none" w:sz="0" w:space="0" w:color="auto"/>
        <w:right w:val="none" w:sz="0" w:space="0" w:color="auto"/>
      </w:divBdr>
    </w:div>
    <w:div w:id="522136252">
      <w:bodyDiv w:val="1"/>
      <w:marLeft w:val="0"/>
      <w:marRight w:val="0"/>
      <w:marTop w:val="0"/>
      <w:marBottom w:val="0"/>
      <w:divBdr>
        <w:top w:val="none" w:sz="0" w:space="0" w:color="auto"/>
        <w:left w:val="none" w:sz="0" w:space="0" w:color="auto"/>
        <w:bottom w:val="none" w:sz="0" w:space="0" w:color="auto"/>
        <w:right w:val="none" w:sz="0" w:space="0" w:color="auto"/>
      </w:divBdr>
    </w:div>
    <w:div w:id="536817786">
      <w:bodyDiv w:val="1"/>
      <w:marLeft w:val="0"/>
      <w:marRight w:val="0"/>
      <w:marTop w:val="0"/>
      <w:marBottom w:val="0"/>
      <w:divBdr>
        <w:top w:val="none" w:sz="0" w:space="0" w:color="auto"/>
        <w:left w:val="none" w:sz="0" w:space="0" w:color="auto"/>
        <w:bottom w:val="none" w:sz="0" w:space="0" w:color="auto"/>
        <w:right w:val="none" w:sz="0" w:space="0" w:color="auto"/>
      </w:divBdr>
    </w:div>
    <w:div w:id="540093337">
      <w:bodyDiv w:val="1"/>
      <w:marLeft w:val="0"/>
      <w:marRight w:val="0"/>
      <w:marTop w:val="0"/>
      <w:marBottom w:val="0"/>
      <w:divBdr>
        <w:top w:val="none" w:sz="0" w:space="0" w:color="auto"/>
        <w:left w:val="none" w:sz="0" w:space="0" w:color="auto"/>
        <w:bottom w:val="none" w:sz="0" w:space="0" w:color="auto"/>
        <w:right w:val="none" w:sz="0" w:space="0" w:color="auto"/>
      </w:divBdr>
    </w:div>
    <w:div w:id="592009171">
      <w:bodyDiv w:val="1"/>
      <w:marLeft w:val="0"/>
      <w:marRight w:val="0"/>
      <w:marTop w:val="0"/>
      <w:marBottom w:val="0"/>
      <w:divBdr>
        <w:top w:val="none" w:sz="0" w:space="0" w:color="auto"/>
        <w:left w:val="none" w:sz="0" w:space="0" w:color="auto"/>
        <w:bottom w:val="none" w:sz="0" w:space="0" w:color="auto"/>
        <w:right w:val="none" w:sz="0" w:space="0" w:color="auto"/>
      </w:divBdr>
    </w:div>
    <w:div w:id="597055856">
      <w:bodyDiv w:val="1"/>
      <w:marLeft w:val="0"/>
      <w:marRight w:val="0"/>
      <w:marTop w:val="0"/>
      <w:marBottom w:val="0"/>
      <w:divBdr>
        <w:top w:val="none" w:sz="0" w:space="0" w:color="auto"/>
        <w:left w:val="none" w:sz="0" w:space="0" w:color="auto"/>
        <w:bottom w:val="none" w:sz="0" w:space="0" w:color="auto"/>
        <w:right w:val="none" w:sz="0" w:space="0" w:color="auto"/>
      </w:divBdr>
    </w:div>
    <w:div w:id="773786003">
      <w:bodyDiv w:val="1"/>
      <w:marLeft w:val="0"/>
      <w:marRight w:val="0"/>
      <w:marTop w:val="0"/>
      <w:marBottom w:val="0"/>
      <w:divBdr>
        <w:top w:val="none" w:sz="0" w:space="0" w:color="auto"/>
        <w:left w:val="none" w:sz="0" w:space="0" w:color="auto"/>
        <w:bottom w:val="none" w:sz="0" w:space="0" w:color="auto"/>
        <w:right w:val="none" w:sz="0" w:space="0" w:color="auto"/>
      </w:divBdr>
      <w:divsChild>
        <w:div w:id="277029361">
          <w:marLeft w:val="0"/>
          <w:marRight w:val="0"/>
          <w:marTop w:val="0"/>
          <w:marBottom w:val="0"/>
          <w:divBdr>
            <w:top w:val="none" w:sz="0" w:space="0" w:color="auto"/>
            <w:left w:val="none" w:sz="0" w:space="0" w:color="auto"/>
            <w:bottom w:val="none" w:sz="0" w:space="0" w:color="auto"/>
            <w:right w:val="none" w:sz="0" w:space="0" w:color="auto"/>
          </w:divBdr>
        </w:div>
        <w:div w:id="447310057">
          <w:marLeft w:val="0"/>
          <w:marRight w:val="0"/>
          <w:marTop w:val="0"/>
          <w:marBottom w:val="0"/>
          <w:divBdr>
            <w:top w:val="none" w:sz="0" w:space="0" w:color="auto"/>
            <w:left w:val="none" w:sz="0" w:space="0" w:color="auto"/>
            <w:bottom w:val="none" w:sz="0" w:space="0" w:color="auto"/>
            <w:right w:val="none" w:sz="0" w:space="0" w:color="auto"/>
          </w:divBdr>
        </w:div>
        <w:div w:id="531189813">
          <w:marLeft w:val="0"/>
          <w:marRight w:val="0"/>
          <w:marTop w:val="0"/>
          <w:marBottom w:val="0"/>
          <w:divBdr>
            <w:top w:val="none" w:sz="0" w:space="0" w:color="auto"/>
            <w:left w:val="none" w:sz="0" w:space="0" w:color="auto"/>
            <w:bottom w:val="none" w:sz="0" w:space="0" w:color="auto"/>
            <w:right w:val="none" w:sz="0" w:space="0" w:color="auto"/>
          </w:divBdr>
        </w:div>
        <w:div w:id="632834833">
          <w:marLeft w:val="0"/>
          <w:marRight w:val="0"/>
          <w:marTop w:val="0"/>
          <w:marBottom w:val="0"/>
          <w:divBdr>
            <w:top w:val="none" w:sz="0" w:space="0" w:color="auto"/>
            <w:left w:val="none" w:sz="0" w:space="0" w:color="auto"/>
            <w:bottom w:val="none" w:sz="0" w:space="0" w:color="auto"/>
            <w:right w:val="none" w:sz="0" w:space="0" w:color="auto"/>
          </w:divBdr>
        </w:div>
        <w:div w:id="1017924835">
          <w:marLeft w:val="0"/>
          <w:marRight w:val="0"/>
          <w:marTop w:val="0"/>
          <w:marBottom w:val="0"/>
          <w:divBdr>
            <w:top w:val="none" w:sz="0" w:space="0" w:color="auto"/>
            <w:left w:val="none" w:sz="0" w:space="0" w:color="auto"/>
            <w:bottom w:val="none" w:sz="0" w:space="0" w:color="auto"/>
            <w:right w:val="none" w:sz="0" w:space="0" w:color="auto"/>
          </w:divBdr>
        </w:div>
        <w:div w:id="1026562077">
          <w:marLeft w:val="0"/>
          <w:marRight w:val="0"/>
          <w:marTop w:val="0"/>
          <w:marBottom w:val="0"/>
          <w:divBdr>
            <w:top w:val="none" w:sz="0" w:space="0" w:color="auto"/>
            <w:left w:val="none" w:sz="0" w:space="0" w:color="auto"/>
            <w:bottom w:val="none" w:sz="0" w:space="0" w:color="auto"/>
            <w:right w:val="none" w:sz="0" w:space="0" w:color="auto"/>
          </w:divBdr>
        </w:div>
        <w:div w:id="1034042886">
          <w:marLeft w:val="0"/>
          <w:marRight w:val="0"/>
          <w:marTop w:val="0"/>
          <w:marBottom w:val="0"/>
          <w:divBdr>
            <w:top w:val="none" w:sz="0" w:space="0" w:color="auto"/>
            <w:left w:val="none" w:sz="0" w:space="0" w:color="auto"/>
            <w:bottom w:val="none" w:sz="0" w:space="0" w:color="auto"/>
            <w:right w:val="none" w:sz="0" w:space="0" w:color="auto"/>
          </w:divBdr>
        </w:div>
        <w:div w:id="1127165773">
          <w:marLeft w:val="0"/>
          <w:marRight w:val="0"/>
          <w:marTop w:val="0"/>
          <w:marBottom w:val="0"/>
          <w:divBdr>
            <w:top w:val="none" w:sz="0" w:space="0" w:color="auto"/>
            <w:left w:val="none" w:sz="0" w:space="0" w:color="auto"/>
            <w:bottom w:val="none" w:sz="0" w:space="0" w:color="auto"/>
            <w:right w:val="none" w:sz="0" w:space="0" w:color="auto"/>
          </w:divBdr>
        </w:div>
        <w:div w:id="1487820457">
          <w:marLeft w:val="0"/>
          <w:marRight w:val="0"/>
          <w:marTop w:val="0"/>
          <w:marBottom w:val="0"/>
          <w:divBdr>
            <w:top w:val="none" w:sz="0" w:space="0" w:color="auto"/>
            <w:left w:val="none" w:sz="0" w:space="0" w:color="auto"/>
            <w:bottom w:val="none" w:sz="0" w:space="0" w:color="auto"/>
            <w:right w:val="none" w:sz="0" w:space="0" w:color="auto"/>
          </w:divBdr>
        </w:div>
        <w:div w:id="1537933317">
          <w:marLeft w:val="0"/>
          <w:marRight w:val="0"/>
          <w:marTop w:val="0"/>
          <w:marBottom w:val="0"/>
          <w:divBdr>
            <w:top w:val="none" w:sz="0" w:space="0" w:color="auto"/>
            <w:left w:val="none" w:sz="0" w:space="0" w:color="auto"/>
            <w:bottom w:val="none" w:sz="0" w:space="0" w:color="auto"/>
            <w:right w:val="none" w:sz="0" w:space="0" w:color="auto"/>
          </w:divBdr>
        </w:div>
        <w:div w:id="1643998478">
          <w:marLeft w:val="0"/>
          <w:marRight w:val="0"/>
          <w:marTop w:val="0"/>
          <w:marBottom w:val="0"/>
          <w:divBdr>
            <w:top w:val="none" w:sz="0" w:space="0" w:color="auto"/>
            <w:left w:val="none" w:sz="0" w:space="0" w:color="auto"/>
            <w:bottom w:val="none" w:sz="0" w:space="0" w:color="auto"/>
            <w:right w:val="none" w:sz="0" w:space="0" w:color="auto"/>
          </w:divBdr>
        </w:div>
        <w:div w:id="1776249207">
          <w:marLeft w:val="0"/>
          <w:marRight w:val="0"/>
          <w:marTop w:val="0"/>
          <w:marBottom w:val="0"/>
          <w:divBdr>
            <w:top w:val="none" w:sz="0" w:space="0" w:color="auto"/>
            <w:left w:val="none" w:sz="0" w:space="0" w:color="auto"/>
            <w:bottom w:val="none" w:sz="0" w:space="0" w:color="auto"/>
            <w:right w:val="none" w:sz="0" w:space="0" w:color="auto"/>
          </w:divBdr>
        </w:div>
        <w:div w:id="1970700110">
          <w:marLeft w:val="0"/>
          <w:marRight w:val="0"/>
          <w:marTop w:val="0"/>
          <w:marBottom w:val="0"/>
          <w:divBdr>
            <w:top w:val="none" w:sz="0" w:space="0" w:color="auto"/>
            <w:left w:val="none" w:sz="0" w:space="0" w:color="auto"/>
            <w:bottom w:val="none" w:sz="0" w:space="0" w:color="auto"/>
            <w:right w:val="none" w:sz="0" w:space="0" w:color="auto"/>
          </w:divBdr>
        </w:div>
        <w:div w:id="2050496927">
          <w:marLeft w:val="0"/>
          <w:marRight w:val="0"/>
          <w:marTop w:val="0"/>
          <w:marBottom w:val="0"/>
          <w:divBdr>
            <w:top w:val="none" w:sz="0" w:space="0" w:color="auto"/>
            <w:left w:val="none" w:sz="0" w:space="0" w:color="auto"/>
            <w:bottom w:val="none" w:sz="0" w:space="0" w:color="auto"/>
            <w:right w:val="none" w:sz="0" w:space="0" w:color="auto"/>
          </w:divBdr>
        </w:div>
      </w:divsChild>
    </w:div>
    <w:div w:id="786462323">
      <w:bodyDiv w:val="1"/>
      <w:marLeft w:val="0"/>
      <w:marRight w:val="0"/>
      <w:marTop w:val="0"/>
      <w:marBottom w:val="0"/>
      <w:divBdr>
        <w:top w:val="none" w:sz="0" w:space="0" w:color="auto"/>
        <w:left w:val="none" w:sz="0" w:space="0" w:color="auto"/>
        <w:bottom w:val="none" w:sz="0" w:space="0" w:color="auto"/>
        <w:right w:val="none" w:sz="0" w:space="0" w:color="auto"/>
      </w:divBdr>
    </w:div>
    <w:div w:id="804740832">
      <w:bodyDiv w:val="1"/>
      <w:marLeft w:val="0"/>
      <w:marRight w:val="0"/>
      <w:marTop w:val="0"/>
      <w:marBottom w:val="0"/>
      <w:divBdr>
        <w:top w:val="none" w:sz="0" w:space="0" w:color="auto"/>
        <w:left w:val="none" w:sz="0" w:space="0" w:color="auto"/>
        <w:bottom w:val="none" w:sz="0" w:space="0" w:color="auto"/>
        <w:right w:val="none" w:sz="0" w:space="0" w:color="auto"/>
      </w:divBdr>
    </w:div>
    <w:div w:id="841358473">
      <w:bodyDiv w:val="1"/>
      <w:marLeft w:val="0"/>
      <w:marRight w:val="0"/>
      <w:marTop w:val="0"/>
      <w:marBottom w:val="0"/>
      <w:divBdr>
        <w:top w:val="none" w:sz="0" w:space="0" w:color="auto"/>
        <w:left w:val="none" w:sz="0" w:space="0" w:color="auto"/>
        <w:bottom w:val="none" w:sz="0" w:space="0" w:color="auto"/>
        <w:right w:val="none" w:sz="0" w:space="0" w:color="auto"/>
      </w:divBdr>
    </w:div>
    <w:div w:id="857427794">
      <w:bodyDiv w:val="1"/>
      <w:marLeft w:val="0"/>
      <w:marRight w:val="0"/>
      <w:marTop w:val="0"/>
      <w:marBottom w:val="0"/>
      <w:divBdr>
        <w:top w:val="none" w:sz="0" w:space="0" w:color="auto"/>
        <w:left w:val="none" w:sz="0" w:space="0" w:color="auto"/>
        <w:bottom w:val="none" w:sz="0" w:space="0" w:color="auto"/>
        <w:right w:val="none" w:sz="0" w:space="0" w:color="auto"/>
      </w:divBdr>
    </w:div>
    <w:div w:id="862942622">
      <w:bodyDiv w:val="1"/>
      <w:marLeft w:val="0"/>
      <w:marRight w:val="0"/>
      <w:marTop w:val="0"/>
      <w:marBottom w:val="0"/>
      <w:divBdr>
        <w:top w:val="none" w:sz="0" w:space="0" w:color="auto"/>
        <w:left w:val="none" w:sz="0" w:space="0" w:color="auto"/>
        <w:bottom w:val="none" w:sz="0" w:space="0" w:color="auto"/>
        <w:right w:val="none" w:sz="0" w:space="0" w:color="auto"/>
      </w:divBdr>
    </w:div>
    <w:div w:id="903418906">
      <w:bodyDiv w:val="1"/>
      <w:marLeft w:val="0"/>
      <w:marRight w:val="0"/>
      <w:marTop w:val="0"/>
      <w:marBottom w:val="0"/>
      <w:divBdr>
        <w:top w:val="none" w:sz="0" w:space="0" w:color="auto"/>
        <w:left w:val="none" w:sz="0" w:space="0" w:color="auto"/>
        <w:bottom w:val="none" w:sz="0" w:space="0" w:color="auto"/>
        <w:right w:val="none" w:sz="0" w:space="0" w:color="auto"/>
      </w:divBdr>
    </w:div>
    <w:div w:id="956519579">
      <w:bodyDiv w:val="1"/>
      <w:marLeft w:val="0"/>
      <w:marRight w:val="0"/>
      <w:marTop w:val="0"/>
      <w:marBottom w:val="0"/>
      <w:divBdr>
        <w:top w:val="none" w:sz="0" w:space="0" w:color="auto"/>
        <w:left w:val="none" w:sz="0" w:space="0" w:color="auto"/>
        <w:bottom w:val="none" w:sz="0" w:space="0" w:color="auto"/>
        <w:right w:val="none" w:sz="0" w:space="0" w:color="auto"/>
      </w:divBdr>
    </w:div>
    <w:div w:id="974069823">
      <w:bodyDiv w:val="1"/>
      <w:marLeft w:val="0"/>
      <w:marRight w:val="0"/>
      <w:marTop w:val="0"/>
      <w:marBottom w:val="0"/>
      <w:divBdr>
        <w:top w:val="none" w:sz="0" w:space="0" w:color="auto"/>
        <w:left w:val="none" w:sz="0" w:space="0" w:color="auto"/>
        <w:bottom w:val="none" w:sz="0" w:space="0" w:color="auto"/>
        <w:right w:val="none" w:sz="0" w:space="0" w:color="auto"/>
      </w:divBdr>
    </w:div>
    <w:div w:id="997541792">
      <w:bodyDiv w:val="1"/>
      <w:marLeft w:val="0"/>
      <w:marRight w:val="0"/>
      <w:marTop w:val="0"/>
      <w:marBottom w:val="0"/>
      <w:divBdr>
        <w:top w:val="none" w:sz="0" w:space="0" w:color="auto"/>
        <w:left w:val="none" w:sz="0" w:space="0" w:color="auto"/>
        <w:bottom w:val="none" w:sz="0" w:space="0" w:color="auto"/>
        <w:right w:val="none" w:sz="0" w:space="0" w:color="auto"/>
      </w:divBdr>
    </w:div>
    <w:div w:id="998578507">
      <w:bodyDiv w:val="1"/>
      <w:marLeft w:val="0"/>
      <w:marRight w:val="0"/>
      <w:marTop w:val="0"/>
      <w:marBottom w:val="0"/>
      <w:divBdr>
        <w:top w:val="none" w:sz="0" w:space="0" w:color="auto"/>
        <w:left w:val="none" w:sz="0" w:space="0" w:color="auto"/>
        <w:bottom w:val="none" w:sz="0" w:space="0" w:color="auto"/>
        <w:right w:val="none" w:sz="0" w:space="0" w:color="auto"/>
      </w:divBdr>
    </w:div>
    <w:div w:id="1004936663">
      <w:bodyDiv w:val="1"/>
      <w:marLeft w:val="0"/>
      <w:marRight w:val="0"/>
      <w:marTop w:val="0"/>
      <w:marBottom w:val="0"/>
      <w:divBdr>
        <w:top w:val="none" w:sz="0" w:space="0" w:color="auto"/>
        <w:left w:val="none" w:sz="0" w:space="0" w:color="auto"/>
        <w:bottom w:val="none" w:sz="0" w:space="0" w:color="auto"/>
        <w:right w:val="none" w:sz="0" w:space="0" w:color="auto"/>
      </w:divBdr>
    </w:div>
    <w:div w:id="1030842776">
      <w:bodyDiv w:val="1"/>
      <w:marLeft w:val="0"/>
      <w:marRight w:val="0"/>
      <w:marTop w:val="0"/>
      <w:marBottom w:val="0"/>
      <w:divBdr>
        <w:top w:val="none" w:sz="0" w:space="0" w:color="auto"/>
        <w:left w:val="none" w:sz="0" w:space="0" w:color="auto"/>
        <w:bottom w:val="none" w:sz="0" w:space="0" w:color="auto"/>
        <w:right w:val="none" w:sz="0" w:space="0" w:color="auto"/>
      </w:divBdr>
    </w:div>
    <w:div w:id="1034884004">
      <w:bodyDiv w:val="1"/>
      <w:marLeft w:val="0"/>
      <w:marRight w:val="0"/>
      <w:marTop w:val="0"/>
      <w:marBottom w:val="0"/>
      <w:divBdr>
        <w:top w:val="none" w:sz="0" w:space="0" w:color="auto"/>
        <w:left w:val="none" w:sz="0" w:space="0" w:color="auto"/>
        <w:bottom w:val="none" w:sz="0" w:space="0" w:color="auto"/>
        <w:right w:val="none" w:sz="0" w:space="0" w:color="auto"/>
      </w:divBdr>
    </w:div>
    <w:div w:id="1071194377">
      <w:bodyDiv w:val="1"/>
      <w:marLeft w:val="0"/>
      <w:marRight w:val="0"/>
      <w:marTop w:val="0"/>
      <w:marBottom w:val="0"/>
      <w:divBdr>
        <w:top w:val="none" w:sz="0" w:space="0" w:color="auto"/>
        <w:left w:val="none" w:sz="0" w:space="0" w:color="auto"/>
        <w:bottom w:val="none" w:sz="0" w:space="0" w:color="auto"/>
        <w:right w:val="none" w:sz="0" w:space="0" w:color="auto"/>
      </w:divBdr>
    </w:div>
    <w:div w:id="1082530089">
      <w:bodyDiv w:val="1"/>
      <w:marLeft w:val="0"/>
      <w:marRight w:val="0"/>
      <w:marTop w:val="0"/>
      <w:marBottom w:val="0"/>
      <w:divBdr>
        <w:top w:val="none" w:sz="0" w:space="0" w:color="auto"/>
        <w:left w:val="none" w:sz="0" w:space="0" w:color="auto"/>
        <w:bottom w:val="none" w:sz="0" w:space="0" w:color="auto"/>
        <w:right w:val="none" w:sz="0" w:space="0" w:color="auto"/>
      </w:divBdr>
    </w:div>
    <w:div w:id="1088621292">
      <w:bodyDiv w:val="1"/>
      <w:marLeft w:val="0"/>
      <w:marRight w:val="0"/>
      <w:marTop w:val="0"/>
      <w:marBottom w:val="0"/>
      <w:divBdr>
        <w:top w:val="none" w:sz="0" w:space="0" w:color="auto"/>
        <w:left w:val="none" w:sz="0" w:space="0" w:color="auto"/>
        <w:bottom w:val="none" w:sz="0" w:space="0" w:color="auto"/>
        <w:right w:val="none" w:sz="0" w:space="0" w:color="auto"/>
      </w:divBdr>
    </w:div>
    <w:div w:id="1143154407">
      <w:bodyDiv w:val="1"/>
      <w:marLeft w:val="0"/>
      <w:marRight w:val="0"/>
      <w:marTop w:val="0"/>
      <w:marBottom w:val="0"/>
      <w:divBdr>
        <w:top w:val="none" w:sz="0" w:space="0" w:color="auto"/>
        <w:left w:val="none" w:sz="0" w:space="0" w:color="auto"/>
        <w:bottom w:val="none" w:sz="0" w:space="0" w:color="auto"/>
        <w:right w:val="none" w:sz="0" w:space="0" w:color="auto"/>
      </w:divBdr>
    </w:div>
    <w:div w:id="1200699573">
      <w:bodyDiv w:val="1"/>
      <w:marLeft w:val="0"/>
      <w:marRight w:val="0"/>
      <w:marTop w:val="0"/>
      <w:marBottom w:val="0"/>
      <w:divBdr>
        <w:top w:val="none" w:sz="0" w:space="0" w:color="auto"/>
        <w:left w:val="none" w:sz="0" w:space="0" w:color="auto"/>
        <w:bottom w:val="none" w:sz="0" w:space="0" w:color="auto"/>
        <w:right w:val="none" w:sz="0" w:space="0" w:color="auto"/>
      </w:divBdr>
    </w:div>
    <w:div w:id="1219125986">
      <w:bodyDiv w:val="1"/>
      <w:marLeft w:val="0"/>
      <w:marRight w:val="0"/>
      <w:marTop w:val="0"/>
      <w:marBottom w:val="0"/>
      <w:divBdr>
        <w:top w:val="none" w:sz="0" w:space="0" w:color="auto"/>
        <w:left w:val="none" w:sz="0" w:space="0" w:color="auto"/>
        <w:bottom w:val="none" w:sz="0" w:space="0" w:color="auto"/>
        <w:right w:val="none" w:sz="0" w:space="0" w:color="auto"/>
      </w:divBdr>
    </w:div>
    <w:div w:id="1235512614">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315257104">
      <w:bodyDiv w:val="1"/>
      <w:marLeft w:val="0"/>
      <w:marRight w:val="0"/>
      <w:marTop w:val="0"/>
      <w:marBottom w:val="0"/>
      <w:divBdr>
        <w:top w:val="none" w:sz="0" w:space="0" w:color="auto"/>
        <w:left w:val="none" w:sz="0" w:space="0" w:color="auto"/>
        <w:bottom w:val="none" w:sz="0" w:space="0" w:color="auto"/>
        <w:right w:val="none" w:sz="0" w:space="0" w:color="auto"/>
      </w:divBdr>
    </w:div>
    <w:div w:id="1322541594">
      <w:bodyDiv w:val="1"/>
      <w:marLeft w:val="0"/>
      <w:marRight w:val="0"/>
      <w:marTop w:val="0"/>
      <w:marBottom w:val="0"/>
      <w:divBdr>
        <w:top w:val="none" w:sz="0" w:space="0" w:color="auto"/>
        <w:left w:val="none" w:sz="0" w:space="0" w:color="auto"/>
        <w:bottom w:val="none" w:sz="0" w:space="0" w:color="auto"/>
        <w:right w:val="none" w:sz="0" w:space="0" w:color="auto"/>
      </w:divBdr>
    </w:div>
    <w:div w:id="1328510298">
      <w:bodyDiv w:val="1"/>
      <w:marLeft w:val="0"/>
      <w:marRight w:val="0"/>
      <w:marTop w:val="0"/>
      <w:marBottom w:val="0"/>
      <w:divBdr>
        <w:top w:val="none" w:sz="0" w:space="0" w:color="auto"/>
        <w:left w:val="none" w:sz="0" w:space="0" w:color="auto"/>
        <w:bottom w:val="none" w:sz="0" w:space="0" w:color="auto"/>
        <w:right w:val="none" w:sz="0" w:space="0" w:color="auto"/>
      </w:divBdr>
    </w:div>
    <w:div w:id="1353916477">
      <w:bodyDiv w:val="1"/>
      <w:marLeft w:val="0"/>
      <w:marRight w:val="0"/>
      <w:marTop w:val="0"/>
      <w:marBottom w:val="0"/>
      <w:divBdr>
        <w:top w:val="none" w:sz="0" w:space="0" w:color="auto"/>
        <w:left w:val="none" w:sz="0" w:space="0" w:color="auto"/>
        <w:bottom w:val="none" w:sz="0" w:space="0" w:color="auto"/>
        <w:right w:val="none" w:sz="0" w:space="0" w:color="auto"/>
      </w:divBdr>
    </w:div>
    <w:div w:id="1397508433">
      <w:bodyDiv w:val="1"/>
      <w:marLeft w:val="0"/>
      <w:marRight w:val="0"/>
      <w:marTop w:val="0"/>
      <w:marBottom w:val="0"/>
      <w:divBdr>
        <w:top w:val="none" w:sz="0" w:space="0" w:color="auto"/>
        <w:left w:val="none" w:sz="0" w:space="0" w:color="auto"/>
        <w:bottom w:val="none" w:sz="0" w:space="0" w:color="auto"/>
        <w:right w:val="none" w:sz="0" w:space="0" w:color="auto"/>
      </w:divBdr>
    </w:div>
    <w:div w:id="1400594196">
      <w:bodyDiv w:val="1"/>
      <w:marLeft w:val="0"/>
      <w:marRight w:val="0"/>
      <w:marTop w:val="0"/>
      <w:marBottom w:val="0"/>
      <w:divBdr>
        <w:top w:val="none" w:sz="0" w:space="0" w:color="auto"/>
        <w:left w:val="none" w:sz="0" w:space="0" w:color="auto"/>
        <w:bottom w:val="none" w:sz="0" w:space="0" w:color="auto"/>
        <w:right w:val="none" w:sz="0" w:space="0" w:color="auto"/>
      </w:divBdr>
    </w:div>
    <w:div w:id="1405763021">
      <w:bodyDiv w:val="1"/>
      <w:marLeft w:val="0"/>
      <w:marRight w:val="0"/>
      <w:marTop w:val="0"/>
      <w:marBottom w:val="0"/>
      <w:divBdr>
        <w:top w:val="none" w:sz="0" w:space="0" w:color="auto"/>
        <w:left w:val="none" w:sz="0" w:space="0" w:color="auto"/>
        <w:bottom w:val="none" w:sz="0" w:space="0" w:color="auto"/>
        <w:right w:val="none" w:sz="0" w:space="0" w:color="auto"/>
      </w:divBdr>
    </w:div>
    <w:div w:id="1489056112">
      <w:bodyDiv w:val="1"/>
      <w:marLeft w:val="0"/>
      <w:marRight w:val="0"/>
      <w:marTop w:val="0"/>
      <w:marBottom w:val="0"/>
      <w:divBdr>
        <w:top w:val="none" w:sz="0" w:space="0" w:color="auto"/>
        <w:left w:val="none" w:sz="0" w:space="0" w:color="auto"/>
        <w:bottom w:val="none" w:sz="0" w:space="0" w:color="auto"/>
        <w:right w:val="none" w:sz="0" w:space="0" w:color="auto"/>
      </w:divBdr>
    </w:div>
    <w:div w:id="1631209718">
      <w:bodyDiv w:val="1"/>
      <w:marLeft w:val="0"/>
      <w:marRight w:val="0"/>
      <w:marTop w:val="0"/>
      <w:marBottom w:val="0"/>
      <w:divBdr>
        <w:top w:val="none" w:sz="0" w:space="0" w:color="auto"/>
        <w:left w:val="none" w:sz="0" w:space="0" w:color="auto"/>
        <w:bottom w:val="none" w:sz="0" w:space="0" w:color="auto"/>
        <w:right w:val="none" w:sz="0" w:space="0" w:color="auto"/>
      </w:divBdr>
    </w:div>
    <w:div w:id="1638294386">
      <w:bodyDiv w:val="1"/>
      <w:marLeft w:val="0"/>
      <w:marRight w:val="0"/>
      <w:marTop w:val="0"/>
      <w:marBottom w:val="0"/>
      <w:divBdr>
        <w:top w:val="none" w:sz="0" w:space="0" w:color="auto"/>
        <w:left w:val="none" w:sz="0" w:space="0" w:color="auto"/>
        <w:bottom w:val="none" w:sz="0" w:space="0" w:color="auto"/>
        <w:right w:val="none" w:sz="0" w:space="0" w:color="auto"/>
      </w:divBdr>
    </w:div>
    <w:div w:id="1655598235">
      <w:bodyDiv w:val="1"/>
      <w:marLeft w:val="0"/>
      <w:marRight w:val="0"/>
      <w:marTop w:val="0"/>
      <w:marBottom w:val="0"/>
      <w:divBdr>
        <w:top w:val="none" w:sz="0" w:space="0" w:color="auto"/>
        <w:left w:val="none" w:sz="0" w:space="0" w:color="auto"/>
        <w:bottom w:val="none" w:sz="0" w:space="0" w:color="auto"/>
        <w:right w:val="none" w:sz="0" w:space="0" w:color="auto"/>
      </w:divBdr>
      <w:divsChild>
        <w:div w:id="1011760529">
          <w:marLeft w:val="0"/>
          <w:marRight w:val="0"/>
          <w:marTop w:val="0"/>
          <w:marBottom w:val="0"/>
          <w:divBdr>
            <w:top w:val="none" w:sz="0" w:space="0" w:color="auto"/>
            <w:left w:val="none" w:sz="0" w:space="0" w:color="auto"/>
            <w:bottom w:val="none" w:sz="0" w:space="0" w:color="auto"/>
            <w:right w:val="none" w:sz="0" w:space="0" w:color="auto"/>
          </w:divBdr>
        </w:div>
        <w:div w:id="1805196092">
          <w:marLeft w:val="0"/>
          <w:marRight w:val="0"/>
          <w:marTop w:val="0"/>
          <w:marBottom w:val="0"/>
          <w:divBdr>
            <w:top w:val="none" w:sz="0" w:space="0" w:color="auto"/>
            <w:left w:val="none" w:sz="0" w:space="0" w:color="auto"/>
            <w:bottom w:val="none" w:sz="0" w:space="0" w:color="auto"/>
            <w:right w:val="none" w:sz="0" w:space="0" w:color="auto"/>
          </w:divBdr>
        </w:div>
      </w:divsChild>
    </w:div>
    <w:div w:id="1729954557">
      <w:bodyDiv w:val="1"/>
      <w:marLeft w:val="0"/>
      <w:marRight w:val="0"/>
      <w:marTop w:val="0"/>
      <w:marBottom w:val="0"/>
      <w:divBdr>
        <w:top w:val="none" w:sz="0" w:space="0" w:color="auto"/>
        <w:left w:val="none" w:sz="0" w:space="0" w:color="auto"/>
        <w:bottom w:val="none" w:sz="0" w:space="0" w:color="auto"/>
        <w:right w:val="none" w:sz="0" w:space="0" w:color="auto"/>
      </w:divBdr>
    </w:div>
    <w:div w:id="1747066134">
      <w:bodyDiv w:val="1"/>
      <w:marLeft w:val="0"/>
      <w:marRight w:val="0"/>
      <w:marTop w:val="0"/>
      <w:marBottom w:val="0"/>
      <w:divBdr>
        <w:top w:val="none" w:sz="0" w:space="0" w:color="auto"/>
        <w:left w:val="none" w:sz="0" w:space="0" w:color="auto"/>
        <w:bottom w:val="none" w:sz="0" w:space="0" w:color="auto"/>
        <w:right w:val="none" w:sz="0" w:space="0" w:color="auto"/>
      </w:divBdr>
    </w:div>
    <w:div w:id="1759862284">
      <w:bodyDiv w:val="1"/>
      <w:marLeft w:val="0"/>
      <w:marRight w:val="0"/>
      <w:marTop w:val="0"/>
      <w:marBottom w:val="0"/>
      <w:divBdr>
        <w:top w:val="none" w:sz="0" w:space="0" w:color="auto"/>
        <w:left w:val="none" w:sz="0" w:space="0" w:color="auto"/>
        <w:bottom w:val="none" w:sz="0" w:space="0" w:color="auto"/>
        <w:right w:val="none" w:sz="0" w:space="0" w:color="auto"/>
      </w:divBdr>
    </w:div>
    <w:div w:id="1965115962">
      <w:bodyDiv w:val="1"/>
      <w:marLeft w:val="0"/>
      <w:marRight w:val="0"/>
      <w:marTop w:val="0"/>
      <w:marBottom w:val="0"/>
      <w:divBdr>
        <w:top w:val="none" w:sz="0" w:space="0" w:color="auto"/>
        <w:left w:val="none" w:sz="0" w:space="0" w:color="auto"/>
        <w:bottom w:val="none" w:sz="0" w:space="0" w:color="auto"/>
        <w:right w:val="none" w:sz="0" w:space="0" w:color="auto"/>
      </w:divBdr>
    </w:div>
    <w:div w:id="2009018014">
      <w:bodyDiv w:val="1"/>
      <w:marLeft w:val="0"/>
      <w:marRight w:val="0"/>
      <w:marTop w:val="0"/>
      <w:marBottom w:val="0"/>
      <w:divBdr>
        <w:top w:val="none" w:sz="0" w:space="0" w:color="auto"/>
        <w:left w:val="none" w:sz="0" w:space="0" w:color="auto"/>
        <w:bottom w:val="none" w:sz="0" w:space="0" w:color="auto"/>
        <w:right w:val="none" w:sz="0" w:space="0" w:color="auto"/>
      </w:divBdr>
    </w:div>
    <w:div w:id="20839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eader" Target="header2.xml"/><Relationship Id="rId42" Type="http://schemas.openxmlformats.org/officeDocument/2006/relationships/image" Target="media/image13.png"/><Relationship Id="rId47" Type="http://schemas.openxmlformats.org/officeDocument/2006/relationships/image" Target="media/image18.png"/><Relationship Id="rId63" Type="http://schemas.openxmlformats.org/officeDocument/2006/relationships/hyperlink" Target="https://www.education.gov.au/quality-schools-package/national-school-reform-agreement" TargetMode="External"/><Relationship Id="rId68" Type="http://schemas.openxmlformats.org/officeDocument/2006/relationships/hyperlink" Target="https://www.education.gov.au/download/4409/queensland-bilateral-agreement/22700/queensland-bilateral-agreement/pdf" TargetMode="External"/><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9" Type="http://schemas.openxmlformats.org/officeDocument/2006/relationships/footer" Target="footer6.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header" Target="header8.xml"/><Relationship Id="rId37" Type="http://schemas.openxmlformats.org/officeDocument/2006/relationships/chart" Target="charts/chart2.xml"/><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image" Target="media/image20.png"/><Relationship Id="rId58" Type="http://schemas.openxmlformats.org/officeDocument/2006/relationships/hyperlink" Target="https://www.education.gov.au/download/4400/australian-capital-territory-bilateral-agreement/30026/australian-capital-territory-bilateral-agreement/pdf" TargetMode="External"/><Relationship Id="rId66" Type="http://schemas.openxmlformats.org/officeDocument/2006/relationships/hyperlink" Target="https://www.education.gov.au/download/4346/new-south-wales-bilateral-agreement/23985/new-south-wales-bilateral-agreement/pdf" TargetMode="External"/><Relationship Id="rId74"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yperlink" Target="https://classic.austlii.edu.au/cgi-bin/download.cgi/au/legis/cth/consol_reg/aer2023319" TargetMode="External"/><Relationship Id="rId19" Type="http://schemas.openxmlformats.org/officeDocument/2006/relationships/hyperlink" Target="mailto:copyright@education.gov.au" TargetMode="Externa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image" Target="media/image8.jpeg"/><Relationship Id="rId43" Type="http://schemas.openxmlformats.org/officeDocument/2006/relationships/image" Target="media/image14.png"/><Relationship Id="rId48" Type="http://schemas.openxmlformats.org/officeDocument/2006/relationships/header" Target="header10.xml"/><Relationship Id="rId56" Type="http://schemas.openxmlformats.org/officeDocument/2006/relationships/image" Target="media/image23.png"/><Relationship Id="rId64" Type="http://schemas.openxmlformats.org/officeDocument/2006/relationships/hyperlink" Target="https://www.education.gov.au/national-school-resourcing-board/resources/22a-terms-reference-document" TargetMode="External"/><Relationship Id="rId69" Type="http://schemas.openxmlformats.org/officeDocument/2006/relationships/hyperlink" Target="https://www.education.gov.au/download/4341/south-australia-bilateral-agreement/30030/south-australia-bilateral-agreement/pdf" TargetMode="External"/><Relationship Id="rId8" Type="http://schemas.openxmlformats.org/officeDocument/2006/relationships/webSettings" Target="webSettings.xml"/><Relationship Id="rId51" Type="http://schemas.openxmlformats.org/officeDocument/2006/relationships/header" Target="header12.xml"/><Relationship Id="rId72" Type="http://schemas.openxmlformats.org/officeDocument/2006/relationships/hyperlink" Target="https://www.education.gov.au/download/4379/western-australia-bilateral-agreement/30034/western-australia-bilateral-agreement/pdf"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creativecommons.Org/licenses/by/4.0/" TargetMode="External"/><Relationship Id="rId25" Type="http://schemas.openxmlformats.org/officeDocument/2006/relationships/image" Target="media/image6.png"/><Relationship Id="rId33" Type="http://schemas.openxmlformats.org/officeDocument/2006/relationships/footer" Target="footer7.xml"/><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hyperlink" Target="https://www.myschool.edu.au/media/1990/my-school-financial-reporting-key-principles-and-methodology-89.pdf" TargetMode="External"/><Relationship Id="rId67" Type="http://schemas.openxmlformats.org/officeDocument/2006/relationships/hyperlink" Target="https://www.education.gov.au/download/4390/northern-territory-bilateral-agreement/30028/northern-territory-bilateral-agreement/pdf" TargetMode="External"/><Relationship Id="rId20" Type="http://schemas.openxmlformats.org/officeDocument/2006/relationships/header" Target="header1.xml"/><Relationship Id="rId41" Type="http://schemas.openxmlformats.org/officeDocument/2006/relationships/image" Target="media/image12.png"/><Relationship Id="rId54" Type="http://schemas.openxmlformats.org/officeDocument/2006/relationships/image" Target="media/image21.png"/><Relationship Id="rId62" Type="http://schemas.openxmlformats.org/officeDocument/2006/relationships/hyperlink" Target="https://www.education.gov.au/download/4691/guidance-reporting-state-and-territory-funding-contribution-requirements/37112/guidance-reporting-state-and-territory-funding-contribution-requirements/pdf" TargetMode="External"/><Relationship Id="rId70" Type="http://schemas.openxmlformats.org/officeDocument/2006/relationships/hyperlink" Target="https://www.education.gov.au/download/4391/tasmania-bilateral-agreement/30032/tasmania-bilateral-agreement/pdf"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4.xml"/><Relationship Id="rId28" Type="http://schemas.openxmlformats.org/officeDocument/2006/relationships/footer" Target="footer5.xml"/><Relationship Id="rId36" Type="http://schemas.openxmlformats.org/officeDocument/2006/relationships/chart" Target="charts/chart1.xml"/><Relationship Id="rId49" Type="http://schemas.openxmlformats.org/officeDocument/2006/relationships/header" Target="header11.xml"/><Relationship Id="rId57" Type="http://schemas.openxmlformats.org/officeDocument/2006/relationships/hyperlink" Target="https://www.auasb.gov.au/admin/file/content102/c3/asae_3100_9-09-08.pdf" TargetMode="External"/><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image" Target="media/image15.png"/><Relationship Id="rId52" Type="http://schemas.openxmlformats.org/officeDocument/2006/relationships/image" Target="media/image19.png"/><Relationship Id="rId60" Type="http://schemas.openxmlformats.org/officeDocument/2006/relationships/hyperlink" Target="https://www8.austlii.edu.au/au/legis/cth/consol_act/aea2013210.rtf" TargetMode="External"/><Relationship Id="rId65" Type="http://schemas.openxmlformats.org/officeDocument/2006/relationships/hyperlink" Target="https://www.education.gov.au/national-school-resourcing-board/annual-review-state-and-territory-funding-contributions"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52c7fdf55c734779" Type="http://schemas.microsoft.com/office/2019/09/relationships/intelligence" Target="intelligence.xml"/><Relationship Id="rId13" Type="http://schemas.openxmlformats.org/officeDocument/2006/relationships/footer" Target="footer1.xml"/><Relationship Id="rId18" Type="http://schemas.openxmlformats.org/officeDocument/2006/relationships/hyperlink" Target="https://creativecommons.org/licenses/by/4.0/legalcode" TargetMode="External"/><Relationship Id="rId39" Type="http://schemas.openxmlformats.org/officeDocument/2006/relationships/image" Target="media/image10.png"/><Relationship Id="rId34" Type="http://schemas.openxmlformats.org/officeDocument/2006/relationships/header" Target="header9.xml"/><Relationship Id="rId50" Type="http://schemas.openxmlformats.org/officeDocument/2006/relationships/footer" Target="footer8.xml"/><Relationship Id="rId55" Type="http://schemas.openxmlformats.org/officeDocument/2006/relationships/image" Target="media/image22.png"/><Relationship Id="rId7" Type="http://schemas.openxmlformats.org/officeDocument/2006/relationships/settings" Target="settings.xml"/><Relationship Id="rId71" Type="http://schemas.openxmlformats.org/officeDocument/2006/relationships/hyperlink" Target="https://www.education.gov.au/download/4413/victoria-bilateral-agreement/28366/victoria-bilateral-agreement/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7.jpg"/></Relationships>
</file>

<file path=word/_rels/footer7.xml.rels><?xml version="1.0" encoding="UTF-8" standalone="yes"?>
<Relationships xmlns="http://schemas.openxmlformats.org/package/2006/relationships"><Relationship Id="rId1" Type="http://schemas.openxmlformats.org/officeDocument/2006/relationships/image" Target="media/image7.jpg"/></Relationships>
</file>

<file path=word/_rels/footer8.xml.rels><?xml version="1.0" encoding="UTF-8" standalone="yes"?>
<Relationships xmlns="http://schemas.openxmlformats.org/package/2006/relationships"><Relationship Id="rId1" Type="http://schemas.openxmlformats.org/officeDocument/2006/relationships/image" Target="media/image7.jpg"/></Relationships>
</file>

<file path=word/_rels/footnotes.xml.rels><?xml version="1.0" encoding="UTF-8" standalone="yes"?>
<Relationships xmlns="http://schemas.openxmlformats.org/package/2006/relationships"><Relationship Id="rId3" Type="http://schemas.openxmlformats.org/officeDocument/2006/relationships/hyperlink" Target="https://www.education.gov.au/download/4691/guidance-reporting-state-and-territory-funding-contribution-requirements/37112/guidance-reporting-state-and-territory-funding-contribution-requirements/pdf" TargetMode="External"/><Relationship Id="rId2" Type="http://schemas.openxmlformats.org/officeDocument/2006/relationships/hyperlink" Target="https://classic.austlii.edu.au/cgi-bin/download.cgi/au/legis/cth/consol_reg/aer2023319" TargetMode="External"/><Relationship Id="rId1" Type="http://schemas.openxmlformats.org/officeDocument/2006/relationships/hyperlink" Target="https://www8.austlii.edu.au/au/legis/cth/consol_act/aea2013210.rtf" TargetMode="External"/><Relationship Id="rId4" Type="http://schemas.openxmlformats.org/officeDocument/2006/relationships/hyperlink" Target="https://www.auasb.gov.au/admin/file/content102/c3/asae_3100_9-09-08.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haredservicescentre.sharepoint.com/sites/DESE-NSRBSecretariat-TEAM/Shared%20Documents/General/3%20Reviews/3%20Current%20reviews/s22A%20-%202023%20funding%20ESE24_11295/4%20Report/1%20NSRB%20Draft%20report/20250211%20Board%20s22A%20report%20Figures%20"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haredservicescentre.sharepoint.com/sites/DESE-NSRBSecretariat-TEAM/Shared%20Documents/General/3%20Reviews/3%20Current%20reviews/s22A%20-%202023%20funding%20ESE24_11295/4%20Report/1%20NSRB%20Draft%20report/20250211%20Board%20s22A%20report%20Figures%20"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136482939632546E-2"/>
          <c:y val="0.16708333333333336"/>
          <c:w val="0.89030796150481195"/>
          <c:h val="0.6153546952464275"/>
        </c:manualLayout>
      </c:layout>
      <c:barChart>
        <c:barDir val="col"/>
        <c:grouping val="clustered"/>
        <c:varyColors val="0"/>
        <c:ser>
          <c:idx val="0"/>
          <c:order val="0"/>
          <c:tx>
            <c:strRef>
              <c:f>'[20250211 Board s22A report Figures 1 and 2.xlsx]NSRB Figure 1 and 2'!$B$4</c:f>
              <c:strCache>
                <c:ptCount val="1"/>
                <c:pt idx="0">
                  <c:v>Contributed %</c:v>
                </c:pt>
              </c:strCache>
            </c:strRef>
          </c:tx>
          <c:spPr>
            <a:solidFill>
              <a:schemeClr val="accent1"/>
            </a:solidFill>
            <a:ln>
              <a:noFill/>
            </a:ln>
            <a:effectLst/>
          </c:spPr>
          <c:invertIfNegative val="0"/>
          <c:cat>
            <c:strRef>
              <c:f>'[20250211 Board s22A report Figures 1 and 2.xlsx]NSRB Figure 1 and 2'!$C$3:$J$3</c:f>
              <c:strCache>
                <c:ptCount val="8"/>
                <c:pt idx="0">
                  <c:v>ACT</c:v>
                </c:pt>
                <c:pt idx="1">
                  <c:v>NSW</c:v>
                </c:pt>
                <c:pt idx="2">
                  <c:v>NT</c:v>
                </c:pt>
                <c:pt idx="3">
                  <c:v>QLD</c:v>
                </c:pt>
                <c:pt idx="4">
                  <c:v>SA</c:v>
                </c:pt>
                <c:pt idx="5">
                  <c:v>TAS</c:v>
                </c:pt>
                <c:pt idx="6">
                  <c:v>VIC</c:v>
                </c:pt>
                <c:pt idx="7">
                  <c:v>WA</c:v>
                </c:pt>
              </c:strCache>
            </c:strRef>
          </c:cat>
          <c:val>
            <c:numRef>
              <c:f>'[20250211 Board s22A report Figures 1 and 2.xlsx]NSRB Figure 1 and 2'!$C$4:$J$4</c:f>
              <c:numCache>
                <c:formatCode>General</c:formatCode>
                <c:ptCount val="8"/>
                <c:pt idx="0">
                  <c:v>89.26</c:v>
                </c:pt>
                <c:pt idx="1">
                  <c:v>80.28</c:v>
                </c:pt>
                <c:pt idx="2">
                  <c:v>57.36</c:v>
                </c:pt>
                <c:pt idx="3">
                  <c:v>72.75</c:v>
                </c:pt>
                <c:pt idx="4">
                  <c:v>74.64</c:v>
                </c:pt>
                <c:pt idx="5" formatCode="0.00">
                  <c:v>76.45</c:v>
                </c:pt>
                <c:pt idx="6">
                  <c:v>68.760000000000005</c:v>
                </c:pt>
                <c:pt idx="7" formatCode="0.00">
                  <c:v>78.78</c:v>
                </c:pt>
              </c:numCache>
            </c:numRef>
          </c:val>
          <c:extLst>
            <c:ext xmlns:c16="http://schemas.microsoft.com/office/drawing/2014/chart" uri="{C3380CC4-5D6E-409C-BE32-E72D297353CC}">
              <c16:uniqueId val="{00000000-07A5-4AD0-A57E-09683AC554CD}"/>
            </c:ext>
          </c:extLst>
        </c:ser>
        <c:ser>
          <c:idx val="1"/>
          <c:order val="1"/>
          <c:tx>
            <c:strRef>
              <c:f>'[20250211 Board s22A report Figures 1 and 2.xlsx]NSRB Figure 1 and 2'!$B$5</c:f>
              <c:strCache>
                <c:ptCount val="1"/>
                <c:pt idx="0">
                  <c:v>Requirement %</c:v>
                </c:pt>
              </c:strCache>
            </c:strRef>
          </c:tx>
          <c:spPr>
            <a:solidFill>
              <a:schemeClr val="accent2"/>
            </a:solidFill>
            <a:ln>
              <a:noFill/>
            </a:ln>
            <a:effectLst/>
          </c:spPr>
          <c:invertIfNegative val="0"/>
          <c:dLbls>
            <c:dLbl>
              <c:idx val="0"/>
              <c:layout>
                <c:manualLayout>
                  <c:x val="1.2731334408019993E-17"/>
                  <c:y val="-5.1044083526682132E-2"/>
                </c:manualLayout>
              </c:layout>
              <c:tx>
                <c:rich>
                  <a:bodyPr/>
                  <a:lstStyle/>
                  <a:p>
                    <a:r>
                      <a:rPr lang="en-US"/>
                      <a:t>9.26%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7A5-4AD0-A57E-09683AC554CD}"/>
                </c:ext>
              </c:extLst>
            </c:dLbl>
            <c:dLbl>
              <c:idx val="1"/>
              <c:layout>
                <c:manualLayout>
                  <c:x val="0"/>
                  <c:y val="-3.7122969837587005E-2"/>
                </c:manualLayout>
              </c:layout>
              <c:tx>
                <c:rich>
                  <a:bodyPr/>
                  <a:lstStyle/>
                  <a:p>
                    <a:r>
                      <a:rPr lang="en-US"/>
                      <a:t>8.06%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7A5-4AD0-A57E-09683AC554CD}"/>
                </c:ext>
              </c:extLst>
            </c:dLbl>
            <c:dLbl>
              <c:idx val="2"/>
              <c:tx>
                <c:rich>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r>
                      <a:rPr lang="en-US">
                        <a:solidFill>
                          <a:srgbClr val="FF0000"/>
                        </a:solidFill>
                      </a:rPr>
                      <a:t>-1.64%</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7A5-4AD0-A57E-09683AC554CD}"/>
                </c:ext>
              </c:extLst>
            </c:dLbl>
            <c:dLbl>
              <c:idx val="3"/>
              <c:tx>
                <c:rich>
                  <a:bodyPr/>
                  <a:lstStyle/>
                  <a:p>
                    <a:r>
                      <a:rPr lang="en-US"/>
                      <a:t>3.49%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7A5-4AD0-A57E-09683AC554CD}"/>
                </c:ext>
              </c:extLst>
            </c:dLbl>
            <c:dLbl>
              <c:idx val="4"/>
              <c:tx>
                <c:rich>
                  <a:bodyPr/>
                  <a:lstStyle/>
                  <a:p>
                    <a:r>
                      <a:rPr lang="en-US"/>
                      <a:t>-0.36%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7A5-4AD0-A57E-09683AC554CD}"/>
                </c:ext>
              </c:extLst>
            </c:dLbl>
            <c:dLbl>
              <c:idx val="5"/>
              <c:tx>
                <c:rich>
                  <a:bodyPr/>
                  <a:lstStyle/>
                  <a:p>
                    <a:r>
                      <a:rPr lang="en-US"/>
                      <a:t>2.37%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7A5-4AD0-A57E-09683AC554CD}"/>
                </c:ext>
              </c:extLst>
            </c:dLbl>
            <c:dLbl>
              <c:idx val="6"/>
              <c:tx>
                <c:rich>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r>
                      <a:rPr lang="en-US">
                        <a:solidFill>
                          <a:srgbClr val="FF0000"/>
                        </a:solidFill>
                      </a:rPr>
                      <a:t>-1.67%</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7A5-4AD0-A57E-09683AC554CD}"/>
                </c:ext>
              </c:extLst>
            </c:dLbl>
            <c:dLbl>
              <c:idx val="7"/>
              <c:layout>
                <c:manualLayout>
                  <c:x val="0"/>
                  <c:y val="-9.2807424593967514E-3"/>
                </c:manualLayout>
              </c:layout>
              <c:tx>
                <c:rich>
                  <a:bodyPr/>
                  <a:lstStyle/>
                  <a:p>
                    <a:r>
                      <a:rPr lang="en-US"/>
                      <a:t>3.78%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07A5-4AD0-A57E-09683AC554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'[20250211 Board s22A report Figures 1 and 2.xlsx]NSRB Figure 1 and 2'!$C$3:$J$3</c:f>
              <c:strCache>
                <c:ptCount val="8"/>
                <c:pt idx="0">
                  <c:v>ACT</c:v>
                </c:pt>
                <c:pt idx="1">
                  <c:v>NSW</c:v>
                </c:pt>
                <c:pt idx="2">
                  <c:v>NT</c:v>
                </c:pt>
                <c:pt idx="3">
                  <c:v>QLD</c:v>
                </c:pt>
                <c:pt idx="4">
                  <c:v>SA</c:v>
                </c:pt>
                <c:pt idx="5">
                  <c:v>TAS</c:v>
                </c:pt>
                <c:pt idx="6">
                  <c:v>VIC</c:v>
                </c:pt>
                <c:pt idx="7">
                  <c:v>WA</c:v>
                </c:pt>
              </c:strCache>
            </c:strRef>
          </c:cat>
          <c:val>
            <c:numRef>
              <c:f>'[20250211 Board s22A report Figures 1 and 2.xlsx]NSRB Figure 1 and 2'!$C$5:$J$5</c:f>
              <c:numCache>
                <c:formatCode>General</c:formatCode>
                <c:ptCount val="8"/>
                <c:pt idx="0">
                  <c:v>80</c:v>
                </c:pt>
                <c:pt idx="1">
                  <c:v>72.22</c:v>
                </c:pt>
                <c:pt idx="2">
                  <c:v>59</c:v>
                </c:pt>
                <c:pt idx="3">
                  <c:v>69.260000000000005</c:v>
                </c:pt>
                <c:pt idx="4" formatCode="0.00">
                  <c:v>75</c:v>
                </c:pt>
                <c:pt idx="5" formatCode="0.00">
                  <c:v>74.08</c:v>
                </c:pt>
                <c:pt idx="6">
                  <c:v>70.430000000000007</c:v>
                </c:pt>
                <c:pt idx="7">
                  <c:v>75</c:v>
                </c:pt>
              </c:numCache>
            </c:numRef>
          </c:val>
          <c:extLst>
            <c:ext xmlns:c16="http://schemas.microsoft.com/office/drawing/2014/chart" uri="{C3380CC4-5D6E-409C-BE32-E72D297353CC}">
              <c16:uniqueId val="{00000009-07A5-4AD0-A57E-09683AC554CD}"/>
            </c:ext>
          </c:extLst>
        </c:ser>
        <c:dLbls>
          <c:showLegendKey val="0"/>
          <c:showVal val="0"/>
          <c:showCatName val="0"/>
          <c:showSerName val="0"/>
          <c:showPercent val="0"/>
          <c:showBubbleSize val="0"/>
        </c:dLbls>
        <c:gapWidth val="219"/>
        <c:axId val="1730922703"/>
        <c:axId val="1730893423"/>
      </c:barChart>
      <c:lineChart>
        <c:grouping val="standard"/>
        <c:varyColors val="0"/>
        <c:ser>
          <c:idx val="2"/>
          <c:order val="2"/>
          <c:tx>
            <c:strRef>
              <c:f>'[20250211 Board s22A report Figures 1 and 2.xlsx]NSRB Figure 1 and 2'!$B$6</c:f>
              <c:strCache>
                <c:ptCount val="1"/>
                <c:pt idx="0">
                  <c:v>Shortfall/Surplus %</c:v>
                </c:pt>
              </c:strCache>
            </c:strRef>
          </c:tx>
          <c:spPr>
            <a:ln w="25400" cap="rnd">
              <a:noFill/>
              <a:round/>
            </a:ln>
            <a:effectLst/>
          </c:spPr>
          <c:marker>
            <c:symbol val="none"/>
          </c:marker>
          <c:cat>
            <c:numRef>
              <c:f>'[20250211 Board s22A report Figures 1 and 2.xlsx]NSRB Figure 1 and 2'!$C$7:$J$7</c:f>
              <c:numCache>
                <c:formatCode>General</c:formatCode>
                <c:ptCount val="8"/>
                <c:pt idx="2">
                  <c:v>-1.6400000000000006</c:v>
                </c:pt>
                <c:pt idx="6">
                  <c:v>-1.6700000000000017</c:v>
                </c:pt>
              </c:numCache>
            </c:numRef>
          </c:cat>
          <c:val>
            <c:numRef>
              <c:f>'[20250211 Board s22A report Figures 1 and 2.xlsx]NSRB Figure 1 and 2'!$C$4:$J$4</c:f>
              <c:numCache>
                <c:formatCode>General</c:formatCode>
                <c:ptCount val="8"/>
                <c:pt idx="0">
                  <c:v>89.26</c:v>
                </c:pt>
                <c:pt idx="1">
                  <c:v>80.28</c:v>
                </c:pt>
                <c:pt idx="2">
                  <c:v>57.36</c:v>
                </c:pt>
                <c:pt idx="3">
                  <c:v>72.75</c:v>
                </c:pt>
                <c:pt idx="4">
                  <c:v>74.64</c:v>
                </c:pt>
                <c:pt idx="5" formatCode="0.00">
                  <c:v>76.45</c:v>
                </c:pt>
                <c:pt idx="6">
                  <c:v>68.760000000000005</c:v>
                </c:pt>
                <c:pt idx="7" formatCode="0.00">
                  <c:v>78.78</c:v>
                </c:pt>
              </c:numCache>
            </c:numRef>
          </c:val>
          <c:smooth val="0"/>
          <c:extLst>
            <c:ext xmlns:c16="http://schemas.microsoft.com/office/drawing/2014/chart" uri="{C3380CC4-5D6E-409C-BE32-E72D297353CC}">
              <c16:uniqueId val="{0000000A-07A5-4AD0-A57E-09683AC554CD}"/>
            </c:ext>
          </c:extLst>
        </c:ser>
        <c:ser>
          <c:idx val="3"/>
          <c:order val="3"/>
          <c:tx>
            <c:strRef>
              <c:f>'[20250211 Board s22A report Figures 1 and 2.xlsx]NSRB Figure 1 and 2'!$B$7</c:f>
              <c:strCache>
                <c:ptCount val="1"/>
                <c:pt idx="0">
                  <c:v>Shortfall &gt;0.6%</c:v>
                </c:pt>
              </c:strCache>
            </c:strRef>
          </c:tx>
          <c:spPr>
            <a:ln w="25400" cap="rnd">
              <a:noFill/>
              <a:round/>
            </a:ln>
            <a:effectLst/>
          </c:spPr>
          <c:marker>
            <c:symbol val="none"/>
          </c:marker>
          <c:cat>
            <c:numRef>
              <c:f>'[20250211 Board s22A report Figures 1 and 2.xlsx]NSRB Figure 1 and 2'!$C$7:$J$7</c:f>
              <c:numCache>
                <c:formatCode>General</c:formatCode>
                <c:ptCount val="8"/>
                <c:pt idx="2">
                  <c:v>-1.6400000000000006</c:v>
                </c:pt>
                <c:pt idx="6">
                  <c:v>-1.6700000000000017</c:v>
                </c:pt>
              </c:numCache>
            </c:numRef>
          </c:cat>
          <c:val>
            <c:numRef>
              <c:f>'[20250211 Board s22A report Figures 1 and 2.xlsx]NSRB Figure 1 and 2'!$C$4:$J$4</c:f>
              <c:numCache>
                <c:formatCode>General</c:formatCode>
                <c:ptCount val="8"/>
                <c:pt idx="0">
                  <c:v>89.26</c:v>
                </c:pt>
                <c:pt idx="1">
                  <c:v>80.28</c:v>
                </c:pt>
                <c:pt idx="2">
                  <c:v>57.36</c:v>
                </c:pt>
                <c:pt idx="3">
                  <c:v>72.75</c:v>
                </c:pt>
                <c:pt idx="4">
                  <c:v>74.64</c:v>
                </c:pt>
                <c:pt idx="5" formatCode="0.00">
                  <c:v>76.45</c:v>
                </c:pt>
                <c:pt idx="6">
                  <c:v>68.760000000000005</c:v>
                </c:pt>
                <c:pt idx="7" formatCode="0.00">
                  <c:v>78.78</c:v>
                </c:pt>
              </c:numCache>
            </c:numRef>
          </c:val>
          <c:smooth val="0"/>
          <c:extLst>
            <c:ext xmlns:c16="http://schemas.microsoft.com/office/drawing/2014/chart" uri="{C3380CC4-5D6E-409C-BE32-E72D297353CC}">
              <c16:uniqueId val="{0000000B-07A5-4AD0-A57E-09683AC554CD}"/>
            </c:ext>
          </c:extLst>
        </c:ser>
        <c:dLbls>
          <c:showLegendKey val="0"/>
          <c:showVal val="0"/>
          <c:showCatName val="0"/>
          <c:showSerName val="0"/>
          <c:showPercent val="0"/>
          <c:showBubbleSize val="0"/>
        </c:dLbls>
        <c:marker val="1"/>
        <c:smooth val="0"/>
        <c:axId val="1730922703"/>
        <c:axId val="1730893423"/>
      </c:lineChart>
      <c:catAx>
        <c:axId val="1730922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0893423"/>
        <c:crosses val="autoZero"/>
        <c:auto val="1"/>
        <c:lblAlgn val="ctr"/>
        <c:lblOffset val="100"/>
        <c:noMultiLvlLbl val="0"/>
      </c:catAx>
      <c:valAx>
        <c:axId val="17308934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0922703"/>
        <c:crosses val="autoZero"/>
        <c:crossBetween val="between"/>
        <c:majorUnit val="20"/>
      </c:valAx>
      <c:spPr>
        <a:noFill/>
        <a:ln>
          <a:noFill/>
        </a:ln>
        <a:effectLst/>
      </c:spPr>
    </c:plotArea>
    <c:legend>
      <c:legendPos val="b"/>
      <c:legendEntry>
        <c:idx val="3"/>
        <c:txPr>
          <a:bodyPr rot="0" spcFirstLastPara="1" vertOverflow="ellipsis" vert="horz" wrap="square" anchor="ctr" anchorCtr="1"/>
          <a:lstStyle/>
          <a:p>
            <a:pPr>
              <a:defRPr sz="900" b="0" i="0" u="none" strike="noStrike" kern="1200" baseline="0">
                <a:solidFill>
                  <a:srgbClr val="FF0000"/>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'[20250211 Board s22A report Figures 1 and 2.xlsx]NSRB Figure 1 and 2'!$B$11</c:f>
              <c:strCache>
                <c:ptCount val="1"/>
                <c:pt idx="0">
                  <c:v>Contributed %</c:v>
                </c:pt>
              </c:strCache>
            </c:strRef>
          </c:tx>
          <c:spPr>
            <a:solidFill>
              <a:schemeClr val="accent1"/>
            </a:solidFill>
            <a:ln>
              <a:noFill/>
            </a:ln>
            <a:effectLst/>
          </c:spPr>
          <c:invertIfNegative val="0"/>
          <c:cat>
            <c:strRef>
              <c:f>'[20250211 Board s22A report Figures 1 and 2.xlsx]NSRB Figure 1 and 2'!$C$10:$J$10</c:f>
              <c:strCache>
                <c:ptCount val="8"/>
                <c:pt idx="0">
                  <c:v>ACT</c:v>
                </c:pt>
                <c:pt idx="1">
                  <c:v>NSW</c:v>
                </c:pt>
                <c:pt idx="2">
                  <c:v>NT</c:v>
                </c:pt>
                <c:pt idx="3">
                  <c:v>QLD</c:v>
                </c:pt>
                <c:pt idx="4">
                  <c:v>SA</c:v>
                </c:pt>
                <c:pt idx="5">
                  <c:v>TAS</c:v>
                </c:pt>
                <c:pt idx="6">
                  <c:v>VIC</c:v>
                </c:pt>
                <c:pt idx="7">
                  <c:v>WA</c:v>
                </c:pt>
              </c:strCache>
            </c:strRef>
          </c:cat>
          <c:val>
            <c:numRef>
              <c:f>'[20250211 Board s22A report Figures 1 and 2.xlsx]NSRB Figure 1 and 2'!$C$11:$J$11</c:f>
              <c:numCache>
                <c:formatCode>General</c:formatCode>
                <c:ptCount val="8"/>
                <c:pt idx="0">
                  <c:v>20</c:v>
                </c:pt>
                <c:pt idx="1">
                  <c:v>23.38</c:v>
                </c:pt>
                <c:pt idx="2">
                  <c:v>14.49</c:v>
                </c:pt>
                <c:pt idx="3">
                  <c:v>20.55</c:v>
                </c:pt>
                <c:pt idx="4" formatCode="0.00">
                  <c:v>23.1</c:v>
                </c:pt>
                <c:pt idx="5" formatCode="0.00">
                  <c:v>20.05</c:v>
                </c:pt>
                <c:pt idx="6">
                  <c:v>19.45</c:v>
                </c:pt>
                <c:pt idx="7">
                  <c:v>20.21</c:v>
                </c:pt>
              </c:numCache>
            </c:numRef>
          </c:val>
          <c:extLst>
            <c:ext xmlns:c16="http://schemas.microsoft.com/office/drawing/2014/chart" uri="{C3380CC4-5D6E-409C-BE32-E72D297353CC}">
              <c16:uniqueId val="{00000000-E012-4946-A03A-4BB0E0AC728F}"/>
            </c:ext>
          </c:extLst>
        </c:ser>
        <c:ser>
          <c:idx val="1"/>
          <c:order val="1"/>
          <c:tx>
            <c:strRef>
              <c:f>'[20250211 Board s22A report Figures 1 and 2.xlsx]NSRB Figure 1 and 2'!$B$12</c:f>
              <c:strCache>
                <c:ptCount val="1"/>
                <c:pt idx="0">
                  <c:v>Requirement %</c:v>
                </c:pt>
              </c:strCache>
            </c:strRef>
          </c:tx>
          <c:spPr>
            <a:solidFill>
              <a:schemeClr val="accent2"/>
            </a:solidFill>
            <a:ln>
              <a:noFill/>
            </a:ln>
            <a:effectLst/>
          </c:spPr>
          <c:invertIfNegative val="0"/>
          <c:cat>
            <c:strRef>
              <c:f>'[20250211 Board s22A report Figures 1 and 2.xlsx]NSRB Figure 1 and 2'!$C$10:$J$10</c:f>
              <c:strCache>
                <c:ptCount val="8"/>
                <c:pt idx="0">
                  <c:v>ACT</c:v>
                </c:pt>
                <c:pt idx="1">
                  <c:v>NSW</c:v>
                </c:pt>
                <c:pt idx="2">
                  <c:v>NT</c:v>
                </c:pt>
                <c:pt idx="3">
                  <c:v>QLD</c:v>
                </c:pt>
                <c:pt idx="4">
                  <c:v>SA</c:v>
                </c:pt>
                <c:pt idx="5">
                  <c:v>TAS</c:v>
                </c:pt>
                <c:pt idx="6">
                  <c:v>VIC</c:v>
                </c:pt>
                <c:pt idx="7">
                  <c:v>WA</c:v>
                </c:pt>
              </c:strCache>
            </c:strRef>
          </c:cat>
          <c:val>
            <c:numRef>
              <c:f>'[20250211 Board s22A report Figures 1 and 2.xlsx]NSRB Figure 1 and 2'!$C$12:$J$12</c:f>
              <c:numCache>
                <c:formatCode>0.00</c:formatCode>
                <c:ptCount val="8"/>
                <c:pt idx="0" formatCode="General">
                  <c:v>20</c:v>
                </c:pt>
                <c:pt idx="1">
                  <c:v>22.57</c:v>
                </c:pt>
                <c:pt idx="2" formatCode="General">
                  <c:v>15.09</c:v>
                </c:pt>
                <c:pt idx="3" formatCode="General">
                  <c:v>20.58</c:v>
                </c:pt>
                <c:pt idx="4" formatCode="General">
                  <c:v>19.72</c:v>
                </c:pt>
                <c:pt idx="5">
                  <c:v>20</c:v>
                </c:pt>
                <c:pt idx="6" formatCode="General">
                  <c:v>20</c:v>
                </c:pt>
                <c:pt idx="7">
                  <c:v>20</c:v>
                </c:pt>
              </c:numCache>
            </c:numRef>
          </c:val>
          <c:extLst>
            <c:ext xmlns:c16="http://schemas.microsoft.com/office/drawing/2014/chart" uri="{C3380CC4-5D6E-409C-BE32-E72D297353CC}">
              <c16:uniqueId val="{00000001-E012-4946-A03A-4BB0E0AC728F}"/>
            </c:ext>
          </c:extLst>
        </c:ser>
        <c:dLbls>
          <c:showLegendKey val="0"/>
          <c:showVal val="0"/>
          <c:showCatName val="0"/>
          <c:showSerName val="0"/>
          <c:showPercent val="0"/>
          <c:showBubbleSize val="0"/>
        </c:dLbls>
        <c:gapWidth val="219"/>
        <c:axId val="1736039775"/>
        <c:axId val="1736040735"/>
      </c:barChart>
      <c:lineChart>
        <c:grouping val="standard"/>
        <c:varyColors val="0"/>
        <c:ser>
          <c:idx val="2"/>
          <c:order val="2"/>
          <c:tx>
            <c:strRef>
              <c:f>'[20250211 Board s22A report Figures 1 and 2.xlsx]NSRB Figure 1 and 2'!$B$13</c:f>
              <c:strCache>
                <c:ptCount val="1"/>
                <c:pt idx="0">
                  <c:v>Shortfall/Surplus %</c:v>
                </c:pt>
              </c:strCache>
            </c:strRef>
          </c:tx>
          <c:spPr>
            <a:ln w="28575" cap="rnd">
              <a:noFill/>
              <a:round/>
            </a:ln>
            <a:effectLst/>
          </c:spPr>
          <c:marker>
            <c:symbol val="none"/>
          </c:marker>
          <c:dLbls>
            <c:dLbl>
              <c:idx val="0"/>
              <c:tx>
                <c:rich>
                  <a:bodyPr/>
                  <a:lstStyle/>
                  <a:p>
                    <a:r>
                      <a:rPr lang="en-US"/>
                      <a:t>0%</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012-4946-A03A-4BB0E0AC728F}"/>
                </c:ext>
              </c:extLst>
            </c:dLbl>
            <c:dLbl>
              <c:idx val="1"/>
              <c:layout>
                <c:manualLayout>
                  <c:x val="-5.5368110236220472E-2"/>
                  <c:y val="-2.5398934959719632E-2"/>
                </c:manualLayout>
              </c:layout>
              <c:tx>
                <c:rich>
                  <a:bodyPr/>
                  <a:lstStyle/>
                  <a:p>
                    <a:r>
                      <a:rPr lang="en-US"/>
                      <a:t>0.81%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012-4946-A03A-4BB0E0AC728F}"/>
                </c:ext>
              </c:extLst>
            </c:dLbl>
            <c:dLbl>
              <c:idx val="2"/>
              <c:tx>
                <c:rich>
                  <a:bodyPr/>
                  <a:lstStyle/>
                  <a:p>
                    <a:r>
                      <a:rPr lang="en-US"/>
                      <a:t>-0.60%</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012-4946-A03A-4BB0E0AC728F}"/>
                </c:ext>
              </c:extLst>
            </c:dLbl>
            <c:dLbl>
              <c:idx val="3"/>
              <c:tx>
                <c:rich>
                  <a:bodyPr/>
                  <a:lstStyle/>
                  <a:p>
                    <a:r>
                      <a:rPr lang="en-US"/>
                      <a:t>-0.03%</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012-4946-A03A-4BB0E0AC728F}"/>
                </c:ext>
              </c:extLst>
            </c:dLbl>
            <c:dLbl>
              <c:idx val="4"/>
              <c:layout>
                <c:manualLayout>
                  <c:x val="-5.5368110236220576E-2"/>
                  <c:y val="-2.0774657503072252E-2"/>
                </c:manualLayout>
              </c:layout>
              <c:tx>
                <c:rich>
                  <a:bodyPr/>
                  <a:lstStyle/>
                  <a:p>
                    <a:r>
                      <a:rPr lang="en-US"/>
                      <a:t>3.38%</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012-4946-A03A-4BB0E0AC728F}"/>
                </c:ext>
              </c:extLst>
            </c:dLbl>
            <c:dLbl>
              <c:idx val="5"/>
              <c:tx>
                <c:rich>
                  <a:bodyPr/>
                  <a:lstStyle/>
                  <a:p>
                    <a:r>
                      <a:rPr lang="en-US"/>
                      <a:t>0.05%</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012-4946-A03A-4BB0E0AC728F}"/>
                </c:ext>
              </c:extLst>
            </c:dLbl>
            <c:dLbl>
              <c:idx val="6"/>
              <c:tx>
                <c:rich>
                  <a:bodyPr/>
                  <a:lstStyle/>
                  <a:p>
                    <a:r>
                      <a:rPr lang="en-US"/>
                      <a:t>-0.55%</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012-4946-A03A-4BB0E0AC728F}"/>
                </c:ext>
              </c:extLst>
            </c:dLbl>
            <c:dLbl>
              <c:idx val="7"/>
              <c:tx>
                <c:rich>
                  <a:bodyPr/>
                  <a:lstStyle/>
                  <a:p>
                    <a:r>
                      <a:rPr lang="en-US"/>
                      <a:t>0.21%</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012-4946-A03A-4BB0E0AC72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'[20250211 Board s22A report Figures 1 and 2.xlsx]NSRB Figure 1 and 2'!$C$10:$J$10</c:f>
              <c:strCache>
                <c:ptCount val="8"/>
                <c:pt idx="0">
                  <c:v>ACT</c:v>
                </c:pt>
                <c:pt idx="1">
                  <c:v>NSW</c:v>
                </c:pt>
                <c:pt idx="2">
                  <c:v>NT</c:v>
                </c:pt>
                <c:pt idx="3">
                  <c:v>QLD</c:v>
                </c:pt>
                <c:pt idx="4">
                  <c:v>SA</c:v>
                </c:pt>
                <c:pt idx="5">
                  <c:v>TAS</c:v>
                </c:pt>
                <c:pt idx="6">
                  <c:v>VIC</c:v>
                </c:pt>
                <c:pt idx="7">
                  <c:v>WA</c:v>
                </c:pt>
              </c:strCache>
            </c:strRef>
          </c:cat>
          <c:val>
            <c:numRef>
              <c:f>'[20250211 Board s22A report Figures 1 and 2.xlsx]NSRB Figure 1 and 2'!$C$11:$J$11</c:f>
              <c:numCache>
                <c:formatCode>General</c:formatCode>
                <c:ptCount val="8"/>
                <c:pt idx="0">
                  <c:v>20</c:v>
                </c:pt>
                <c:pt idx="1">
                  <c:v>23.38</c:v>
                </c:pt>
                <c:pt idx="2">
                  <c:v>14.49</c:v>
                </c:pt>
                <c:pt idx="3">
                  <c:v>20.55</c:v>
                </c:pt>
                <c:pt idx="4" formatCode="0.00">
                  <c:v>23.1</c:v>
                </c:pt>
                <c:pt idx="5" formatCode="0.00">
                  <c:v>20.05</c:v>
                </c:pt>
                <c:pt idx="6">
                  <c:v>19.45</c:v>
                </c:pt>
                <c:pt idx="7">
                  <c:v>20.21</c:v>
                </c:pt>
              </c:numCache>
            </c:numRef>
          </c:val>
          <c:smooth val="0"/>
          <c:extLst>
            <c:ext xmlns:c16="http://schemas.microsoft.com/office/drawing/2014/chart" uri="{C3380CC4-5D6E-409C-BE32-E72D297353CC}">
              <c16:uniqueId val="{0000000A-E012-4946-A03A-4BB0E0AC728F}"/>
            </c:ext>
          </c:extLst>
        </c:ser>
        <c:dLbls>
          <c:showLegendKey val="0"/>
          <c:showVal val="0"/>
          <c:showCatName val="0"/>
          <c:showSerName val="0"/>
          <c:showPercent val="0"/>
          <c:showBubbleSize val="0"/>
        </c:dLbls>
        <c:marker val="1"/>
        <c:smooth val="0"/>
        <c:axId val="1736039775"/>
        <c:axId val="1736040735"/>
      </c:lineChart>
      <c:catAx>
        <c:axId val="17360397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6040735"/>
        <c:crosses val="autoZero"/>
        <c:auto val="1"/>
        <c:lblAlgn val="ctr"/>
        <c:lblOffset val="100"/>
        <c:noMultiLvlLbl val="0"/>
      </c:catAx>
      <c:valAx>
        <c:axId val="1736040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60397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6317CF62-8555-48BB-9A8D-F320353C9FD1}"/>
      </w:docPartPr>
      <w:docPartBody>
        <w:p w:rsidR="0095765F" w:rsidRDefault="009576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altName w:val="Webdings"/>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5765F"/>
    <w:rsid w:val="00003DA8"/>
    <w:rsid w:val="0000475C"/>
    <w:rsid w:val="00017073"/>
    <w:rsid w:val="000209CB"/>
    <w:rsid w:val="00035E4D"/>
    <w:rsid w:val="000724A4"/>
    <w:rsid w:val="00075621"/>
    <w:rsid w:val="00085108"/>
    <w:rsid w:val="00096B75"/>
    <w:rsid w:val="000A161A"/>
    <w:rsid w:val="000A6A06"/>
    <w:rsid w:val="000A7367"/>
    <w:rsid w:val="000B37BB"/>
    <w:rsid w:val="000C0EC6"/>
    <w:rsid w:val="000C2F61"/>
    <w:rsid w:val="000D210E"/>
    <w:rsid w:val="000D4DF1"/>
    <w:rsid w:val="000E575F"/>
    <w:rsid w:val="000F168E"/>
    <w:rsid w:val="000F40A2"/>
    <w:rsid w:val="000F643B"/>
    <w:rsid w:val="00103407"/>
    <w:rsid w:val="00110800"/>
    <w:rsid w:val="00110855"/>
    <w:rsid w:val="0011103E"/>
    <w:rsid w:val="00111109"/>
    <w:rsid w:val="00121051"/>
    <w:rsid w:val="0012273B"/>
    <w:rsid w:val="0012669C"/>
    <w:rsid w:val="001333B9"/>
    <w:rsid w:val="00140AD4"/>
    <w:rsid w:val="00144AE4"/>
    <w:rsid w:val="0014575A"/>
    <w:rsid w:val="001523F9"/>
    <w:rsid w:val="001532F2"/>
    <w:rsid w:val="00156F30"/>
    <w:rsid w:val="00157551"/>
    <w:rsid w:val="001629AD"/>
    <w:rsid w:val="00177D24"/>
    <w:rsid w:val="00197517"/>
    <w:rsid w:val="001A3028"/>
    <w:rsid w:val="001A76E1"/>
    <w:rsid w:val="00225FB9"/>
    <w:rsid w:val="002613EA"/>
    <w:rsid w:val="00267E74"/>
    <w:rsid w:val="00274BC1"/>
    <w:rsid w:val="0027554D"/>
    <w:rsid w:val="00276150"/>
    <w:rsid w:val="00277B59"/>
    <w:rsid w:val="00283021"/>
    <w:rsid w:val="002838F1"/>
    <w:rsid w:val="00283B60"/>
    <w:rsid w:val="00294C31"/>
    <w:rsid w:val="002A3042"/>
    <w:rsid w:val="002A6E78"/>
    <w:rsid w:val="002D00AA"/>
    <w:rsid w:val="002D0477"/>
    <w:rsid w:val="002D0FA1"/>
    <w:rsid w:val="002D301C"/>
    <w:rsid w:val="002D6C9C"/>
    <w:rsid w:val="002D73FE"/>
    <w:rsid w:val="00301082"/>
    <w:rsid w:val="00302BEE"/>
    <w:rsid w:val="003045A6"/>
    <w:rsid w:val="00311DD4"/>
    <w:rsid w:val="003210E2"/>
    <w:rsid w:val="00324994"/>
    <w:rsid w:val="0032605F"/>
    <w:rsid w:val="00330B0E"/>
    <w:rsid w:val="0034360C"/>
    <w:rsid w:val="00343AB1"/>
    <w:rsid w:val="00345927"/>
    <w:rsid w:val="003524A6"/>
    <w:rsid w:val="00361398"/>
    <w:rsid w:val="00367998"/>
    <w:rsid w:val="00373F2E"/>
    <w:rsid w:val="00375BAC"/>
    <w:rsid w:val="00387CD5"/>
    <w:rsid w:val="00390801"/>
    <w:rsid w:val="00396712"/>
    <w:rsid w:val="003A0FDC"/>
    <w:rsid w:val="003A2081"/>
    <w:rsid w:val="003A69CD"/>
    <w:rsid w:val="003B21DF"/>
    <w:rsid w:val="003D3442"/>
    <w:rsid w:val="003D7926"/>
    <w:rsid w:val="003E1496"/>
    <w:rsid w:val="003E76AB"/>
    <w:rsid w:val="00405527"/>
    <w:rsid w:val="00413BE6"/>
    <w:rsid w:val="004209F1"/>
    <w:rsid w:val="004277E9"/>
    <w:rsid w:val="00431486"/>
    <w:rsid w:val="00435363"/>
    <w:rsid w:val="00435EB9"/>
    <w:rsid w:val="00436DFE"/>
    <w:rsid w:val="00453211"/>
    <w:rsid w:val="004634B7"/>
    <w:rsid w:val="00465D4E"/>
    <w:rsid w:val="004669E0"/>
    <w:rsid w:val="00473D1E"/>
    <w:rsid w:val="00485FF2"/>
    <w:rsid w:val="00487866"/>
    <w:rsid w:val="0049396B"/>
    <w:rsid w:val="004958A7"/>
    <w:rsid w:val="00497F8E"/>
    <w:rsid w:val="004A0D14"/>
    <w:rsid w:val="004A40A4"/>
    <w:rsid w:val="004A42AE"/>
    <w:rsid w:val="004B5FC4"/>
    <w:rsid w:val="004B79CE"/>
    <w:rsid w:val="004D343E"/>
    <w:rsid w:val="00500400"/>
    <w:rsid w:val="0050088E"/>
    <w:rsid w:val="00521F40"/>
    <w:rsid w:val="00525EA5"/>
    <w:rsid w:val="0053067C"/>
    <w:rsid w:val="00531AFF"/>
    <w:rsid w:val="00552ADB"/>
    <w:rsid w:val="0056001E"/>
    <w:rsid w:val="00563CF4"/>
    <w:rsid w:val="00575276"/>
    <w:rsid w:val="005777FB"/>
    <w:rsid w:val="00584F7D"/>
    <w:rsid w:val="005850CD"/>
    <w:rsid w:val="005913A3"/>
    <w:rsid w:val="005A37C9"/>
    <w:rsid w:val="005C0983"/>
    <w:rsid w:val="005C2B4F"/>
    <w:rsid w:val="005C2E83"/>
    <w:rsid w:val="005C36B9"/>
    <w:rsid w:val="005C5B70"/>
    <w:rsid w:val="005D0821"/>
    <w:rsid w:val="005E6B7D"/>
    <w:rsid w:val="005F227E"/>
    <w:rsid w:val="006010C4"/>
    <w:rsid w:val="00607F7B"/>
    <w:rsid w:val="006225F1"/>
    <w:rsid w:val="00624794"/>
    <w:rsid w:val="00644B6D"/>
    <w:rsid w:val="00645784"/>
    <w:rsid w:val="00657AB5"/>
    <w:rsid w:val="00664DFD"/>
    <w:rsid w:val="00667F28"/>
    <w:rsid w:val="0067220F"/>
    <w:rsid w:val="006921E7"/>
    <w:rsid w:val="006A5A40"/>
    <w:rsid w:val="006B5889"/>
    <w:rsid w:val="006B7171"/>
    <w:rsid w:val="006C33B3"/>
    <w:rsid w:val="006C52C1"/>
    <w:rsid w:val="006C6006"/>
    <w:rsid w:val="006C67B9"/>
    <w:rsid w:val="006D3C7E"/>
    <w:rsid w:val="006F04CC"/>
    <w:rsid w:val="006F26D6"/>
    <w:rsid w:val="00703131"/>
    <w:rsid w:val="00705322"/>
    <w:rsid w:val="0071094D"/>
    <w:rsid w:val="007118D9"/>
    <w:rsid w:val="0071671C"/>
    <w:rsid w:val="007217B2"/>
    <w:rsid w:val="0072498C"/>
    <w:rsid w:val="00733609"/>
    <w:rsid w:val="007339CF"/>
    <w:rsid w:val="007526E0"/>
    <w:rsid w:val="0075445C"/>
    <w:rsid w:val="007663FD"/>
    <w:rsid w:val="00775D74"/>
    <w:rsid w:val="00787510"/>
    <w:rsid w:val="007964A7"/>
    <w:rsid w:val="007A1E2A"/>
    <w:rsid w:val="007A2995"/>
    <w:rsid w:val="007A3FE9"/>
    <w:rsid w:val="007C1AB7"/>
    <w:rsid w:val="007E3AA8"/>
    <w:rsid w:val="0081253A"/>
    <w:rsid w:val="00821A04"/>
    <w:rsid w:val="008272FB"/>
    <w:rsid w:val="00830846"/>
    <w:rsid w:val="00834C9C"/>
    <w:rsid w:val="00845C03"/>
    <w:rsid w:val="00847DD1"/>
    <w:rsid w:val="00852409"/>
    <w:rsid w:val="0086519C"/>
    <w:rsid w:val="00866E6A"/>
    <w:rsid w:val="0087466C"/>
    <w:rsid w:val="00881EBF"/>
    <w:rsid w:val="00886A68"/>
    <w:rsid w:val="00892E6E"/>
    <w:rsid w:val="008A2703"/>
    <w:rsid w:val="008B01E0"/>
    <w:rsid w:val="008B5787"/>
    <w:rsid w:val="008B672C"/>
    <w:rsid w:val="008B7679"/>
    <w:rsid w:val="008C3D7C"/>
    <w:rsid w:val="008D72BE"/>
    <w:rsid w:val="008D7B6C"/>
    <w:rsid w:val="008D7F6F"/>
    <w:rsid w:val="008E5191"/>
    <w:rsid w:val="008E55E9"/>
    <w:rsid w:val="008E642C"/>
    <w:rsid w:val="008E6D18"/>
    <w:rsid w:val="008E78BC"/>
    <w:rsid w:val="008F5071"/>
    <w:rsid w:val="009029D4"/>
    <w:rsid w:val="00916D67"/>
    <w:rsid w:val="00920F3E"/>
    <w:rsid w:val="00924631"/>
    <w:rsid w:val="0093002D"/>
    <w:rsid w:val="00930550"/>
    <w:rsid w:val="00946DD8"/>
    <w:rsid w:val="00947084"/>
    <w:rsid w:val="00954435"/>
    <w:rsid w:val="0095765F"/>
    <w:rsid w:val="00963835"/>
    <w:rsid w:val="00966175"/>
    <w:rsid w:val="00973842"/>
    <w:rsid w:val="0098282C"/>
    <w:rsid w:val="00993734"/>
    <w:rsid w:val="009A0EE1"/>
    <w:rsid w:val="009A4600"/>
    <w:rsid w:val="009A5005"/>
    <w:rsid w:val="009B6304"/>
    <w:rsid w:val="009C7BE1"/>
    <w:rsid w:val="009D4A3A"/>
    <w:rsid w:val="009F0C59"/>
    <w:rsid w:val="009F2118"/>
    <w:rsid w:val="00A145A0"/>
    <w:rsid w:val="00A26413"/>
    <w:rsid w:val="00A45075"/>
    <w:rsid w:val="00A46FA9"/>
    <w:rsid w:val="00A57178"/>
    <w:rsid w:val="00A80F92"/>
    <w:rsid w:val="00A86837"/>
    <w:rsid w:val="00A87241"/>
    <w:rsid w:val="00AA458B"/>
    <w:rsid w:val="00AB3445"/>
    <w:rsid w:val="00AB6AB5"/>
    <w:rsid w:val="00AC474F"/>
    <w:rsid w:val="00AD2D25"/>
    <w:rsid w:val="00AD3AA8"/>
    <w:rsid w:val="00AD69B6"/>
    <w:rsid w:val="00AF5564"/>
    <w:rsid w:val="00AF6F71"/>
    <w:rsid w:val="00AF7725"/>
    <w:rsid w:val="00B26882"/>
    <w:rsid w:val="00B445C5"/>
    <w:rsid w:val="00B45F72"/>
    <w:rsid w:val="00B507A2"/>
    <w:rsid w:val="00B57C37"/>
    <w:rsid w:val="00B60667"/>
    <w:rsid w:val="00B61563"/>
    <w:rsid w:val="00B62C96"/>
    <w:rsid w:val="00B67956"/>
    <w:rsid w:val="00B67979"/>
    <w:rsid w:val="00B72CB8"/>
    <w:rsid w:val="00B80908"/>
    <w:rsid w:val="00B82640"/>
    <w:rsid w:val="00B847FC"/>
    <w:rsid w:val="00B87456"/>
    <w:rsid w:val="00BA282F"/>
    <w:rsid w:val="00BB0778"/>
    <w:rsid w:val="00BC0512"/>
    <w:rsid w:val="00BC6FFB"/>
    <w:rsid w:val="00BD2601"/>
    <w:rsid w:val="00BD7C28"/>
    <w:rsid w:val="00BE44FB"/>
    <w:rsid w:val="00BF482F"/>
    <w:rsid w:val="00C06A54"/>
    <w:rsid w:val="00C22761"/>
    <w:rsid w:val="00C23CA2"/>
    <w:rsid w:val="00C24C8D"/>
    <w:rsid w:val="00C3299B"/>
    <w:rsid w:val="00C344FD"/>
    <w:rsid w:val="00C346A0"/>
    <w:rsid w:val="00C3691D"/>
    <w:rsid w:val="00C50793"/>
    <w:rsid w:val="00C520E6"/>
    <w:rsid w:val="00C54E43"/>
    <w:rsid w:val="00C61649"/>
    <w:rsid w:val="00C648B0"/>
    <w:rsid w:val="00C671D3"/>
    <w:rsid w:val="00C80C5F"/>
    <w:rsid w:val="00C847EA"/>
    <w:rsid w:val="00C96E2D"/>
    <w:rsid w:val="00CB4D65"/>
    <w:rsid w:val="00CC354F"/>
    <w:rsid w:val="00CC615B"/>
    <w:rsid w:val="00CC748B"/>
    <w:rsid w:val="00CC7F2E"/>
    <w:rsid w:val="00CD63AF"/>
    <w:rsid w:val="00CF5CAA"/>
    <w:rsid w:val="00D14BDF"/>
    <w:rsid w:val="00D21901"/>
    <w:rsid w:val="00D278B8"/>
    <w:rsid w:val="00D32019"/>
    <w:rsid w:val="00D32168"/>
    <w:rsid w:val="00D32EB3"/>
    <w:rsid w:val="00D338C7"/>
    <w:rsid w:val="00D40D35"/>
    <w:rsid w:val="00D41C1E"/>
    <w:rsid w:val="00D509C5"/>
    <w:rsid w:val="00D52940"/>
    <w:rsid w:val="00D5639A"/>
    <w:rsid w:val="00D62C82"/>
    <w:rsid w:val="00D6799E"/>
    <w:rsid w:val="00D91B1F"/>
    <w:rsid w:val="00D94072"/>
    <w:rsid w:val="00DA47CB"/>
    <w:rsid w:val="00DC1477"/>
    <w:rsid w:val="00DE38E0"/>
    <w:rsid w:val="00E15F42"/>
    <w:rsid w:val="00E3791C"/>
    <w:rsid w:val="00E42E77"/>
    <w:rsid w:val="00E43D5B"/>
    <w:rsid w:val="00E44307"/>
    <w:rsid w:val="00E50A54"/>
    <w:rsid w:val="00E52EE1"/>
    <w:rsid w:val="00E604FB"/>
    <w:rsid w:val="00E611B5"/>
    <w:rsid w:val="00E64895"/>
    <w:rsid w:val="00E72B54"/>
    <w:rsid w:val="00E91C2B"/>
    <w:rsid w:val="00E931A1"/>
    <w:rsid w:val="00E94AE7"/>
    <w:rsid w:val="00E953C4"/>
    <w:rsid w:val="00EA0A75"/>
    <w:rsid w:val="00EA2340"/>
    <w:rsid w:val="00EB27FB"/>
    <w:rsid w:val="00ED3203"/>
    <w:rsid w:val="00ED42B5"/>
    <w:rsid w:val="00EE67A9"/>
    <w:rsid w:val="00EE6A23"/>
    <w:rsid w:val="00F057A6"/>
    <w:rsid w:val="00F131D8"/>
    <w:rsid w:val="00F22CED"/>
    <w:rsid w:val="00F347E3"/>
    <w:rsid w:val="00F34A3D"/>
    <w:rsid w:val="00F364C7"/>
    <w:rsid w:val="00F527C4"/>
    <w:rsid w:val="00F528A1"/>
    <w:rsid w:val="00F60464"/>
    <w:rsid w:val="00F6210E"/>
    <w:rsid w:val="00F70FB8"/>
    <w:rsid w:val="00F72C3D"/>
    <w:rsid w:val="00F774E5"/>
    <w:rsid w:val="00FC2BED"/>
    <w:rsid w:val="00FD229B"/>
    <w:rsid w:val="00FD3686"/>
    <w:rsid w:val="00FD3A4B"/>
    <w:rsid w:val="00FE0427"/>
    <w:rsid w:val="00FE3414"/>
    <w:rsid w:val="00FE7C40"/>
    <w:rsid w:val="00FF46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EL2cleared xmlns="6db76dfe-0b17-40d1-a7b1-ac1e5e02a400" xsi:nil="true"/>
    <Status xmlns="6db76dfe-0b17-40d1-a7b1-ac1e5e02a400" xsi:nil="true"/>
    <TaxCatchAll xmlns="81d707e8-d43a-4c1e-95a7-0bf23a0d792f" xsi:nil="true"/>
    <Lastclearingofficer xmlns="6db76dfe-0b17-40d1-a7b1-ac1e5e02a400">
      <UserInfo>
        <DisplayName/>
        <AccountId xsi:nil="true"/>
        <AccountType/>
      </UserInfo>
    </Lastclearingofficer>
    <Notes xmlns="6db76dfe-0b17-40d1-a7b1-ac1e5e02a40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3" ma:contentTypeDescription="Create a new document." ma:contentTypeScope="" ma:versionID="d5a9c5052dc555b074db0524224588fc">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11cc725f6940d2647c09254b4b6bd2ef" ns2:_="" ns3:_="">
    <xsd:import namespace="6db76dfe-0b17-40d1-a7b1-ac1e5e02a400"/>
    <xsd:import namespace="81d707e8-d43a-4c1e-95a7-0bf23a0d792f"/>
    <xsd:element name="properties">
      <xsd:complexType>
        <xsd:sequence>
          <xsd:element name="documentManagement">
            <xsd:complexType>
              <xsd:all>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EL2cleared" minOccurs="0"/>
                <xsd:element ref="ns2:MediaServiceLocation" minOccurs="0"/>
                <xsd:element ref="ns2:Lastclearingoffice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Status" ma:index="3" nillable="true" ma:displayName="Status" ma:format="Dropdown" ma:internalName="Status" ma:readOnly="false">
      <xsd:simpleType>
        <xsd:restriction base="dms:Choice">
          <xsd:enumeration value="Draft for clearance"/>
          <xsd:enumeration value="Cleared"/>
          <xsd:enumeration value="Choice 3"/>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EL2cleared" ma:index="25" nillable="true" ma:displayName="EL2 cleared" ma:format="Dropdown" ma:hidden="true" ma:internalName="EL2cleared" ma:readOnly="false">
      <xsd:simpleType>
        <xsd:restriction base="dms:Choice">
          <xsd:enumeration value="Choice 1"/>
        </xsd:restriction>
      </xsd:simpleType>
    </xsd:element>
    <xsd:element name="MediaServiceLocation" ma:index="27" nillable="true" ma:displayName="Location" ma:indexed="true" ma:internalName="MediaServiceLocation" ma:readOnly="true">
      <xsd:simpleType>
        <xsd:restriction base="dms:Text"/>
      </xsd:simpleType>
    </xsd:element>
    <xsd:element name="Lastclearingofficer" ma:index="28" nillable="true" ma:displayName="Last clearing officer" ma:format="Dropdown" ma:list="UserInfo" ma:SharePointGroup="0" ma:internalName="Lastclearing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2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fa89cebd-bce8-4763-893f-9cb3f728acf1}" ma:internalName="TaxCatchAll" ma:readOnly="false"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890A4-06A8-4534-88A6-B7ACAA7EF5FF}">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2.xml><?xml version="1.0" encoding="utf-8"?>
<ds:datastoreItem xmlns:ds="http://schemas.openxmlformats.org/officeDocument/2006/customXml" ds:itemID="{4EC55E47-79E2-4B6E-B15F-33F29D9AFD70}">
  <ds:schemaRefs>
    <ds:schemaRef ds:uri="http://schemas.openxmlformats.org/officeDocument/2006/bibliography"/>
  </ds:schemaRefs>
</ds:datastoreItem>
</file>

<file path=customXml/itemProps3.xml><?xml version="1.0" encoding="utf-8"?>
<ds:datastoreItem xmlns:ds="http://schemas.openxmlformats.org/officeDocument/2006/customXml" ds:itemID="{EEAAE99F-A112-4354-8B2C-0E2DD4A62CB9}">
  <ds:schemaRefs>
    <ds:schemaRef ds:uri="http://schemas.microsoft.com/sharepoint/v3/contenttype/forms"/>
  </ds:schemaRefs>
</ds:datastoreItem>
</file>

<file path=customXml/itemProps4.xml><?xml version="1.0" encoding="utf-8"?>
<ds:datastoreItem xmlns:ds="http://schemas.openxmlformats.org/officeDocument/2006/customXml" ds:itemID="{E578CF51-C71C-4F9E-99DB-C2241CDC8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9546</Words>
  <Characters>57277</Characters>
  <Application>Microsoft Office Word</Application>
  <DocSecurity>0</DocSecurity>
  <Lines>1636</Lines>
  <Paragraphs>1113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NSRB endorsed s22A report for the 2023 funding year</dc:title>
  <dc:subject/>
  <dc:creator>FREEMAN,Emma</dc:creator>
  <cp:keywords/>
  <dc:description/>
  <cp:lastModifiedBy>TOOHEY,Karen</cp:lastModifiedBy>
  <cp:revision>4</cp:revision>
  <cp:lastPrinted>2025-10-09T00:30:00Z</cp:lastPrinted>
  <dcterms:created xsi:type="dcterms:W3CDTF">2025-10-09T00:29:00Z</dcterms:created>
  <dcterms:modified xsi:type="dcterms:W3CDTF">2025-10-09T00:30:00Z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2024-03-22T01:03:08Z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84afd4b6-2815-46c7-b2b6-1a05c8e6fc0e</vt:lpwstr>
  </property>
  <property fmtid="{D5CDD505-2E9C-101B-9397-08002B2CF9AE}" pid="8" name="MSIP_Label_79d889eb-932f-4752-8739-64d25806ef64_ContentBits">
    <vt:lpwstr>0</vt:lpwstr>
  </property>
  <property fmtid="{D5CDD505-2E9C-101B-9397-08002B2CF9AE}" pid="9" name="ContentTypeId">
    <vt:lpwstr>0x0101009BDF0A0F264FFD47A25234CC8EADBA89</vt:lpwstr>
  </property>
  <property fmtid="{D5CDD505-2E9C-101B-9397-08002B2CF9AE}" pid="10" name="MediaServiceImageTags">
    <vt:lpwstr/>
  </property>
</Properties>
</file>