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DF8A" w14:textId="77B9C005" w:rsidR="00107DD5" w:rsidRDefault="00221D8F" w:rsidP="00CA4815">
      <w:r w:rsidRPr="00CA4815">
        <w:rPr>
          <w:b/>
          <w:bCs/>
          <w:noProof/>
        </w:rPr>
        <w:drawing>
          <wp:anchor distT="0" distB="0" distL="114300" distR="114300" simplePos="0" relativeHeight="251658240" behindDoc="1" locked="1" layoutInCell="1" allowOverlap="1" wp14:anchorId="177C5967" wp14:editId="2C08850A">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7C3ED3" wp14:editId="3E83066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FBA3B95E745E4267A4758FAAA2602007"/>
        </w:placeholder>
        <w:dataBinding w:prefixMappings="xmlns:ns0='http://purl.org/dc/elements/1.1/' xmlns:ns1='http://schemas.openxmlformats.org/package/2006/metadata/core-properties' " w:xpath="/ns1:coreProperties[1]/ns0:title[1]" w:storeItemID="{6C3C8BC8-F283-45AE-878A-BAB7291924A1}"/>
        <w:text/>
      </w:sdtPr>
      <w:sdtEndPr/>
      <w:sdtContent>
        <w:p w14:paraId="0C505BD8" w14:textId="3AC490DD" w:rsidR="00221D8F" w:rsidRPr="00EB020E" w:rsidRDefault="002B1FB8" w:rsidP="00EB020E">
          <w:pPr>
            <w:pStyle w:val="Heading1"/>
          </w:pPr>
          <w:r w:rsidRPr="00EB020E">
            <w:t>Supporting Information to the Recognition of Prior Learning for Initial Teacher Education Framework</w:t>
          </w:r>
        </w:p>
      </w:sdtContent>
    </w:sdt>
    <w:bookmarkEnd w:id="0" w:displacedByCustomXml="prev"/>
    <w:bookmarkEnd w:id="1" w:displacedByCustomXml="prev"/>
    <w:p w14:paraId="4EF35F81" w14:textId="77777777" w:rsidR="00111112" w:rsidRPr="00EB020E" w:rsidRDefault="00111112" w:rsidP="00EB020E">
      <w:pPr>
        <w:pStyle w:val="Heading2"/>
      </w:pPr>
      <w:r w:rsidRPr="00EB020E">
        <w:t>Aim</w:t>
      </w:r>
    </w:p>
    <w:p w14:paraId="200C3603" w14:textId="4E4AD8D2" w:rsidR="00111112" w:rsidRDefault="00111112" w:rsidP="00111112">
      <w:r w:rsidRPr="00111112">
        <w:t xml:space="preserve">The framework aims to ensure that Initial Teacher Education (ITE) candidates, particularly those from diverse groups including First Nations peoples, mid-career professionals, and </w:t>
      </w:r>
      <w:r w:rsidR="00897279" w:rsidRPr="00111112">
        <w:t>paraprofessionals</w:t>
      </w:r>
      <w:r w:rsidRPr="00111112">
        <w:t xml:space="preserve">, receive appropriate acknowledgment for their unique skills, expertise, and previous learning through the </w:t>
      </w:r>
      <w:r w:rsidRPr="00111112">
        <w:rPr>
          <w:u w:val="single"/>
        </w:rPr>
        <w:t>allocation of credit</w:t>
      </w:r>
      <w:r w:rsidRPr="00111112">
        <w:t xml:space="preserve"> towards their qualifications. </w:t>
      </w:r>
    </w:p>
    <w:p w14:paraId="0F80DF65" w14:textId="50DB9004" w:rsidR="00111112" w:rsidRPr="00111112" w:rsidRDefault="00111112" w:rsidP="00111112">
      <w:r>
        <w:t xml:space="preserve">The framework aims to promote and enhance the </w:t>
      </w:r>
      <w:r w:rsidRPr="46478B71">
        <w:rPr>
          <w:b/>
          <w:bCs/>
        </w:rPr>
        <w:t>transparency, consistency</w:t>
      </w:r>
      <w:r>
        <w:t xml:space="preserve">, </w:t>
      </w:r>
      <w:r w:rsidRPr="46478B71">
        <w:rPr>
          <w:b/>
          <w:bCs/>
        </w:rPr>
        <w:t xml:space="preserve">usability </w:t>
      </w:r>
      <w:r>
        <w:t xml:space="preserve">and </w:t>
      </w:r>
      <w:r w:rsidRPr="46478B71">
        <w:rPr>
          <w:b/>
          <w:bCs/>
        </w:rPr>
        <w:t xml:space="preserve">integrity </w:t>
      </w:r>
      <w:r>
        <w:t>of R</w:t>
      </w:r>
      <w:r w:rsidR="39F867AD">
        <w:t>ecognition of Prior Learning (R</w:t>
      </w:r>
      <w:r>
        <w:t>PL</w:t>
      </w:r>
      <w:r w:rsidR="20D78212">
        <w:t>)</w:t>
      </w:r>
      <w:r>
        <w:t xml:space="preserve"> practices</w:t>
      </w:r>
      <w:r w:rsidR="42272D87">
        <w:t xml:space="preserve"> in ITE</w:t>
      </w:r>
      <w:r w:rsidR="00AE1279">
        <w:t>.</w:t>
      </w:r>
      <w:r w:rsidR="00F57163">
        <w:t xml:space="preserve"> This document aims to elaborate on the framework</w:t>
      </w:r>
      <w:r w:rsidR="006D2FA5">
        <w:t xml:space="preserve">. </w:t>
      </w:r>
    </w:p>
    <w:p w14:paraId="28E82150" w14:textId="77777777" w:rsidR="00111112" w:rsidRDefault="00111112" w:rsidP="00EB020E">
      <w:pPr>
        <w:pStyle w:val="Heading2"/>
      </w:pPr>
      <w:r>
        <w:t>Scope</w:t>
      </w:r>
    </w:p>
    <w:p w14:paraId="12FFFB35" w14:textId="77777777" w:rsidR="00914D1D" w:rsidRDefault="00111112" w:rsidP="00111112">
      <w:r>
        <w:t xml:space="preserve">The framework is designed to integrate with and augment existing RPL practices, enabling a synergistic and national approach to RPL in ITE. </w:t>
      </w:r>
    </w:p>
    <w:p w14:paraId="24C82F74" w14:textId="77777777" w:rsidR="00914D1D" w:rsidRDefault="00AE1279" w:rsidP="00111112">
      <w:r w:rsidRPr="004016D0">
        <w:t xml:space="preserve">It should be considered as further guidance </w:t>
      </w:r>
      <w:r w:rsidR="661F85A3" w:rsidRPr="004016D0">
        <w:t>that complements</w:t>
      </w:r>
      <w:r w:rsidRPr="004016D0">
        <w:t xml:space="preserve"> </w:t>
      </w:r>
      <w:r w:rsidR="004E334E" w:rsidRPr="004016D0">
        <w:t>the Tertiary Education Quality and Standards Agency (</w:t>
      </w:r>
      <w:r w:rsidR="2A408728" w:rsidRPr="004016D0">
        <w:t>TEQSA</w:t>
      </w:r>
      <w:r w:rsidR="004E334E" w:rsidRPr="004016D0">
        <w:t>)</w:t>
      </w:r>
      <w:r w:rsidR="2A408728" w:rsidRPr="004016D0">
        <w:t xml:space="preserve">’s </w:t>
      </w:r>
      <w:r w:rsidRPr="004016D0">
        <w:rPr>
          <w:i/>
          <w:iCs/>
        </w:rPr>
        <w:t>Higher Education Standards Framework (Threshold Standards) 2021</w:t>
      </w:r>
      <w:r w:rsidRPr="004016D0">
        <w:t>, Domain 1: Student participation and attainment, Section 1.2 Credit and Recognition of Prior Learning.</w:t>
      </w:r>
      <w:r w:rsidR="0024419D" w:rsidRPr="004016D0">
        <w:t xml:space="preserve"> The framework </w:t>
      </w:r>
      <w:r w:rsidR="004E334E" w:rsidRPr="004016D0">
        <w:t xml:space="preserve">aims to </w:t>
      </w:r>
      <w:r w:rsidR="00E61F82" w:rsidRPr="004016D0">
        <w:t xml:space="preserve">build on this domain by </w:t>
      </w:r>
      <w:r w:rsidR="004E334E" w:rsidRPr="004016D0">
        <w:t>provid</w:t>
      </w:r>
      <w:r w:rsidR="00E61F82" w:rsidRPr="004016D0">
        <w:t>ing</w:t>
      </w:r>
      <w:r w:rsidR="004E334E" w:rsidRPr="004016D0">
        <w:t xml:space="preserve"> more specific guidance for </w:t>
      </w:r>
      <w:r w:rsidR="00E61F82" w:rsidRPr="004016D0">
        <w:t xml:space="preserve">RPL in </w:t>
      </w:r>
      <w:r w:rsidR="00DA6E4A" w:rsidRPr="004016D0">
        <w:t>ITE</w:t>
      </w:r>
      <w:r w:rsidR="00E61F82" w:rsidRPr="004016D0">
        <w:t xml:space="preserve">. </w:t>
      </w:r>
    </w:p>
    <w:p w14:paraId="6304C5CC" w14:textId="1E86ACCB" w:rsidR="00111112" w:rsidRPr="00111112" w:rsidRDefault="00914D1D" w:rsidP="00111112">
      <w:r>
        <w:t>The framework</w:t>
      </w:r>
      <w:r w:rsidR="004E334E">
        <w:t xml:space="preserve"> </w:t>
      </w:r>
      <w:r w:rsidR="0024419D">
        <w:t xml:space="preserve">will be </w:t>
      </w:r>
      <w:r w:rsidR="00046B9C">
        <w:t>embedded</w:t>
      </w:r>
      <w:r w:rsidR="0024419D">
        <w:t xml:space="preserve"> in the </w:t>
      </w:r>
      <w:r w:rsidR="667DF8E5">
        <w:t xml:space="preserve">Australian Institute for Teaching and School Leadership (AITSL) revised </w:t>
      </w:r>
      <w:r w:rsidR="667DF8E5" w:rsidRPr="00C17E58">
        <w:rPr>
          <w:i/>
          <w:iCs/>
        </w:rPr>
        <w:t>Guidelines for the accreditation of initial teacher education programs in Australia</w:t>
      </w:r>
      <w:r w:rsidR="667DF8E5">
        <w:t xml:space="preserve">. </w:t>
      </w:r>
    </w:p>
    <w:p w14:paraId="0C3E4DA3" w14:textId="77777777" w:rsidR="00EB020E" w:rsidRDefault="79ACAE16" w:rsidP="00EB020E">
      <w:r>
        <w:t xml:space="preserve">It is also designed to be applicable across a broad spectrum of ITE programs, including </w:t>
      </w:r>
      <w:r w:rsidR="4911FB07">
        <w:t>u</w:t>
      </w:r>
      <w:r>
        <w:t xml:space="preserve">ndergraduate and </w:t>
      </w:r>
      <w:r w:rsidR="4911FB07">
        <w:t>p</w:t>
      </w:r>
      <w:r>
        <w:t>ostgraduate programs in primary, secondary, and K-12 education, to cater to the diverse spectrum of teaching environments and educational levels</w:t>
      </w:r>
      <w:r w:rsidR="6AC44F1F">
        <w:t xml:space="preserve">, </w:t>
      </w:r>
      <w:r w:rsidR="76E3DC74">
        <w:t>in line with the skills outlines in the Australian Professional Standards for Teachers (APST)</w:t>
      </w:r>
      <w:r>
        <w:t>.  </w:t>
      </w:r>
    </w:p>
    <w:p w14:paraId="23EEC88D" w14:textId="3EB04B1C" w:rsidR="00111112" w:rsidRDefault="00111112" w:rsidP="00EB020E">
      <w:pPr>
        <w:pStyle w:val="Heading2"/>
      </w:pPr>
      <w:r>
        <w:lastRenderedPageBreak/>
        <w:t>Evidence</w:t>
      </w:r>
    </w:p>
    <w:p w14:paraId="327D4858" w14:textId="7D4B884D" w:rsidR="00111112" w:rsidRPr="00111112" w:rsidRDefault="00111112" w:rsidP="00111112">
      <w:r>
        <w:t xml:space="preserve">The framework is comprised of </w:t>
      </w:r>
      <w:r w:rsidRPr="542F36AF">
        <w:rPr>
          <w:b/>
          <w:bCs/>
        </w:rPr>
        <w:t xml:space="preserve">13 Principles </w:t>
      </w:r>
      <w:r>
        <w:t>which are adapted from the Australian Council of Deans of Education (ACDE) final report: ‘</w:t>
      </w:r>
      <w:r w:rsidRPr="542F36AF">
        <w:rPr>
          <w:i/>
          <w:iCs/>
        </w:rPr>
        <w:t>An Evidence-Informed Framework for Recognition of Prior Learning in Initial Teacher Education’</w:t>
      </w:r>
      <w:r>
        <w:t xml:space="preserve"> (29 February 2024). The principles were develop</w:t>
      </w:r>
      <w:r w:rsidR="0047082B">
        <w:t>ed</w:t>
      </w:r>
      <w:r>
        <w:t xml:space="preserve"> using a comprehensive, multi-phase methodology, that integrated:</w:t>
      </w:r>
    </w:p>
    <w:p w14:paraId="0B4D30FD" w14:textId="0733F1F7" w:rsidR="00111112" w:rsidRPr="00111112" w:rsidRDefault="2DF311F3" w:rsidP="00333E02">
      <w:pPr>
        <w:numPr>
          <w:ilvl w:val="0"/>
          <w:numId w:val="22"/>
        </w:numPr>
        <w:spacing w:after="0"/>
      </w:pPr>
      <w:r>
        <w:t>c</w:t>
      </w:r>
      <w:r w:rsidR="3707B302">
        <w:t xml:space="preserve">urrent research, </w:t>
      </w:r>
    </w:p>
    <w:p w14:paraId="2B5D054C" w14:textId="25DBA926" w:rsidR="00111112" w:rsidRPr="00111112" w:rsidRDefault="2FA84F54" w:rsidP="00333E02">
      <w:pPr>
        <w:numPr>
          <w:ilvl w:val="0"/>
          <w:numId w:val="22"/>
        </w:numPr>
        <w:spacing w:after="0"/>
      </w:pPr>
      <w:r>
        <w:t>a</w:t>
      </w:r>
      <w:r w:rsidR="4F0E29A7">
        <w:t xml:space="preserve"> </w:t>
      </w:r>
      <w:r w:rsidR="3707B302">
        <w:t>document analysis,</w:t>
      </w:r>
    </w:p>
    <w:p w14:paraId="2AA0EE9B" w14:textId="2AA52E6F" w:rsidR="00111112" w:rsidRPr="00111112" w:rsidRDefault="56F51EAD" w:rsidP="00333E02">
      <w:pPr>
        <w:numPr>
          <w:ilvl w:val="0"/>
          <w:numId w:val="22"/>
        </w:numPr>
        <w:spacing w:after="0"/>
      </w:pPr>
      <w:r>
        <w:t>s</w:t>
      </w:r>
      <w:r w:rsidR="3707B302">
        <w:t>takeholder surveys, and</w:t>
      </w:r>
    </w:p>
    <w:p w14:paraId="7AEE7A69" w14:textId="5C23F47B" w:rsidR="00111112" w:rsidRPr="00111112" w:rsidRDefault="73D7D7EC" w:rsidP="00333E02">
      <w:pPr>
        <w:numPr>
          <w:ilvl w:val="0"/>
          <w:numId w:val="22"/>
        </w:numPr>
        <w:spacing w:after="0"/>
      </w:pPr>
      <w:r>
        <w:t>s</w:t>
      </w:r>
      <w:r w:rsidR="3707B302">
        <w:t>ocial labs</w:t>
      </w:r>
      <w:r w:rsidR="6421D8D0">
        <w:t>.</w:t>
      </w:r>
    </w:p>
    <w:p w14:paraId="4C062DD8" w14:textId="77777777" w:rsidR="00111112" w:rsidRDefault="00111112" w:rsidP="00EB020E">
      <w:pPr>
        <w:pStyle w:val="Heading2"/>
      </w:pPr>
      <w:r>
        <w:t>Rationale</w:t>
      </w:r>
    </w:p>
    <w:p w14:paraId="30538F73" w14:textId="69C9BC96" w:rsidR="00111112" w:rsidRDefault="00111112" w:rsidP="00111112">
      <w:r>
        <w:t>Students</w:t>
      </w:r>
      <w:r w:rsidR="0047082B">
        <w:t xml:space="preserve"> and </w:t>
      </w:r>
      <w:r>
        <w:t>higher education providers</w:t>
      </w:r>
      <w:r w:rsidR="2A817E84">
        <w:t xml:space="preserve"> (HEPs)</w:t>
      </w:r>
      <w:r w:rsidR="0047082B">
        <w:t>,</w:t>
      </w:r>
      <w:r>
        <w:t xml:space="preserve"> </w:t>
      </w:r>
      <w:r w:rsidR="0047082B">
        <w:t xml:space="preserve">as well as </w:t>
      </w:r>
      <w:r>
        <w:t xml:space="preserve">Australia </w:t>
      </w:r>
      <w:r w:rsidR="0047082B">
        <w:t xml:space="preserve">more broadly, </w:t>
      </w:r>
      <w:r>
        <w:t>stand to benefit from successful implementation of this framework.</w:t>
      </w:r>
    </w:p>
    <w:p w14:paraId="2F289735" w14:textId="77777777" w:rsidR="00111112" w:rsidRPr="00111112" w:rsidRDefault="00111112" w:rsidP="00111112">
      <w:r w:rsidRPr="00111112">
        <w:t xml:space="preserve">By supporting transparent and consistent RPL practices, the framework aims to create more accessible and efficient pathways into ITE for </w:t>
      </w:r>
      <w:r w:rsidRPr="0059218E">
        <w:t>students,</w:t>
      </w:r>
      <w:r w:rsidRPr="00111112">
        <w:t xml:space="preserve"> especially those from diverse backgrounds. </w:t>
      </w:r>
    </w:p>
    <w:p w14:paraId="433DAA84" w14:textId="6E09EA0B" w:rsidR="00111112" w:rsidRPr="00111112" w:rsidRDefault="00111112" w:rsidP="00111112">
      <w:r w:rsidRPr="00111112">
        <w:t xml:space="preserve">This can potentially shorten program duration and reduce associated costs for students, and ultimately increase student satisfaction and confidence in their provider/s of choice. </w:t>
      </w:r>
      <w:r w:rsidR="00DA7FFB">
        <w:t xml:space="preserve">This ensures people can enter the workforce sooner and </w:t>
      </w:r>
      <w:r w:rsidR="00DA7FFB" w:rsidRPr="004C7D9E">
        <w:t>contribute to the economy.</w:t>
      </w:r>
    </w:p>
    <w:p w14:paraId="241E1EAD" w14:textId="0E5CFAB0" w:rsidR="00111112" w:rsidRPr="00111112" w:rsidRDefault="00111112" w:rsidP="00111112">
      <w:r w:rsidRPr="00111112">
        <w:t xml:space="preserve">Successful application of the framework may not only </w:t>
      </w:r>
      <w:r w:rsidR="0047082B">
        <w:t>improve</w:t>
      </w:r>
      <w:r w:rsidR="0047082B" w:rsidRPr="00111112">
        <w:t xml:space="preserve"> </w:t>
      </w:r>
      <w:r w:rsidRPr="00111112">
        <w:t>entry rates into ITE courses but also potentially improve completion rates through diminished financial burden and time commitment for students.</w:t>
      </w:r>
      <w:r w:rsidR="00DA7FFB">
        <w:t xml:space="preserve"> </w:t>
      </w:r>
    </w:p>
    <w:p w14:paraId="328B8BDF" w14:textId="7598D7BA" w:rsidR="00111112" w:rsidRPr="00111112" w:rsidRDefault="00111112" w:rsidP="00111112">
      <w:r>
        <w:t>The framework also advocates for streamlined processes to reduce administrative burden for HEPs, as well as increased training and support for institutional staff who undertake RPL assessments.</w:t>
      </w:r>
    </w:p>
    <w:p w14:paraId="7B3FC722" w14:textId="77777777" w:rsidR="00111112" w:rsidRDefault="00111112" w:rsidP="00111112">
      <w:r w:rsidRPr="00111112">
        <w:t>In response to a national teacher shortage, on 15 December 2022, Education Ministers agreed on a National Teacher Workforce Action Plan (NTWAP). This framework implements NTWAP’s Action 9 under Priority Area 2 (</w:t>
      </w:r>
      <w:r w:rsidRPr="00111112">
        <w:rPr>
          <w:i/>
          <w:iCs/>
        </w:rPr>
        <w:t>‘Recognise previous study, work experience and skills that may be transferable to teaching’</w:t>
      </w:r>
      <w:r w:rsidRPr="00111112">
        <w:t>),</w:t>
      </w:r>
      <w:r w:rsidRPr="00111112">
        <w:rPr>
          <w:i/>
          <w:iCs/>
        </w:rPr>
        <w:t xml:space="preserve"> </w:t>
      </w:r>
      <w:r w:rsidRPr="00111112">
        <w:t xml:space="preserve">which is important for enhancing the supply and retention of teachers across </w:t>
      </w:r>
      <w:r w:rsidRPr="00E250AC">
        <w:t>Australia.</w:t>
      </w:r>
      <w:r w:rsidRPr="00111112">
        <w:t xml:space="preserve"> </w:t>
      </w:r>
    </w:p>
    <w:p w14:paraId="76EFA886" w14:textId="2C215598" w:rsidR="00111112" w:rsidRDefault="27653E3C" w:rsidP="00EB020E">
      <w:pPr>
        <w:pStyle w:val="Heading2"/>
      </w:pPr>
      <w:r>
        <w:t>Principles</w:t>
      </w:r>
    </w:p>
    <w:p w14:paraId="68BEF086" w14:textId="03CD3F97" w:rsidR="313FE07F" w:rsidRDefault="313FE07F" w:rsidP="4A72382E">
      <w:r>
        <w:t xml:space="preserve">The 13 </w:t>
      </w:r>
      <w:r w:rsidR="691EFE6A">
        <w:t xml:space="preserve">RPL principles cover </w:t>
      </w:r>
      <w:r w:rsidR="49C31D7D">
        <w:t>f</w:t>
      </w:r>
      <w:r w:rsidR="29E34D24">
        <w:t>our</w:t>
      </w:r>
      <w:r w:rsidR="691EFE6A">
        <w:t xml:space="preserve"> areas of focus: </w:t>
      </w:r>
    </w:p>
    <w:p w14:paraId="4024F65E" w14:textId="59A1575B" w:rsidR="29B5E471" w:rsidRDefault="29B5E471" w:rsidP="00333E02">
      <w:pPr>
        <w:pStyle w:val="ListParagraph"/>
        <w:numPr>
          <w:ilvl w:val="0"/>
          <w:numId w:val="2"/>
        </w:numPr>
      </w:pPr>
      <w:r>
        <w:t>Policy Focused Principles,</w:t>
      </w:r>
    </w:p>
    <w:p w14:paraId="2038059D" w14:textId="2910B8F3" w:rsidR="29B5E471" w:rsidRDefault="29B5E471" w:rsidP="00333E02">
      <w:pPr>
        <w:pStyle w:val="ListParagraph"/>
        <w:numPr>
          <w:ilvl w:val="0"/>
          <w:numId w:val="2"/>
        </w:numPr>
      </w:pPr>
      <w:r>
        <w:t>Evidence Focused Principles,</w:t>
      </w:r>
    </w:p>
    <w:p w14:paraId="744D8C44" w14:textId="034AE9F2" w:rsidR="29B5E471" w:rsidRDefault="29B5E471" w:rsidP="00333E02">
      <w:pPr>
        <w:pStyle w:val="ListParagraph"/>
        <w:numPr>
          <w:ilvl w:val="0"/>
          <w:numId w:val="2"/>
        </w:numPr>
      </w:pPr>
      <w:r>
        <w:t>Process Focused Principles,</w:t>
      </w:r>
      <w:r w:rsidR="665A5B7A">
        <w:t xml:space="preserve"> and</w:t>
      </w:r>
    </w:p>
    <w:p w14:paraId="64700135" w14:textId="07CFBDD9" w:rsidR="665A5B7A" w:rsidRDefault="665A5B7A" w:rsidP="00333E02">
      <w:pPr>
        <w:pStyle w:val="ListParagraph"/>
        <w:numPr>
          <w:ilvl w:val="0"/>
          <w:numId w:val="2"/>
        </w:numPr>
      </w:pPr>
      <w:r>
        <w:t>Governance Focused Principles</w:t>
      </w:r>
      <w:r w:rsidR="311023F4">
        <w:t>.</w:t>
      </w:r>
    </w:p>
    <w:p w14:paraId="68B765F6" w14:textId="6B8BF7A4" w:rsidR="001C57F3" w:rsidRDefault="4BCBD0AF" w:rsidP="00EB020E">
      <w:pPr>
        <w:pStyle w:val="Heading3"/>
      </w:pPr>
      <w:r>
        <w:t>Policy Focused Principles</w:t>
      </w:r>
    </w:p>
    <w:p w14:paraId="30CF08E2" w14:textId="5FA979B8" w:rsidR="00104CCD" w:rsidRPr="00104CCD" w:rsidRDefault="76EECFFF" w:rsidP="00104CCD">
      <w:r>
        <w:t>Designed to ensure that RPL practices are not only aligned with national and institutional regulatory requirements but also reflect the evolving landscape of teacher education</w:t>
      </w:r>
      <w:r w:rsidR="7BD8D194">
        <w:t>, which</w:t>
      </w:r>
      <w:r w:rsidR="7B1E1CB8">
        <w:t xml:space="preserve"> </w:t>
      </w:r>
      <w:r w:rsidR="77E9E415">
        <w:t>should:</w:t>
      </w:r>
    </w:p>
    <w:p w14:paraId="7BBF6494" w14:textId="5FC2ED2E" w:rsidR="001C57F3" w:rsidRDefault="00333E02" w:rsidP="00AC6C2F">
      <w:pPr>
        <w:pStyle w:val="ListParagraph"/>
        <w:numPr>
          <w:ilvl w:val="0"/>
          <w:numId w:val="23"/>
        </w:numPr>
        <w:ind w:left="567"/>
      </w:pPr>
      <w:r w:rsidRPr="0C074BA8">
        <w:rPr>
          <w:b/>
          <w:bCs/>
        </w:rPr>
        <w:lastRenderedPageBreak/>
        <w:t>a</w:t>
      </w:r>
      <w:r w:rsidR="27653E3C" w:rsidRPr="0C074BA8">
        <w:rPr>
          <w:b/>
          <w:bCs/>
        </w:rPr>
        <w:t xml:space="preserve">lign with </w:t>
      </w:r>
      <w:r w:rsidR="44875865" w:rsidRPr="0C074BA8">
        <w:rPr>
          <w:b/>
          <w:bCs/>
        </w:rPr>
        <w:t xml:space="preserve">Higher Education </w:t>
      </w:r>
      <w:r w:rsidR="45765988" w:rsidRPr="0C074BA8">
        <w:rPr>
          <w:b/>
          <w:bCs/>
        </w:rPr>
        <w:t>Standards</w:t>
      </w:r>
      <w:r w:rsidR="44875865" w:rsidRPr="0C074BA8">
        <w:rPr>
          <w:b/>
          <w:bCs/>
        </w:rPr>
        <w:t xml:space="preserve"> Framework (</w:t>
      </w:r>
      <w:r w:rsidR="27653E3C" w:rsidRPr="0C074BA8">
        <w:rPr>
          <w:b/>
          <w:bCs/>
        </w:rPr>
        <w:t>HESF</w:t>
      </w:r>
      <w:r w:rsidR="24D62488" w:rsidRPr="0C074BA8">
        <w:rPr>
          <w:b/>
          <w:bCs/>
        </w:rPr>
        <w:t>)</w:t>
      </w:r>
      <w:r w:rsidR="27653E3C" w:rsidRPr="0C074BA8">
        <w:rPr>
          <w:b/>
          <w:bCs/>
        </w:rPr>
        <w:t xml:space="preserve">, </w:t>
      </w:r>
      <w:r w:rsidR="313A8384" w:rsidRPr="0C074BA8">
        <w:rPr>
          <w:b/>
          <w:bCs/>
        </w:rPr>
        <w:t>Australian Qualifications Framework (</w:t>
      </w:r>
      <w:r w:rsidR="27653E3C" w:rsidRPr="0C074BA8">
        <w:rPr>
          <w:b/>
          <w:bCs/>
        </w:rPr>
        <w:t>AQF</w:t>
      </w:r>
      <w:r w:rsidR="0A90F781" w:rsidRPr="0C074BA8">
        <w:rPr>
          <w:b/>
          <w:bCs/>
        </w:rPr>
        <w:t>)</w:t>
      </w:r>
      <w:r w:rsidR="27653E3C" w:rsidRPr="0C074BA8">
        <w:rPr>
          <w:b/>
          <w:bCs/>
        </w:rPr>
        <w:t>, State and Territory regulatory requirements</w:t>
      </w:r>
      <w:r w:rsidR="2AF81711" w:rsidRPr="0C074BA8">
        <w:rPr>
          <w:b/>
          <w:bCs/>
        </w:rPr>
        <w:t xml:space="preserve">, </w:t>
      </w:r>
      <w:r w:rsidR="000B3E54">
        <w:rPr>
          <w:b/>
          <w:bCs/>
        </w:rPr>
        <w:t xml:space="preserve">including </w:t>
      </w:r>
      <w:r w:rsidR="00ED4D64">
        <w:rPr>
          <w:b/>
          <w:bCs/>
        </w:rPr>
        <w:t>the</w:t>
      </w:r>
      <w:r w:rsidR="001C6607">
        <w:rPr>
          <w:b/>
          <w:bCs/>
        </w:rPr>
        <w:t xml:space="preserve"> APST</w:t>
      </w:r>
      <w:r w:rsidR="2AF81711" w:rsidRPr="0C074BA8">
        <w:rPr>
          <w:b/>
          <w:bCs/>
        </w:rPr>
        <w:t>,</w:t>
      </w:r>
      <w:r w:rsidR="27653E3C" w:rsidRPr="0C074BA8">
        <w:rPr>
          <w:b/>
          <w:bCs/>
        </w:rPr>
        <w:t xml:space="preserve"> and HEP policies</w:t>
      </w:r>
      <w:r w:rsidR="27653E3C">
        <w:t xml:space="preserve">. </w:t>
      </w:r>
      <w:r>
        <w:br/>
      </w:r>
      <w:r w:rsidR="27653E3C">
        <w:t xml:space="preserve">This principle </w:t>
      </w:r>
      <w:r w:rsidR="143BDDBB">
        <w:t xml:space="preserve">supports </w:t>
      </w:r>
      <w:r w:rsidR="27653E3C">
        <w:t xml:space="preserve">compliance </w:t>
      </w:r>
      <w:r w:rsidR="0FB7A71F">
        <w:t>and</w:t>
      </w:r>
      <w:r w:rsidR="27653E3C">
        <w:t xml:space="preserve"> uphold</w:t>
      </w:r>
      <w:r w:rsidR="2766EEA1">
        <w:t>s</w:t>
      </w:r>
      <w:r w:rsidR="27653E3C">
        <w:t xml:space="preserve"> the integrity, quality, consistency and relevance of ITE programs in Australia.</w:t>
      </w:r>
    </w:p>
    <w:p w14:paraId="6385BBEF" w14:textId="17B45464" w:rsidR="001C57F3" w:rsidRDefault="001C57F3" w:rsidP="00AC6C2F">
      <w:pPr>
        <w:ind w:left="567"/>
        <w:rPr>
          <w:rStyle w:val="Hyperlink"/>
        </w:rPr>
      </w:pPr>
      <w:r w:rsidRPr="001C57F3">
        <w:t xml:space="preserve">Practices should align with, for example, the AQF explanation document on RPL: </w:t>
      </w:r>
      <w:hyperlink r:id="rId14" w:history="1">
        <w:r w:rsidRPr="00617590">
          <w:rPr>
            <w:rStyle w:val="Hyperlink"/>
          </w:rPr>
          <w:t>www.aqf.edu.au/publication/recognition-prior-learning.</w:t>
        </w:r>
      </w:hyperlink>
    </w:p>
    <w:p w14:paraId="645234F2" w14:textId="1B9F2E06" w:rsidR="00743191" w:rsidRPr="001C57F3" w:rsidRDefault="006C3B4F" w:rsidP="00AC6C2F">
      <w:pPr>
        <w:ind w:left="567"/>
      </w:pPr>
      <w:r>
        <w:t xml:space="preserve">RPL evidence should </w:t>
      </w:r>
      <w:r w:rsidR="005E1E42">
        <w:t xml:space="preserve">be </w:t>
      </w:r>
      <w:r w:rsidR="00363402">
        <w:t>assess</w:t>
      </w:r>
      <w:r w:rsidR="005E1E42">
        <w:t>ed</w:t>
      </w:r>
      <w:r w:rsidR="00363402">
        <w:t xml:space="preserve"> against </w:t>
      </w:r>
      <w:r w:rsidR="00743191" w:rsidRPr="00743191">
        <w:t xml:space="preserve">the </w:t>
      </w:r>
      <w:r w:rsidR="00011A8A">
        <w:t xml:space="preserve">subject/course outcomes </w:t>
      </w:r>
      <w:proofErr w:type="gramStart"/>
      <w:r w:rsidR="00704C37">
        <w:t>and also</w:t>
      </w:r>
      <w:proofErr w:type="gramEnd"/>
      <w:r w:rsidR="001B41A4">
        <w:t xml:space="preserve"> reference to </w:t>
      </w:r>
      <w:r w:rsidR="00761759">
        <w:t xml:space="preserve">the </w:t>
      </w:r>
      <w:r w:rsidR="00743191" w:rsidRPr="00743191">
        <w:t xml:space="preserve">APST </w:t>
      </w:r>
      <w:r w:rsidR="00761759">
        <w:t>requirements</w:t>
      </w:r>
      <w:r w:rsidR="00704C37">
        <w:t>.</w:t>
      </w:r>
      <w:r w:rsidR="005E6DE2">
        <w:t xml:space="preserve"> </w:t>
      </w:r>
      <w:r w:rsidR="00704C37">
        <w:t xml:space="preserve">This is </w:t>
      </w:r>
      <w:r w:rsidR="005E6DE2">
        <w:t>to ensure</w:t>
      </w:r>
      <w:r w:rsidR="005E6DE2" w:rsidRPr="005E6DE2">
        <w:t xml:space="preserve"> ITE programs</w:t>
      </w:r>
      <w:r w:rsidR="005E6DE2">
        <w:t xml:space="preserve"> </w:t>
      </w:r>
      <w:r w:rsidR="007C6403">
        <w:t xml:space="preserve">offered to </w:t>
      </w:r>
      <w:r w:rsidR="005840B5">
        <w:t>preservice teachers</w:t>
      </w:r>
      <w:r w:rsidR="002F0B4F">
        <w:t xml:space="preserve"> </w:t>
      </w:r>
      <w:r w:rsidR="004226CB">
        <w:t>receiving credits through</w:t>
      </w:r>
      <w:r w:rsidR="0047421F">
        <w:t xml:space="preserve"> RPL </w:t>
      </w:r>
      <w:r w:rsidR="007610FC">
        <w:t xml:space="preserve">are </w:t>
      </w:r>
      <w:r w:rsidR="005E6DE2">
        <w:t>still</w:t>
      </w:r>
      <w:r w:rsidR="005E6DE2" w:rsidRPr="005E6DE2">
        <w:t xml:space="preserve"> adequately prepare</w:t>
      </w:r>
      <w:r w:rsidR="00794CF0">
        <w:t>d</w:t>
      </w:r>
      <w:r w:rsidR="005E6DE2" w:rsidRPr="005E6DE2">
        <w:t xml:space="preserve"> for the school curriculum and learning areas of their chosen discipline and/or stage of schooling.</w:t>
      </w:r>
      <w:r w:rsidR="00CC39AC">
        <w:t xml:space="preserve"> </w:t>
      </w:r>
    </w:p>
    <w:p w14:paraId="694BC89F" w14:textId="40A87ABF" w:rsidR="001C57F3" w:rsidRPr="001C57F3" w:rsidRDefault="00333E02" w:rsidP="4A72382E">
      <w:pPr>
        <w:pStyle w:val="ListParagraph"/>
        <w:numPr>
          <w:ilvl w:val="0"/>
          <w:numId w:val="23"/>
        </w:numPr>
        <w:ind w:left="567"/>
        <w:rPr>
          <w:b/>
          <w:bCs/>
        </w:rPr>
      </w:pPr>
      <w:r>
        <w:rPr>
          <w:b/>
          <w:bCs/>
        </w:rPr>
        <w:t>be</w:t>
      </w:r>
      <w:r w:rsidRPr="001C57F3">
        <w:rPr>
          <w:b/>
          <w:bCs/>
        </w:rPr>
        <w:t xml:space="preserve"> </w:t>
      </w:r>
      <w:r w:rsidR="27653E3C" w:rsidRPr="001C57F3">
        <w:rPr>
          <w:b/>
          <w:bCs/>
        </w:rPr>
        <w:t>reflected in</w:t>
      </w:r>
      <w:r w:rsidR="00625111">
        <w:rPr>
          <w:b/>
          <w:bCs/>
        </w:rPr>
        <w:t xml:space="preserve"> course</w:t>
      </w:r>
      <w:r w:rsidR="27653E3C" w:rsidRPr="001C57F3">
        <w:rPr>
          <w:b/>
          <w:bCs/>
        </w:rPr>
        <w:t xml:space="preserve"> </w:t>
      </w:r>
      <w:r w:rsidR="59ABD457">
        <w:rPr>
          <w:b/>
          <w:bCs/>
          <w:shd w:val="clear" w:color="auto" w:fill="FFFFFF" w:themeFill="background1"/>
        </w:rPr>
        <w:t>accreditation and HEP</w:t>
      </w:r>
      <w:r w:rsidR="27653E3C" w:rsidRPr="001C57F3">
        <w:rPr>
          <w:b/>
          <w:bCs/>
        </w:rPr>
        <w:t xml:space="preserve"> policies, including clauses pertaining to ITE</w:t>
      </w:r>
      <w:r w:rsidR="00F9166B">
        <w:rPr>
          <w:b/>
          <w:bCs/>
        </w:rPr>
        <w:t>-</w:t>
      </w:r>
      <w:r w:rsidR="27653E3C" w:rsidRPr="001C57F3">
        <w:rPr>
          <w:b/>
          <w:bCs/>
        </w:rPr>
        <w:t xml:space="preserve">specific RPL practices where necessary. </w:t>
      </w:r>
    </w:p>
    <w:p w14:paraId="0294CC34" w14:textId="1934F9E2" w:rsidR="001C57F3" w:rsidRDefault="001C57F3" w:rsidP="00AC6C2F">
      <w:pPr>
        <w:pStyle w:val="ListParagraph"/>
        <w:ind w:left="567"/>
      </w:pPr>
      <w:r w:rsidRPr="001C57F3">
        <w:t>It is recommended that Education</w:t>
      </w:r>
      <w:r w:rsidR="00E05279">
        <w:t xml:space="preserve"> faculties or schools</w:t>
      </w:r>
      <w:r w:rsidRPr="001C57F3">
        <w:t xml:space="preserve"> develop ITE-specific </w:t>
      </w:r>
      <w:r w:rsidR="00967511">
        <w:t xml:space="preserve">RPL </w:t>
      </w:r>
      <w:r w:rsidRPr="001C57F3">
        <w:t xml:space="preserve">policies and procedures. This should include seeking exemptions to </w:t>
      </w:r>
      <w:r w:rsidR="00BA24C1">
        <w:t xml:space="preserve">broader </w:t>
      </w:r>
      <w:r w:rsidRPr="001C57F3">
        <w:t xml:space="preserve">HEP policy where relevant, especially in terms of awarding RPL for non-formal and informal learning (which will assist in attracting career changers and </w:t>
      </w:r>
      <w:r w:rsidR="6DB44DD2">
        <w:t>paraprofessionals</w:t>
      </w:r>
      <w:r w:rsidRPr="001C57F3">
        <w:t xml:space="preserve"> to the teaching profession). </w:t>
      </w:r>
    </w:p>
    <w:p w14:paraId="4212F22F" w14:textId="77777777" w:rsidR="001C57F3" w:rsidRDefault="001C57F3" w:rsidP="00AC6C2F">
      <w:pPr>
        <w:pStyle w:val="ListParagraph"/>
        <w:ind w:left="567"/>
      </w:pPr>
    </w:p>
    <w:p w14:paraId="1A12A393" w14:textId="5A871199" w:rsidR="001C57F3" w:rsidRPr="001C57F3" w:rsidRDefault="00333E02" w:rsidP="00AC6C2F">
      <w:pPr>
        <w:pStyle w:val="ListParagraph"/>
        <w:numPr>
          <w:ilvl w:val="0"/>
          <w:numId w:val="23"/>
        </w:numPr>
        <w:ind w:left="567"/>
      </w:pPr>
      <w:r>
        <w:rPr>
          <w:b/>
          <w:bCs/>
        </w:rPr>
        <w:t>b</w:t>
      </w:r>
      <w:r w:rsidR="2318B73B" w:rsidRPr="4A72382E">
        <w:rPr>
          <w:b/>
          <w:bCs/>
        </w:rPr>
        <w:t>e</w:t>
      </w:r>
      <w:r w:rsidR="27653E3C" w:rsidRPr="4A72382E">
        <w:rPr>
          <w:b/>
          <w:bCs/>
        </w:rPr>
        <w:t xml:space="preserve"> expressed clearly and explicitly, using nationally consistent RPL nomenclature, and should be publicly and readily accessible by the intended audiences.</w:t>
      </w:r>
    </w:p>
    <w:p w14:paraId="693623DC" w14:textId="3CFECD24" w:rsidR="00AC6C2F" w:rsidRDefault="27653E3C" w:rsidP="00AC6C2F">
      <w:pPr>
        <w:pStyle w:val="ListParagraph"/>
        <w:ind w:left="567"/>
      </w:pPr>
      <w:r>
        <w:t>Inconsistency in terminology and</w:t>
      </w:r>
      <w:r w:rsidR="00DA7FFB">
        <w:t xml:space="preserve"> </w:t>
      </w:r>
      <w:r w:rsidR="00DA7FFB" w:rsidRPr="004C7D9E">
        <w:t>calculation of credit points</w:t>
      </w:r>
      <w:r w:rsidRPr="004C7D9E">
        <w:t xml:space="preserve"> </w:t>
      </w:r>
      <w:r>
        <w:t xml:space="preserve">may lead to confusion among students and complicate the RPL process. </w:t>
      </w:r>
    </w:p>
    <w:p w14:paraId="395C432D" w14:textId="761427A9" w:rsidR="00AC6C2F" w:rsidRDefault="00AC6C2F" w:rsidP="00AC6C2F">
      <w:pPr>
        <w:pStyle w:val="ListParagraph"/>
        <w:ind w:left="567"/>
      </w:pPr>
    </w:p>
    <w:p w14:paraId="798472BA" w14:textId="343FBC59" w:rsidR="00AC6C2F" w:rsidRDefault="27653E3C" w:rsidP="00AC6C2F">
      <w:pPr>
        <w:pStyle w:val="ListParagraph"/>
        <w:ind w:left="567"/>
      </w:pPr>
      <w:r>
        <w:t xml:space="preserve">For instance, at one university, a standard session's workload might consist of four Units of Study (or Subjects or Courses), equating to 40 credit points, whereas at another, the same number of Units might only account for 24 credit points. Providers are advised to incorporate a unified measure, such as Equivalent Full-Time Study Load (EFTSL), into the RPL nomenclature and provide guidance on its application. This may streamline the understanding and implementation of RPL, ensuring that all stakeholders, particularly students, are fully informed of the process. </w:t>
      </w:r>
    </w:p>
    <w:p w14:paraId="3D401697" w14:textId="2B06912B" w:rsidR="00104CCD" w:rsidRDefault="5AFA5FD0" w:rsidP="00EB020E">
      <w:pPr>
        <w:pStyle w:val="Heading3"/>
      </w:pPr>
      <w:r>
        <w:t>Evidence Focused Principles</w:t>
      </w:r>
    </w:p>
    <w:p w14:paraId="57F24B41" w14:textId="44B566CF" w:rsidR="001C57F3" w:rsidRDefault="76EECFFF" w:rsidP="542F36AF">
      <w:r>
        <w:t>Designed to ensure ITE students applying for RPL are supported institutionally so they can achieve the maximum credit without impairing the integrity of the program.</w:t>
      </w:r>
      <w:r w:rsidR="77B1F0BC">
        <w:t xml:space="preserve"> </w:t>
      </w:r>
      <w:r w:rsidR="1821832C">
        <w:t>HEP</w:t>
      </w:r>
      <w:r w:rsidR="204BF6BB">
        <w:t>s</w:t>
      </w:r>
      <w:r w:rsidR="00F4AA0E">
        <w:t>'</w:t>
      </w:r>
      <w:r w:rsidR="5099FAE7">
        <w:t xml:space="preserve"> </w:t>
      </w:r>
      <w:r w:rsidR="4941EA5B">
        <w:t>RPL practice</w:t>
      </w:r>
      <w:r w:rsidR="28E09672">
        <w:t>s</w:t>
      </w:r>
      <w:r w:rsidR="4941EA5B">
        <w:t xml:space="preserve"> should:</w:t>
      </w:r>
    </w:p>
    <w:p w14:paraId="0270C18E" w14:textId="1706F6DF" w:rsidR="00104CCD" w:rsidRPr="00104CCD" w:rsidRDefault="00E63B3C" w:rsidP="2020C620">
      <w:pPr>
        <w:pStyle w:val="ListParagraph"/>
        <w:numPr>
          <w:ilvl w:val="0"/>
          <w:numId w:val="23"/>
        </w:numPr>
        <w:rPr>
          <w:b/>
          <w:bCs/>
        </w:rPr>
      </w:pPr>
      <w:r w:rsidRPr="2020C620">
        <w:rPr>
          <w:b/>
          <w:bCs/>
        </w:rPr>
        <w:t>a</w:t>
      </w:r>
      <w:r w:rsidR="52239785" w:rsidRPr="2020C620">
        <w:rPr>
          <w:b/>
          <w:bCs/>
        </w:rPr>
        <w:t xml:space="preserve">llow for the alignment of prior learning with a known </w:t>
      </w:r>
      <w:r w:rsidR="7259837D" w:rsidRPr="2020C620">
        <w:rPr>
          <w:b/>
          <w:bCs/>
        </w:rPr>
        <w:t xml:space="preserve">unit/course </w:t>
      </w:r>
      <w:r w:rsidR="52239785" w:rsidRPr="2020C620">
        <w:rPr>
          <w:b/>
          <w:bCs/>
        </w:rPr>
        <w:t xml:space="preserve">outcome. </w:t>
      </w:r>
    </w:p>
    <w:p w14:paraId="653CEA58" w14:textId="011C15B8" w:rsidR="00104CCD" w:rsidRPr="00104CCD" w:rsidRDefault="76EECFFF" w:rsidP="00104CCD">
      <w:pPr>
        <w:pStyle w:val="ListParagraph"/>
      </w:pPr>
      <w:r>
        <w:t xml:space="preserve">The evidence required for RPL in ITE programs </w:t>
      </w:r>
      <w:r w:rsidR="77515E60">
        <w:t>should</w:t>
      </w:r>
      <w:r>
        <w:t>:</w:t>
      </w:r>
    </w:p>
    <w:p w14:paraId="6CF72834" w14:textId="1A494C00" w:rsidR="00104CCD" w:rsidRPr="00104CCD" w:rsidRDefault="00104CCD" w:rsidP="00104CCD">
      <w:pPr>
        <w:pStyle w:val="ListParagraph"/>
        <w:numPr>
          <w:ilvl w:val="0"/>
          <w:numId w:val="25"/>
        </w:numPr>
      </w:pPr>
      <w:r>
        <w:t xml:space="preserve">satisfy the needs of the learning outcomes for the individual units or courses that are to be credited; and </w:t>
      </w:r>
      <w:r w:rsidR="005771D7">
        <w:t xml:space="preserve"> </w:t>
      </w:r>
    </w:p>
    <w:p w14:paraId="60CE44DB" w14:textId="4E97CA97" w:rsidR="00104CCD" w:rsidRPr="00104CCD" w:rsidRDefault="00104CCD" w:rsidP="00104CCD">
      <w:pPr>
        <w:pStyle w:val="ListParagraph"/>
        <w:numPr>
          <w:ilvl w:val="0"/>
          <w:numId w:val="25"/>
        </w:numPr>
      </w:pPr>
      <w:r>
        <w:t xml:space="preserve">satisfactorily demonstrate the connections between prior learning and the APST aligned to that unit or course outcomes. This may require evidence that confirms that the ITE student has been taught, has practiced and has been assessed at a graduate level for any of the APSTs ascribed to that unit or course. Evidence may be considered from formal educational achievements (such as elements of tertiary qualifications in a related field). The assessment of informal and non-formal learning evidence demands a more rigorous </w:t>
      </w:r>
      <w:r>
        <w:lastRenderedPageBreak/>
        <w:t>comparison and standard setting (see principle 12).</w:t>
      </w:r>
      <w:r w:rsidR="003821B2">
        <w:t xml:space="preserve"> </w:t>
      </w:r>
      <w:r w:rsidR="00D12F6F">
        <w:t xml:space="preserve">The evidence necessary </w:t>
      </w:r>
      <w:r w:rsidR="00CB4659">
        <w:t xml:space="preserve">when seeking RPL of informal learning may be more diverse than the nature of the credit being sought. A </w:t>
      </w:r>
      <w:r w:rsidR="00FB4577">
        <w:t>teaching assistant</w:t>
      </w:r>
      <w:r w:rsidR="00CB4659">
        <w:t xml:space="preserve"> may </w:t>
      </w:r>
      <w:r w:rsidR="004C1A38">
        <w:t xml:space="preserve">have experiences that may be considered for some unit or courses and the evidence might include </w:t>
      </w:r>
      <w:r w:rsidR="00FB4577">
        <w:t>testimonies</w:t>
      </w:r>
      <w:r w:rsidR="004C1A38">
        <w:t xml:space="preserve"> of length of service and allied observations. Expertise in language and </w:t>
      </w:r>
      <w:r w:rsidR="00FB4577">
        <w:t>culture</w:t>
      </w:r>
      <w:r w:rsidR="004C1A38">
        <w:t>, including from First Nations applicants,</w:t>
      </w:r>
      <w:r w:rsidR="00FB4577">
        <w:t xml:space="preserve"> and multi-lingual applicants, may be evidenced by examples of language assessment and supporting statements from community members that can attest to the skill level. </w:t>
      </w:r>
    </w:p>
    <w:p w14:paraId="5D5F15F0" w14:textId="55AAA7E4" w:rsidR="542F36AF" w:rsidRDefault="542F36AF" w:rsidP="542F36AF">
      <w:pPr>
        <w:pStyle w:val="ListParagraph"/>
      </w:pPr>
    </w:p>
    <w:p w14:paraId="64346A09" w14:textId="2F3EE2F3" w:rsidR="00104CCD" w:rsidRDefault="00104CCD" w:rsidP="00104CCD">
      <w:pPr>
        <w:pStyle w:val="ListParagraph"/>
      </w:pPr>
      <w:r>
        <w:t xml:space="preserve">Providers </w:t>
      </w:r>
      <w:r w:rsidR="37B5F0B4">
        <w:t>should</w:t>
      </w:r>
      <w:r>
        <w:t xml:space="preserve"> also consider the relationship of individual courses to the program. There may be a course which is the only time a particular APST is mapped from a program level. Alternatively, some APST may be mapped against several units/courses. These mapped relationships are critical in directing the type and amount of evidence required and how the evidence meets each unit/course learning outcomes as well as the associated APST.</w:t>
      </w:r>
    </w:p>
    <w:p w14:paraId="5F5305E6" w14:textId="77777777" w:rsidR="00104CCD" w:rsidRDefault="00104CCD" w:rsidP="00104CCD">
      <w:pPr>
        <w:pStyle w:val="ListParagraph"/>
      </w:pPr>
    </w:p>
    <w:p w14:paraId="54536B59" w14:textId="2ECF0893" w:rsidR="00104CCD" w:rsidRPr="00104CCD" w:rsidRDefault="00DF6A92" w:rsidP="4A72382E">
      <w:pPr>
        <w:pStyle w:val="ListParagraph"/>
        <w:numPr>
          <w:ilvl w:val="0"/>
          <w:numId w:val="23"/>
        </w:numPr>
        <w:rPr>
          <w:b/>
          <w:bCs/>
        </w:rPr>
      </w:pPr>
      <w:r>
        <w:rPr>
          <w:b/>
          <w:bCs/>
        </w:rPr>
        <w:t>b</w:t>
      </w:r>
      <w:r w:rsidR="76EECFFF" w:rsidRPr="4A72382E">
        <w:rPr>
          <w:b/>
          <w:bCs/>
        </w:rPr>
        <w:t xml:space="preserve">e feasible in terms of volume of material required for the application and the assessment of RPL, with streamlined processes for the applicant and university staff. </w:t>
      </w:r>
    </w:p>
    <w:p w14:paraId="5189E6BE" w14:textId="77777777" w:rsidR="00104CCD" w:rsidRPr="00104CCD" w:rsidRDefault="00104CCD" w:rsidP="00104CCD">
      <w:pPr>
        <w:pStyle w:val="ListParagraph"/>
      </w:pPr>
      <w:r w:rsidRPr="00104CCD">
        <w:t xml:space="preserve">Providers should aim to limit the volume of evidence that ITE students are required to provide. Where possible it would be mutually beneficial that pieces of evidence could be used for multiple purposes. To manage the volume of submissions, providers may choose to: </w:t>
      </w:r>
    </w:p>
    <w:p w14:paraId="3265DB2B" w14:textId="77777777" w:rsidR="00104CCD" w:rsidRPr="00104CCD" w:rsidRDefault="00104CCD" w:rsidP="00104CCD">
      <w:pPr>
        <w:pStyle w:val="ListParagraph"/>
        <w:numPr>
          <w:ilvl w:val="0"/>
          <w:numId w:val="26"/>
        </w:numPr>
      </w:pPr>
      <w:r w:rsidRPr="00104CCD">
        <w:t xml:space="preserve">develop a dedicated template for RPL </w:t>
      </w:r>
      <w:proofErr w:type="gramStart"/>
      <w:r w:rsidRPr="00104CCD">
        <w:t>applications;</w:t>
      </w:r>
      <w:proofErr w:type="gramEnd"/>
    </w:p>
    <w:p w14:paraId="0895D9CA" w14:textId="77777777" w:rsidR="00104CCD" w:rsidRPr="00104CCD" w:rsidRDefault="00104CCD" w:rsidP="00104CCD">
      <w:pPr>
        <w:pStyle w:val="ListParagraph"/>
        <w:numPr>
          <w:ilvl w:val="0"/>
          <w:numId w:val="26"/>
        </w:numPr>
      </w:pPr>
      <w:r w:rsidRPr="00104CCD">
        <w:t>conduct workshops or informational sessions to assist ITE applicants and students in preparing their RPL applications; and/or</w:t>
      </w:r>
    </w:p>
    <w:p w14:paraId="1B8D07B1" w14:textId="4D2F36C7" w:rsidR="00104CCD" w:rsidRDefault="00104CCD" w:rsidP="642ECC4B">
      <w:pPr>
        <w:pStyle w:val="ListParagraph"/>
        <w:numPr>
          <w:ilvl w:val="0"/>
          <w:numId w:val="26"/>
        </w:numPr>
      </w:pPr>
      <w:r>
        <w:t>supply examples of successful RPL submissions and case studies, explaining the rationale behind the acceptance of certain pieces of evidence.</w:t>
      </w:r>
    </w:p>
    <w:p w14:paraId="784E468C" w14:textId="2B20E53C" w:rsidR="642ECC4B" w:rsidRDefault="642ECC4B" w:rsidP="00DF6A92">
      <w:pPr>
        <w:pStyle w:val="ListParagraph"/>
        <w:ind w:left="1440"/>
      </w:pPr>
    </w:p>
    <w:p w14:paraId="21567882" w14:textId="77777777" w:rsidR="00104CCD" w:rsidRDefault="00104CCD" w:rsidP="00104CCD">
      <w:pPr>
        <w:pStyle w:val="ListParagraph"/>
      </w:pPr>
      <w:r>
        <w:t>In line with HESF Standards 7.1.3 and 7.2, the institutional requirements for RPL should be publicly available and provide sufficient generic information to enable students to feel equipped to know what is being requested and how to provide the requisite evidence. Wherever possible providers should provide exemplars and clarifying statements for procedures and evidence that supports the timely completion of RPL processes.</w:t>
      </w:r>
    </w:p>
    <w:p w14:paraId="26A33527" w14:textId="77777777" w:rsidR="0054174F" w:rsidRDefault="0054174F" w:rsidP="00104CCD">
      <w:pPr>
        <w:pStyle w:val="ListParagraph"/>
      </w:pPr>
    </w:p>
    <w:p w14:paraId="4F519B90" w14:textId="4079F023" w:rsidR="0054174F" w:rsidRPr="00104CCD" w:rsidRDefault="00BE3233" w:rsidP="00104CCD">
      <w:pPr>
        <w:pStyle w:val="ListParagraph"/>
      </w:pPr>
      <w:r>
        <w:t>ITE providers</w:t>
      </w:r>
      <w:r w:rsidRPr="00BE3233">
        <w:t xml:space="preserve"> should consider</w:t>
      </w:r>
      <w:r w:rsidR="00B52209">
        <w:t xml:space="preserve"> all possible</w:t>
      </w:r>
      <w:r w:rsidR="009D4189">
        <w:t xml:space="preserve"> opportunities</w:t>
      </w:r>
      <w:r w:rsidRPr="00BE3233">
        <w:t xml:space="preserve"> </w:t>
      </w:r>
      <w:r w:rsidR="00EA0027">
        <w:t>to</w:t>
      </w:r>
      <w:r w:rsidR="00B52209">
        <w:t xml:space="preserve"> </w:t>
      </w:r>
      <w:r w:rsidRPr="00BE3233">
        <w:t xml:space="preserve">cover </w:t>
      </w:r>
      <w:r w:rsidR="003C02FE">
        <w:t>or limit</w:t>
      </w:r>
      <w:r w:rsidRPr="00BE3233">
        <w:t xml:space="preserve"> the cost of the RPL</w:t>
      </w:r>
      <w:r w:rsidR="0075158F">
        <w:t xml:space="preserve"> </w:t>
      </w:r>
      <w:r w:rsidR="00FB5258">
        <w:t>application process</w:t>
      </w:r>
      <w:r w:rsidR="0075158F">
        <w:t xml:space="preserve"> to avoid incurring costs for future preservice teachers.</w:t>
      </w:r>
      <w:r w:rsidR="008448F4">
        <w:t xml:space="preserve"> Providers should communicate</w:t>
      </w:r>
      <w:r w:rsidR="00C92860">
        <w:t xml:space="preserve"> processes </w:t>
      </w:r>
      <w:r w:rsidR="00FB5258">
        <w:t>and requirements</w:t>
      </w:r>
      <w:r w:rsidR="003C02FE">
        <w:t xml:space="preserve">, including any costs associated, </w:t>
      </w:r>
      <w:r w:rsidR="00C92860">
        <w:t xml:space="preserve">clearly </w:t>
      </w:r>
      <w:r w:rsidR="00357B19">
        <w:t>and transparently.</w:t>
      </w:r>
    </w:p>
    <w:p w14:paraId="1DD16972" w14:textId="77777777" w:rsidR="00104CCD" w:rsidRDefault="00104CCD" w:rsidP="00104CCD">
      <w:pPr>
        <w:pStyle w:val="ListParagraph"/>
      </w:pPr>
    </w:p>
    <w:p w14:paraId="101BFCD9" w14:textId="3CD8B8C0" w:rsidR="00104CCD" w:rsidRDefault="00DF6A92" w:rsidP="4A72382E">
      <w:pPr>
        <w:pStyle w:val="ListParagraph"/>
        <w:numPr>
          <w:ilvl w:val="0"/>
          <w:numId w:val="23"/>
        </w:numPr>
        <w:rPr>
          <w:b/>
          <w:bCs/>
        </w:rPr>
      </w:pPr>
      <w:r>
        <w:rPr>
          <w:b/>
          <w:bCs/>
        </w:rPr>
        <w:t>u</w:t>
      </w:r>
      <w:r w:rsidR="76EECFFF" w:rsidRPr="4A72382E">
        <w:rPr>
          <w:b/>
          <w:bCs/>
        </w:rPr>
        <w:t>tilise valid and reliable sources of evidence to enable consistent decisions.</w:t>
      </w:r>
    </w:p>
    <w:p w14:paraId="183CCF61" w14:textId="40CFF0F1" w:rsidR="00104CCD" w:rsidRPr="00DF6A92" w:rsidRDefault="76EECFFF" w:rsidP="6A6BA514">
      <w:pPr>
        <w:pStyle w:val="ListParagraph"/>
        <w:rPr>
          <w:b/>
          <w:bCs/>
          <w:i/>
          <w:iCs/>
        </w:rPr>
      </w:pPr>
      <w:r>
        <w:t>RPL requires that all evidence provided must demonstrate that the student has met the learning outcomes for course/s</w:t>
      </w:r>
      <w:r w:rsidR="0A2ED4ED">
        <w:t>, unit/s and subject/s</w:t>
      </w:r>
      <w:r>
        <w:t xml:space="preserve"> they are seeking credit towards and must show the equivalent rigour irrespective of the type of RPL being sought. </w:t>
      </w:r>
      <w:r w:rsidRPr="6A6BA514">
        <w:rPr>
          <w:i/>
          <w:iCs/>
        </w:rPr>
        <w:t>Examples at Appendices 1 and 2.</w:t>
      </w:r>
    </w:p>
    <w:p w14:paraId="60E35291" w14:textId="629C49BF" w:rsidR="4A72382E" w:rsidRDefault="4A72382E" w:rsidP="4A72382E">
      <w:pPr>
        <w:pStyle w:val="ListParagraph"/>
      </w:pPr>
    </w:p>
    <w:p w14:paraId="1580309B" w14:textId="7647272E" w:rsidR="00104CCD" w:rsidRPr="00104CCD" w:rsidRDefault="76EECFFF" w:rsidP="00104CCD">
      <w:pPr>
        <w:pStyle w:val="ListParagraph"/>
        <w:numPr>
          <w:ilvl w:val="0"/>
          <w:numId w:val="23"/>
        </w:numPr>
      </w:pPr>
      <w:r w:rsidRPr="4A72382E">
        <w:rPr>
          <w:b/>
          <w:bCs/>
        </w:rPr>
        <w:t xml:space="preserve">ensure relevant prior experience is at least equivalent in discipline content, depth and breadth to the unit(s) being awarded credit. </w:t>
      </w:r>
    </w:p>
    <w:p w14:paraId="04E7A2BF" w14:textId="77777777" w:rsidR="00104CCD" w:rsidRPr="00104CCD" w:rsidRDefault="00104CCD" w:rsidP="00104CCD">
      <w:pPr>
        <w:pStyle w:val="ListParagraph"/>
      </w:pPr>
      <w:r w:rsidRPr="00104CCD">
        <w:t xml:space="preserve">To uphold the integrity of ITE programs, providers must employ a systematic approach to evaluate prior learning against the specific requirements of each unit or course. </w:t>
      </w:r>
    </w:p>
    <w:p w14:paraId="455B3182" w14:textId="7554EFFE" w:rsidR="00104CCD" w:rsidRPr="00104CCD" w:rsidRDefault="00104CCD" w:rsidP="00104CCD">
      <w:pPr>
        <w:pStyle w:val="ListParagraph"/>
      </w:pPr>
      <w:r>
        <w:t xml:space="preserve">This approach may also be informed by documents like </w:t>
      </w:r>
      <w:r w:rsidR="04B5C90B">
        <w:t xml:space="preserve">AITSL’s </w:t>
      </w:r>
      <w:r w:rsidR="04B5C90B" w:rsidRPr="00C17E58">
        <w:rPr>
          <w:i/>
          <w:iCs/>
        </w:rPr>
        <w:t>Accreditation of initial teacher education programs in Australia: Standards and Procedures</w:t>
      </w:r>
      <w:r w:rsidR="04B5C90B">
        <w:t xml:space="preserve"> (Schedule 1)</w:t>
      </w:r>
      <w:r>
        <w:t xml:space="preserve">, and the </w:t>
      </w:r>
      <w:r>
        <w:lastRenderedPageBreak/>
        <w:t>New South Wales Education Standards Authority’s (NESA) Subject Content Knowledge requirements (2018), which provide a clear outline of what students are required to possess for each subject and learning area.</w:t>
      </w:r>
    </w:p>
    <w:p w14:paraId="2494E92E" w14:textId="3BB59ED9" w:rsidR="00FC7F49" w:rsidRDefault="00FC7F49" w:rsidP="00EB020E">
      <w:pPr>
        <w:pStyle w:val="Heading3"/>
      </w:pPr>
      <w:r>
        <w:t>Process Focused Principles</w:t>
      </w:r>
    </w:p>
    <w:p w14:paraId="51862701" w14:textId="0EF17EDD" w:rsidR="00104CCD" w:rsidRDefault="209E263C" w:rsidP="642ECC4B">
      <w:r>
        <w:t>Designed to streamline the RPL process, ensuring that it is not only responsive to student needs but also feasible and effective for administrative purposes</w:t>
      </w:r>
      <w:r w:rsidR="05159A64">
        <w:t xml:space="preserve">, </w:t>
      </w:r>
      <w:r w:rsidR="6ADD7B9C">
        <w:t>which</w:t>
      </w:r>
      <w:r w:rsidR="05159A64">
        <w:t xml:space="preserve"> should:</w:t>
      </w:r>
    </w:p>
    <w:p w14:paraId="0A151101" w14:textId="558E79FB" w:rsidR="00FC7F49" w:rsidRPr="00FC7F49" w:rsidRDefault="00DF6A92" w:rsidP="00FC7F49">
      <w:pPr>
        <w:pStyle w:val="ListParagraph"/>
        <w:numPr>
          <w:ilvl w:val="0"/>
          <w:numId w:val="23"/>
        </w:numPr>
      </w:pPr>
      <w:r>
        <w:rPr>
          <w:b/>
          <w:bCs/>
        </w:rPr>
        <w:t>e</w:t>
      </w:r>
      <w:r w:rsidR="209E263C" w:rsidRPr="4A72382E">
        <w:rPr>
          <w:b/>
          <w:bCs/>
        </w:rPr>
        <w:t xml:space="preserve">nsure assessment of RPL is undertaken by </w:t>
      </w:r>
      <w:r w:rsidR="00040022">
        <w:rPr>
          <w:b/>
          <w:bCs/>
        </w:rPr>
        <w:t>higher education provider</w:t>
      </w:r>
      <w:r w:rsidR="00040022" w:rsidRPr="4A72382E">
        <w:rPr>
          <w:b/>
          <w:bCs/>
        </w:rPr>
        <w:t xml:space="preserve"> </w:t>
      </w:r>
      <w:r w:rsidR="209E263C" w:rsidRPr="4A72382E">
        <w:rPr>
          <w:b/>
          <w:bCs/>
        </w:rPr>
        <w:t xml:space="preserve">staff with well-developed knowledge of RPL policies and practices, and ITE degrees. </w:t>
      </w:r>
    </w:p>
    <w:p w14:paraId="561228B0" w14:textId="72A15215" w:rsidR="00FC7F49" w:rsidRDefault="209E263C" w:rsidP="00FC7F49">
      <w:pPr>
        <w:pStyle w:val="ListParagraph"/>
      </w:pPr>
      <w:r>
        <w:t xml:space="preserve">Assessment and granting of RPL </w:t>
      </w:r>
      <w:r w:rsidR="2BF04B9A">
        <w:t>should</w:t>
      </w:r>
      <w:r>
        <w:t xml:space="preserve"> be done by an approved academic staff member at the faculty or school level (such as Course Convenor or Program Coordinator) with appropriate expertise who can act in accordance with relevant policy documents. Unit Coordinators can be asked to make recommendations on RPL assessment which are kept in respective universities’ credit transfer systems and reviewed every five years. </w:t>
      </w:r>
    </w:p>
    <w:p w14:paraId="2221F901" w14:textId="77777777" w:rsidR="00FC7F49" w:rsidRDefault="00FC7F49" w:rsidP="00FC7F49">
      <w:pPr>
        <w:pStyle w:val="ListParagraph"/>
      </w:pPr>
    </w:p>
    <w:p w14:paraId="2C3D5FE4" w14:textId="617B22D6" w:rsidR="00FC7F49" w:rsidRPr="00FC7F49" w:rsidRDefault="209E263C" w:rsidP="00FC7F49">
      <w:pPr>
        <w:pStyle w:val="ListParagraph"/>
      </w:pPr>
      <w:r>
        <w:t xml:space="preserve">In this way, professional staff can then make decisions on RPL assessment in accordance with the register. Ongoing institutional professional development </w:t>
      </w:r>
      <w:r w:rsidR="4A0E7BB1">
        <w:t>should</w:t>
      </w:r>
      <w:r>
        <w:t xml:space="preserve"> be provided to personnel undertaking assessments. Providers should proactively offer targeted trainings, workshops, and collaborative forums</w:t>
      </w:r>
      <w:r w:rsidR="477D418B">
        <w:t xml:space="preserve"> such as benchmarking</w:t>
      </w:r>
      <w:r>
        <w:t xml:space="preserve"> to increase understanding and trust among RPL assessors.</w:t>
      </w:r>
    </w:p>
    <w:p w14:paraId="6E83C077" w14:textId="77777777" w:rsidR="00FC7F49" w:rsidRPr="00104CCD" w:rsidRDefault="00FC7F49" w:rsidP="00FC7F49">
      <w:pPr>
        <w:pStyle w:val="ListParagraph"/>
      </w:pPr>
    </w:p>
    <w:p w14:paraId="0C3980AE" w14:textId="4BBC1CBE" w:rsidR="00FC7F49" w:rsidRPr="00FC7F49" w:rsidRDefault="00DF6A92" w:rsidP="00FC7F49">
      <w:pPr>
        <w:pStyle w:val="ListParagraph"/>
        <w:numPr>
          <w:ilvl w:val="0"/>
          <w:numId w:val="23"/>
        </w:numPr>
      </w:pPr>
      <w:r>
        <w:rPr>
          <w:b/>
          <w:bCs/>
        </w:rPr>
        <w:t>b</w:t>
      </w:r>
      <w:r w:rsidR="209E263C" w:rsidRPr="4A72382E">
        <w:rPr>
          <w:b/>
          <w:bCs/>
        </w:rPr>
        <w:t>e timely.</w:t>
      </w:r>
    </w:p>
    <w:p w14:paraId="09159DD1" w14:textId="2A6ADEF0" w:rsidR="11DF0D3A" w:rsidRDefault="209E263C" w:rsidP="11DF0D3A">
      <w:pPr>
        <w:pStyle w:val="ListParagraph"/>
      </w:pPr>
      <w:r>
        <w:t>HESF (Standard 7.2) require</w:t>
      </w:r>
      <w:r w:rsidR="7F1B1EF7">
        <w:t xml:space="preserve"> </w:t>
      </w:r>
      <w:r w:rsidR="163F7D48">
        <w:t>HEP</w:t>
      </w:r>
      <w:r>
        <w:t>s</w:t>
      </w:r>
      <w:r w:rsidR="5EF73447">
        <w:t xml:space="preserve"> to</w:t>
      </w:r>
      <w:r>
        <w:t xml:space="preserve"> inform students about RPL policies, arrangements, and potential eligibility for credit for RPL, prior to enrolment. For overseas students, TEQSA mandates that providers must make students aware of any course credit applicable prior to accepting their enrolment in a course, to allow them to plan their studies effectively. </w:t>
      </w:r>
    </w:p>
    <w:p w14:paraId="48D83D78" w14:textId="4D6C60EE" w:rsidR="11DF0D3A" w:rsidRDefault="11DF0D3A" w:rsidP="11DF0D3A">
      <w:pPr>
        <w:pStyle w:val="ListParagraph"/>
      </w:pPr>
    </w:p>
    <w:p w14:paraId="018E926E" w14:textId="2685B45C" w:rsidR="11DF0D3A" w:rsidRDefault="39066786" w:rsidP="11DF0D3A">
      <w:pPr>
        <w:pStyle w:val="ListParagraph"/>
      </w:pPr>
      <w:r>
        <w:t xml:space="preserve">Providers should proactively and regularly review their website </w:t>
      </w:r>
      <w:r w:rsidR="004342F7">
        <w:t>t</w:t>
      </w:r>
      <w:r>
        <w:t>o ensure information is current and accurate in relation to RPL for ITE.</w:t>
      </w:r>
    </w:p>
    <w:p w14:paraId="6BC8EDEF" w14:textId="18185EB9" w:rsidR="11DF0D3A" w:rsidRDefault="11DF0D3A" w:rsidP="11DF0D3A">
      <w:pPr>
        <w:pStyle w:val="ListParagraph"/>
      </w:pPr>
    </w:p>
    <w:p w14:paraId="674C2094" w14:textId="1B27961A" w:rsidR="11DF0D3A" w:rsidRDefault="31474DB8" w:rsidP="11DF0D3A">
      <w:pPr>
        <w:pStyle w:val="ListParagraph"/>
      </w:pPr>
      <w:r>
        <w:t>Prospective students should be notified about the indicative timeframe for a decision on a RPL application.</w:t>
      </w:r>
      <w:r w:rsidR="169CB853">
        <w:t xml:space="preserve"> </w:t>
      </w:r>
      <w:r w:rsidR="0084694C" w:rsidRPr="7E101D67">
        <w:rPr>
          <w:rFonts w:ascii="Calibri" w:eastAsia="Calibri" w:hAnsi="Calibri" w:cs="Calibri"/>
        </w:rPr>
        <w:t>Providers should also engage in a conversation with the applicant before and after the RPL application to ensure the applicant has a strong understand</w:t>
      </w:r>
      <w:r w:rsidR="00703F11">
        <w:rPr>
          <w:rFonts w:ascii="Calibri" w:eastAsia="Calibri" w:hAnsi="Calibri" w:cs="Calibri"/>
        </w:rPr>
        <w:t>ing</w:t>
      </w:r>
      <w:r w:rsidR="0084694C" w:rsidRPr="7E101D67">
        <w:rPr>
          <w:rFonts w:ascii="Calibri" w:eastAsia="Calibri" w:hAnsi="Calibri" w:cs="Calibri"/>
        </w:rPr>
        <w:t xml:space="preserve"> of what their </w:t>
      </w:r>
      <w:r w:rsidR="00703F11">
        <w:rPr>
          <w:rFonts w:ascii="Calibri" w:eastAsia="Calibri" w:hAnsi="Calibri" w:cs="Calibri"/>
        </w:rPr>
        <w:t xml:space="preserve">study </w:t>
      </w:r>
      <w:r w:rsidR="0084694C" w:rsidRPr="7E101D67">
        <w:rPr>
          <w:rFonts w:ascii="Calibri" w:eastAsia="Calibri" w:hAnsi="Calibri" w:cs="Calibri"/>
        </w:rPr>
        <w:t xml:space="preserve">pathway looks like.  </w:t>
      </w:r>
      <w:r w:rsidR="0084694C" w:rsidRPr="7E101D67">
        <w:t xml:space="preserve"> </w:t>
      </w:r>
    </w:p>
    <w:p w14:paraId="6DC1A444" w14:textId="5EF26F50" w:rsidR="7C202F40" w:rsidRDefault="7C202F40" w:rsidP="7C202F40">
      <w:pPr>
        <w:pStyle w:val="ListParagraph"/>
      </w:pPr>
    </w:p>
    <w:p w14:paraId="16797465" w14:textId="7A0E9678" w:rsidR="002B0B9F" w:rsidRPr="001C57F3" w:rsidRDefault="209E263C" w:rsidP="00FD1086">
      <w:pPr>
        <w:pStyle w:val="ListParagraph"/>
      </w:pPr>
      <w:r>
        <w:t xml:space="preserve">This timely assessment and advice </w:t>
      </w:r>
      <w:proofErr w:type="gramStart"/>
      <w:r>
        <w:t>is</w:t>
      </w:r>
      <w:proofErr w:type="gramEnd"/>
      <w:r>
        <w:t xml:space="preserve"> key for enhancing the student experience, aligning with the HESF Standards, and ensuring that students are fully informed and prepared for their educational journey.</w:t>
      </w:r>
    </w:p>
    <w:p w14:paraId="45E6E90A" w14:textId="193D00EA" w:rsidR="00FC7F49" w:rsidRDefault="00FC7F49" w:rsidP="00EB020E">
      <w:pPr>
        <w:pStyle w:val="Heading3"/>
      </w:pPr>
      <w:r>
        <w:t>Governance Focused Principles</w:t>
      </w:r>
    </w:p>
    <w:p w14:paraId="42C37D3F" w14:textId="22A0EF37" w:rsidR="00B10955" w:rsidRDefault="209E263C" w:rsidP="4A72382E">
      <w:r>
        <w:t>Designed to establish robust oversight and quality assurance mechanisms for RPL in ITE, assuring students and stakeholders alike of the integrity and validity of the credits awarded through RPL</w:t>
      </w:r>
      <w:r w:rsidR="07A03FB6">
        <w:t xml:space="preserve">. </w:t>
      </w:r>
      <w:r w:rsidR="3F3C7434">
        <w:t>HEP</w:t>
      </w:r>
      <w:r w:rsidR="0865B3EF">
        <w:t>s</w:t>
      </w:r>
      <w:r w:rsidR="23DDB980">
        <w:t>'</w:t>
      </w:r>
      <w:r w:rsidR="07A03FB6">
        <w:t xml:space="preserve"> RPL practice</w:t>
      </w:r>
      <w:r w:rsidR="7DDB2F3B">
        <w:t>s</w:t>
      </w:r>
      <w:r w:rsidR="07A03FB6">
        <w:t xml:space="preserve"> should:</w:t>
      </w:r>
    </w:p>
    <w:p w14:paraId="27DA5542" w14:textId="6C966AB1" w:rsidR="00FC7F49" w:rsidRPr="00FC7F49" w:rsidRDefault="00DF6A92" w:rsidP="00FC7F49">
      <w:pPr>
        <w:pStyle w:val="ListParagraph"/>
        <w:numPr>
          <w:ilvl w:val="0"/>
          <w:numId w:val="23"/>
        </w:numPr>
      </w:pPr>
      <w:r>
        <w:rPr>
          <w:b/>
          <w:bCs/>
        </w:rPr>
        <w:t>a</w:t>
      </w:r>
      <w:r w:rsidR="209E263C" w:rsidRPr="4A72382E">
        <w:rPr>
          <w:b/>
          <w:bCs/>
        </w:rPr>
        <w:t xml:space="preserve">dhere to fair and equitable governance principles. </w:t>
      </w:r>
    </w:p>
    <w:p w14:paraId="7E07DDDD" w14:textId="77777777" w:rsidR="00FC7F49" w:rsidRPr="00FC7F49" w:rsidRDefault="00FC7F49" w:rsidP="00FC7F49">
      <w:pPr>
        <w:pStyle w:val="ListParagraph"/>
      </w:pPr>
      <w:r w:rsidRPr="00FC7F49">
        <w:lastRenderedPageBreak/>
        <w:t>The governance environment surrounding RPL in ITE encompasses the policies, guidelines, processes, and structures dedicated to RPL within ITE institutions. This environment is pivotal in ensuring the RPL processes are characterised by consistency, fairness, and transparency. To enhance this environment, providers are advised to undertake several key initiatives:</w:t>
      </w:r>
    </w:p>
    <w:p w14:paraId="0ED76073" w14:textId="07723C69" w:rsidR="00FC7F49" w:rsidRPr="00FC7F49" w:rsidRDefault="00FC7F49" w:rsidP="00FC7F49">
      <w:pPr>
        <w:pStyle w:val="ListParagraph"/>
        <w:numPr>
          <w:ilvl w:val="0"/>
          <w:numId w:val="28"/>
        </w:numPr>
      </w:pPr>
      <w:r w:rsidRPr="11DF0D3A">
        <w:rPr>
          <w:u w:val="single"/>
        </w:rPr>
        <w:t>Create and circulate detailed, comprehensive guidelines regarding the RPL processes in ITE</w:t>
      </w:r>
      <w:r w:rsidR="6E7161ED" w:rsidRPr="11DF0D3A">
        <w:rPr>
          <w:u w:val="single"/>
        </w:rPr>
        <w:t xml:space="preserve"> to academic program committees</w:t>
      </w:r>
      <w:r w:rsidR="2A26740C" w:rsidRPr="11DF0D3A">
        <w:rPr>
          <w:u w:val="single"/>
        </w:rPr>
        <w:t xml:space="preserve"> or equivalent</w:t>
      </w:r>
      <w:r>
        <w:t xml:space="preserve">, to ensure a unified understanding of the expected criteria, procedures, and outcomes. </w:t>
      </w:r>
    </w:p>
    <w:p w14:paraId="779BC44F" w14:textId="77777777" w:rsidR="00FC7F49" w:rsidRPr="00FC7F49" w:rsidRDefault="00FC7F49" w:rsidP="00FC7F49">
      <w:pPr>
        <w:pStyle w:val="ListParagraph"/>
        <w:numPr>
          <w:ilvl w:val="0"/>
          <w:numId w:val="28"/>
        </w:numPr>
      </w:pPr>
      <w:r w:rsidRPr="00FC7F49">
        <w:rPr>
          <w:u w:val="single"/>
        </w:rPr>
        <w:t>Adopt uniform assessment tools and criteria for evaluating prior learning</w:t>
      </w:r>
      <w:r w:rsidRPr="00FC7F49">
        <w:t>, to guarantee that assessments are carried out in a consistent, objective, and unbiased manner.</w:t>
      </w:r>
    </w:p>
    <w:p w14:paraId="2DC7152B" w14:textId="77777777" w:rsidR="00FC7F49" w:rsidRPr="00FC7F49" w:rsidRDefault="00FC7F49" w:rsidP="00FC7F49">
      <w:pPr>
        <w:pStyle w:val="ListParagraph"/>
        <w:numPr>
          <w:ilvl w:val="0"/>
          <w:numId w:val="28"/>
        </w:numPr>
      </w:pPr>
      <w:r w:rsidRPr="00FC7F49">
        <w:rPr>
          <w:u w:val="single"/>
        </w:rPr>
        <w:t>Provide regular training for assessors on the principles of fair and equitable assessment practices</w:t>
      </w:r>
      <w:r w:rsidRPr="00FC7F49">
        <w:t xml:space="preserve">, which should highlight the significance of maintaining consistency and transparency in the assessment of prior learning. </w:t>
      </w:r>
    </w:p>
    <w:p w14:paraId="4983DFDF" w14:textId="77777777" w:rsidR="00FC7F49" w:rsidRDefault="00FC7F49" w:rsidP="00FC7F49">
      <w:pPr>
        <w:pStyle w:val="ListParagraph"/>
        <w:numPr>
          <w:ilvl w:val="0"/>
          <w:numId w:val="28"/>
        </w:numPr>
      </w:pPr>
      <w:r w:rsidRPr="00FC7F49">
        <w:rPr>
          <w:u w:val="single"/>
        </w:rPr>
        <w:t xml:space="preserve">Establish strong review and appeal mechanisms for RPL decisions </w:t>
      </w:r>
      <w:r w:rsidRPr="00FC7F49">
        <w:t xml:space="preserve">to allow individuals to seek clarification in instances of disagreement, thereby increasing the process's transparency and perceived fairness. </w:t>
      </w:r>
    </w:p>
    <w:p w14:paraId="50066C32" w14:textId="77777777" w:rsidR="00FC7F49" w:rsidRDefault="00FC7F49" w:rsidP="00FC7F49">
      <w:pPr>
        <w:pStyle w:val="ListParagraph"/>
        <w:ind w:left="1440"/>
      </w:pPr>
    </w:p>
    <w:p w14:paraId="5C9EBD4E" w14:textId="51E45A63" w:rsidR="00FC7F49" w:rsidRPr="00FC7F49" w:rsidRDefault="00DF6A92" w:rsidP="00FC7F49">
      <w:pPr>
        <w:pStyle w:val="ListParagraph"/>
        <w:numPr>
          <w:ilvl w:val="0"/>
          <w:numId w:val="23"/>
        </w:numPr>
      </w:pPr>
      <w:r>
        <w:rPr>
          <w:b/>
          <w:bCs/>
        </w:rPr>
        <w:t>e</w:t>
      </w:r>
      <w:r w:rsidR="209E263C" w:rsidRPr="4A72382E">
        <w:rPr>
          <w:b/>
          <w:bCs/>
        </w:rPr>
        <w:t xml:space="preserve">nsure that appropriate records are maintained. </w:t>
      </w:r>
    </w:p>
    <w:p w14:paraId="3E5C098E" w14:textId="63956058" w:rsidR="209E263C" w:rsidRDefault="209E263C" w:rsidP="4A72382E">
      <w:pPr>
        <w:pStyle w:val="ListParagraph"/>
      </w:pPr>
      <w:r>
        <w:t xml:space="preserve">These records serve as concrete evidence of the RPL process by documenting the steps taken throughout the assessment process, the criteria applied, and the decisions reached. They should also include any reasons for not granting credit. </w:t>
      </w:r>
    </w:p>
    <w:p w14:paraId="29512E54" w14:textId="77777777" w:rsidR="00FC7F49" w:rsidRPr="00FC7F49" w:rsidRDefault="00FC7F49" w:rsidP="00FC7F49">
      <w:pPr>
        <w:pStyle w:val="ListParagraph"/>
      </w:pPr>
      <w:r w:rsidRPr="00FC7F49">
        <w:t xml:space="preserve">This principle is essential for maintaining accountability, ensuring fairness, and continuously improving the quality and effectiveness of RPL assessments. </w:t>
      </w:r>
    </w:p>
    <w:p w14:paraId="1B9B6F4F" w14:textId="77777777" w:rsidR="00FC7F49" w:rsidRDefault="00FC7F49" w:rsidP="00FC7F49">
      <w:pPr>
        <w:pStyle w:val="ListParagraph"/>
      </w:pPr>
    </w:p>
    <w:p w14:paraId="64F00954" w14:textId="2DA36F00" w:rsidR="00FC7F49" w:rsidRDefault="00DF6A92" w:rsidP="4A72382E">
      <w:pPr>
        <w:pStyle w:val="ListParagraph"/>
        <w:numPr>
          <w:ilvl w:val="0"/>
          <w:numId w:val="23"/>
        </w:numPr>
      </w:pPr>
      <w:r>
        <w:rPr>
          <w:b/>
          <w:bCs/>
        </w:rPr>
        <w:t>i</w:t>
      </w:r>
      <w:r w:rsidR="209E263C" w:rsidRPr="4A72382E">
        <w:rPr>
          <w:b/>
          <w:bCs/>
        </w:rPr>
        <w:t xml:space="preserve">ncorporate national benchmarking, standard setting, and moderation processes. </w:t>
      </w:r>
    </w:p>
    <w:p w14:paraId="137D075B" w14:textId="77777777" w:rsidR="00FC7F49" w:rsidRDefault="00FC7F49" w:rsidP="00FC7F49">
      <w:pPr>
        <w:pStyle w:val="ListParagraph"/>
      </w:pPr>
      <w:r w:rsidRPr="00FC7F49">
        <w:t xml:space="preserve">This principle is fundamental in elevating the quality, equity, and consistency of RPL assessments across various educational institutions. Achieving such consistency guarantees that, given the same evidence against national benchmarks and standards, the outcomes of RPL assessments would be uniform. </w:t>
      </w:r>
    </w:p>
    <w:p w14:paraId="5C22FF4B" w14:textId="77777777" w:rsidR="00FC7F49" w:rsidRPr="00FC7F49" w:rsidRDefault="00FC7F49" w:rsidP="00FC7F49">
      <w:pPr>
        <w:pStyle w:val="ListParagraph"/>
      </w:pPr>
    </w:p>
    <w:p w14:paraId="3E8FF0D2" w14:textId="57ACD6CC" w:rsidR="00FC7F49" w:rsidRDefault="209E263C" w:rsidP="00FC7F49">
      <w:pPr>
        <w:pStyle w:val="ListParagraph"/>
      </w:pPr>
      <w:r>
        <w:t>The perceived quality and credibility of ITE programs are enhanced when stakeholders are aware that robust, transparent, and equitable processes underpin RPL assessments. This perception is vital in attracting and retaining high-calibre students into the teaching profession, thereby contributing to the development of a well-qualified teaching workforce equipped to meet the diverse needs of learners.</w:t>
      </w:r>
    </w:p>
    <w:p w14:paraId="01BA47CB" w14:textId="77777777" w:rsidR="00FC7F49" w:rsidRDefault="00FC7F49" w:rsidP="00FC7F49">
      <w:pPr>
        <w:pStyle w:val="ListParagraph"/>
      </w:pPr>
    </w:p>
    <w:p w14:paraId="3A1AA8FD" w14:textId="7DCD8634" w:rsidR="00FC7F49" w:rsidRDefault="00DF6A92" w:rsidP="4A72382E">
      <w:pPr>
        <w:pStyle w:val="ListParagraph"/>
        <w:numPr>
          <w:ilvl w:val="0"/>
          <w:numId w:val="23"/>
        </w:numPr>
      </w:pPr>
      <w:r>
        <w:rPr>
          <w:b/>
          <w:bCs/>
        </w:rPr>
        <w:t>i</w:t>
      </w:r>
      <w:r w:rsidR="209E263C" w:rsidRPr="4A72382E">
        <w:rPr>
          <w:b/>
          <w:bCs/>
        </w:rPr>
        <w:t>ncorporate short-term and long-term evaluation processes.</w:t>
      </w:r>
    </w:p>
    <w:p w14:paraId="3EB0E3CF" w14:textId="6433FEC3" w:rsidR="000F6E40" w:rsidRDefault="00FC7F49" w:rsidP="00EB020E">
      <w:pPr>
        <w:pStyle w:val="ListParagraph"/>
      </w:pPr>
      <w:r w:rsidRPr="00FC7F49">
        <w:t>Short-term evaluation processes are important for early feedback and adjustments. They allow for the timely review of RPL practices using data from their initial implementation to evaluate their impact and the extent to which the results are consistent with expectation. Additionally, long-term evaluation should provide evidence of the sustained impact of the procedures, and any unintended consequences that the procedures might be having on ITE.</w:t>
      </w:r>
      <w:r w:rsidR="000F6E40">
        <w:t xml:space="preserve"> </w:t>
      </w:r>
      <w:r w:rsidRPr="00A95B73">
        <w:t>Evaluation processes more broadly are required to monitor the uptake and impact of RPL in ITE. By regularly reviewing and updating RPL practices, ITE institutions can work towards making sure that the procedures remain relevant, effective, and in alignment with the ever-changing educational landscape.</w:t>
      </w:r>
      <w:r w:rsidRPr="00FC7F49">
        <w:t xml:space="preserve"> </w:t>
      </w:r>
      <w:r w:rsidR="000F6E40">
        <w:br w:type="page"/>
      </w:r>
    </w:p>
    <w:p w14:paraId="63233AA0" w14:textId="25BC2A56" w:rsidR="00FC7F49" w:rsidRDefault="00FC7F49" w:rsidP="000F6E40">
      <w:pPr>
        <w:pStyle w:val="Heading4"/>
      </w:pPr>
      <w:r>
        <w:lastRenderedPageBreak/>
        <w:t>Appendix</w:t>
      </w:r>
      <w:r w:rsidR="0040474A">
        <w:t xml:space="preserve"> 1</w:t>
      </w:r>
    </w:p>
    <w:p w14:paraId="02680DA7" w14:textId="70D0DA8B" w:rsidR="00FC7F49" w:rsidRDefault="00FC7F49" w:rsidP="00655DA0">
      <w:pPr>
        <w:pStyle w:val="Heading5"/>
      </w:pPr>
      <w:r>
        <w:t>Examples of Formal and Non-formal learning relevant to RPL for ITE</w:t>
      </w:r>
    </w:p>
    <w:tbl>
      <w:tblPr>
        <w:tblStyle w:val="EDU-Basic"/>
        <w:tblW w:w="8926" w:type="dxa"/>
        <w:tblLook w:val="0420" w:firstRow="1" w:lastRow="0" w:firstColumn="0" w:lastColumn="0" w:noHBand="0" w:noVBand="1"/>
      </w:tblPr>
      <w:tblGrid>
        <w:gridCol w:w="2258"/>
        <w:gridCol w:w="4258"/>
        <w:gridCol w:w="2410"/>
      </w:tblGrid>
      <w:tr w:rsidR="005314DE" w:rsidRPr="00FC7F49" w14:paraId="50FEF40B" w14:textId="77777777" w:rsidTr="1D3FEC24">
        <w:trPr>
          <w:cnfStyle w:val="100000000000" w:firstRow="1" w:lastRow="0" w:firstColumn="0" w:lastColumn="0" w:oddVBand="0" w:evenVBand="0" w:oddHBand="0" w:evenHBand="0" w:firstRowFirstColumn="0" w:firstRowLastColumn="0" w:lastRowFirstColumn="0" w:lastRowLastColumn="0"/>
          <w:trHeight w:val="300"/>
        </w:trPr>
        <w:tc>
          <w:tcPr>
            <w:tcW w:w="2258" w:type="dxa"/>
            <w:hideMark/>
          </w:tcPr>
          <w:p w14:paraId="00C527A7" w14:textId="77777777" w:rsidR="00FC7F49" w:rsidRPr="00FC7F49" w:rsidRDefault="00FC7F49" w:rsidP="00FC7F49">
            <w:pPr>
              <w:spacing w:line="259" w:lineRule="auto"/>
            </w:pPr>
            <w:r w:rsidRPr="00FC7F49">
              <w:rPr>
                <w:b/>
                <w:bCs/>
              </w:rPr>
              <w:t>Type of learning</w:t>
            </w:r>
          </w:p>
        </w:tc>
        <w:tc>
          <w:tcPr>
            <w:tcW w:w="4258" w:type="dxa"/>
            <w:hideMark/>
          </w:tcPr>
          <w:p w14:paraId="268ED9C2" w14:textId="77777777" w:rsidR="00FC7F49" w:rsidRPr="00FC7F49" w:rsidRDefault="00FC7F49" w:rsidP="00FC7F49">
            <w:pPr>
              <w:spacing w:line="259" w:lineRule="auto"/>
            </w:pPr>
            <w:r w:rsidRPr="00FC7F49">
              <w:rPr>
                <w:b/>
                <w:bCs/>
              </w:rPr>
              <w:t>Examples relevant to ITE</w:t>
            </w:r>
          </w:p>
        </w:tc>
        <w:tc>
          <w:tcPr>
            <w:tcW w:w="2410" w:type="dxa"/>
            <w:hideMark/>
          </w:tcPr>
          <w:p w14:paraId="5144A1C5" w14:textId="77777777" w:rsidR="00FC7F49" w:rsidRPr="00FC7F49" w:rsidRDefault="00FC7F49" w:rsidP="00FC7F49">
            <w:pPr>
              <w:spacing w:line="259" w:lineRule="auto"/>
            </w:pPr>
            <w:r w:rsidRPr="00FC7F49">
              <w:rPr>
                <w:b/>
                <w:bCs/>
              </w:rPr>
              <w:t>Considerations</w:t>
            </w:r>
          </w:p>
        </w:tc>
      </w:tr>
      <w:tr w:rsidR="00FC7F49" w:rsidRPr="00FC7F49" w14:paraId="38F3ACC6" w14:textId="77777777" w:rsidTr="1D3FEC24">
        <w:trPr>
          <w:trHeight w:val="300"/>
        </w:trPr>
        <w:tc>
          <w:tcPr>
            <w:tcW w:w="2258" w:type="dxa"/>
            <w:vMerge w:val="restart"/>
            <w:hideMark/>
          </w:tcPr>
          <w:p w14:paraId="5FE53AB0" w14:textId="77777777" w:rsidR="00FC7F49" w:rsidRPr="00FC7F49" w:rsidRDefault="00FC7F49" w:rsidP="00FC7F49">
            <w:pPr>
              <w:spacing w:line="259" w:lineRule="auto"/>
            </w:pPr>
            <w:r w:rsidRPr="00FC7F49">
              <w:rPr>
                <w:b/>
                <w:bCs/>
              </w:rPr>
              <w:t>Formal learning</w:t>
            </w:r>
          </w:p>
        </w:tc>
        <w:tc>
          <w:tcPr>
            <w:tcW w:w="4258" w:type="dxa"/>
            <w:hideMark/>
          </w:tcPr>
          <w:p w14:paraId="780952F7" w14:textId="283E59CB" w:rsidR="00FC7F49" w:rsidRPr="00FC7F49" w:rsidRDefault="00FC7F49" w:rsidP="00FC7F49">
            <w:pPr>
              <w:spacing w:line="259" w:lineRule="auto"/>
            </w:pPr>
            <w:r>
              <w:t xml:space="preserve">Undergraduate degree in </w:t>
            </w:r>
            <w:r w:rsidR="00B10955">
              <w:t xml:space="preserve">a </w:t>
            </w:r>
            <w:r>
              <w:t>field</w:t>
            </w:r>
            <w:r w:rsidR="00B10955">
              <w:t xml:space="preserve"> </w:t>
            </w:r>
            <w:r w:rsidR="003D5528">
              <w:t>with outcomes related to the ITE course outcomes</w:t>
            </w:r>
            <w:r>
              <w:t xml:space="preserve">. </w:t>
            </w:r>
          </w:p>
        </w:tc>
        <w:tc>
          <w:tcPr>
            <w:tcW w:w="2410" w:type="dxa"/>
            <w:hideMark/>
          </w:tcPr>
          <w:p w14:paraId="18C0D68D" w14:textId="77777777" w:rsidR="00FC7F49" w:rsidRPr="00FC7F49" w:rsidRDefault="00FC7F49" w:rsidP="00FC7F49">
            <w:pPr>
              <w:spacing w:line="259" w:lineRule="auto"/>
            </w:pPr>
            <w:r w:rsidRPr="00FC7F49">
              <w:t xml:space="preserve">Or components of degree. </w:t>
            </w:r>
          </w:p>
        </w:tc>
      </w:tr>
      <w:tr w:rsidR="00FC7F49" w:rsidRPr="00FC7F49" w14:paraId="19BCBC1E" w14:textId="77777777" w:rsidTr="1D3FEC24">
        <w:trPr>
          <w:trHeight w:val="300"/>
        </w:trPr>
        <w:tc>
          <w:tcPr>
            <w:tcW w:w="2258" w:type="dxa"/>
            <w:vMerge/>
            <w:hideMark/>
          </w:tcPr>
          <w:p w14:paraId="773801B1" w14:textId="77777777" w:rsidR="00FC7F49" w:rsidRPr="00FC7F49" w:rsidRDefault="00FC7F49" w:rsidP="00FC7F49">
            <w:pPr>
              <w:spacing w:line="259" w:lineRule="auto"/>
            </w:pPr>
          </w:p>
        </w:tc>
        <w:tc>
          <w:tcPr>
            <w:tcW w:w="4258" w:type="dxa"/>
            <w:hideMark/>
          </w:tcPr>
          <w:p w14:paraId="3AA5D45E" w14:textId="77777777" w:rsidR="00FC7F49" w:rsidRPr="00FC7F49" w:rsidRDefault="00FC7F49" w:rsidP="00FC7F49">
            <w:pPr>
              <w:spacing w:line="259" w:lineRule="auto"/>
            </w:pPr>
            <w:r w:rsidRPr="00FC7F49">
              <w:t>Postgraduate qualifications in related field.</w:t>
            </w:r>
          </w:p>
        </w:tc>
        <w:tc>
          <w:tcPr>
            <w:tcW w:w="2410" w:type="dxa"/>
            <w:hideMark/>
          </w:tcPr>
          <w:p w14:paraId="06D0F7BD" w14:textId="77777777" w:rsidR="00FC7F49" w:rsidRPr="00FC7F49" w:rsidRDefault="00FC7F49" w:rsidP="00FC7F49">
            <w:pPr>
              <w:spacing w:line="259" w:lineRule="auto"/>
            </w:pPr>
            <w:r w:rsidRPr="00FC7F49">
              <w:t xml:space="preserve">Or components of qualification. </w:t>
            </w:r>
          </w:p>
        </w:tc>
      </w:tr>
      <w:tr w:rsidR="00FC7F49" w:rsidRPr="00FC7F49" w14:paraId="56F0734A" w14:textId="77777777" w:rsidTr="1D3FEC24">
        <w:trPr>
          <w:trHeight w:val="300"/>
        </w:trPr>
        <w:tc>
          <w:tcPr>
            <w:tcW w:w="2258" w:type="dxa"/>
            <w:vMerge/>
            <w:hideMark/>
          </w:tcPr>
          <w:p w14:paraId="7889960C" w14:textId="77777777" w:rsidR="00FC7F49" w:rsidRPr="00FC7F49" w:rsidRDefault="00FC7F49" w:rsidP="00FC7F49">
            <w:pPr>
              <w:spacing w:line="259" w:lineRule="auto"/>
            </w:pPr>
          </w:p>
        </w:tc>
        <w:tc>
          <w:tcPr>
            <w:tcW w:w="4258" w:type="dxa"/>
            <w:hideMark/>
          </w:tcPr>
          <w:p w14:paraId="514E51AE" w14:textId="77777777" w:rsidR="00FC7F49" w:rsidRPr="00FC7F49" w:rsidRDefault="00FC7F49" w:rsidP="00FC7F49">
            <w:pPr>
              <w:spacing w:line="259" w:lineRule="auto"/>
            </w:pPr>
            <w:r w:rsidRPr="00FC7F49">
              <w:t>Accredited teacher training courses.</w:t>
            </w:r>
          </w:p>
        </w:tc>
        <w:tc>
          <w:tcPr>
            <w:tcW w:w="2410" w:type="dxa"/>
            <w:hideMark/>
          </w:tcPr>
          <w:p w14:paraId="44A05BD9" w14:textId="77777777" w:rsidR="00FC7F49" w:rsidRPr="00FC7F49" w:rsidRDefault="00FC7F49" w:rsidP="00FC7F49">
            <w:pPr>
              <w:spacing w:line="259" w:lineRule="auto"/>
            </w:pPr>
            <w:r w:rsidRPr="00FC7F49">
              <w:t>Or components of courses.</w:t>
            </w:r>
          </w:p>
        </w:tc>
      </w:tr>
      <w:tr w:rsidR="00DF6A92" w:rsidRPr="00FC7F49" w14:paraId="7E129A52" w14:textId="77777777" w:rsidTr="1D3FEC24">
        <w:trPr>
          <w:trHeight w:val="300"/>
        </w:trPr>
        <w:tc>
          <w:tcPr>
            <w:tcW w:w="2258" w:type="dxa"/>
            <w:vMerge w:val="restart"/>
            <w:hideMark/>
          </w:tcPr>
          <w:p w14:paraId="6183C774" w14:textId="77777777" w:rsidR="00DF6A92" w:rsidRPr="00FC7F49" w:rsidRDefault="00DF6A92" w:rsidP="1D3FEC24">
            <w:pPr>
              <w:spacing w:line="259" w:lineRule="auto"/>
              <w:rPr>
                <w:b/>
                <w:bCs/>
              </w:rPr>
            </w:pPr>
            <w:r w:rsidRPr="1D3FEC24">
              <w:rPr>
                <w:b/>
                <w:bCs/>
              </w:rPr>
              <w:t>Non-formal learning</w:t>
            </w:r>
          </w:p>
        </w:tc>
        <w:tc>
          <w:tcPr>
            <w:tcW w:w="4258" w:type="dxa"/>
            <w:hideMark/>
          </w:tcPr>
          <w:p w14:paraId="1BD9C9B4" w14:textId="238EB48E" w:rsidR="00DF6A92" w:rsidRPr="00FC7F49" w:rsidRDefault="00DF6A92" w:rsidP="00DF6A92">
            <w:pPr>
              <w:spacing w:after="100"/>
            </w:pPr>
            <w:r w:rsidRPr="00FC7F49">
              <w:t xml:space="preserve">Short courses, workshops or micro-credentials (online or in-person) related to teaching skills or education topics. </w:t>
            </w:r>
          </w:p>
        </w:tc>
        <w:tc>
          <w:tcPr>
            <w:tcW w:w="2410" w:type="dxa"/>
            <w:vMerge w:val="restart"/>
            <w:hideMark/>
          </w:tcPr>
          <w:p w14:paraId="0D1BC99F" w14:textId="77777777" w:rsidR="00DF6A92" w:rsidRPr="00FC7F49" w:rsidRDefault="00DF6A92" w:rsidP="00FC7F49">
            <w:pPr>
              <w:spacing w:line="259" w:lineRule="auto"/>
            </w:pPr>
          </w:p>
        </w:tc>
      </w:tr>
      <w:tr w:rsidR="00DF6A92" w:rsidRPr="00FC7F49" w14:paraId="342180A9" w14:textId="77777777" w:rsidTr="1D3FEC24">
        <w:trPr>
          <w:trHeight w:val="300"/>
        </w:trPr>
        <w:tc>
          <w:tcPr>
            <w:tcW w:w="2258" w:type="dxa"/>
            <w:vMerge/>
          </w:tcPr>
          <w:p w14:paraId="41E6BC8F" w14:textId="77777777" w:rsidR="00DF6A92" w:rsidRPr="00FC7F49" w:rsidRDefault="00DF6A92" w:rsidP="00FC7F49">
            <w:pPr>
              <w:rPr>
                <w:b/>
                <w:bCs/>
              </w:rPr>
            </w:pPr>
          </w:p>
        </w:tc>
        <w:tc>
          <w:tcPr>
            <w:tcW w:w="4258" w:type="dxa"/>
          </w:tcPr>
          <w:p w14:paraId="4BDC88B3" w14:textId="750125C1" w:rsidR="00DF6A92" w:rsidRPr="00FC7F49" w:rsidRDefault="00DF6A92" w:rsidP="00DF6A92">
            <w:pPr>
              <w:spacing w:after="100"/>
            </w:pPr>
            <w:r w:rsidRPr="00FC7F49">
              <w:t xml:space="preserve">Seminars or conferences on teaching methodologies. </w:t>
            </w:r>
          </w:p>
        </w:tc>
        <w:tc>
          <w:tcPr>
            <w:tcW w:w="2410" w:type="dxa"/>
            <w:vMerge/>
          </w:tcPr>
          <w:p w14:paraId="66751131" w14:textId="77777777" w:rsidR="00DF6A92" w:rsidRPr="00FC7F49" w:rsidRDefault="00DF6A92" w:rsidP="00FC7F49"/>
        </w:tc>
      </w:tr>
      <w:tr w:rsidR="00DF6A92" w:rsidRPr="00FC7F49" w14:paraId="6464801C" w14:textId="77777777" w:rsidTr="1D3FEC24">
        <w:trPr>
          <w:trHeight w:val="300"/>
        </w:trPr>
        <w:tc>
          <w:tcPr>
            <w:tcW w:w="2258" w:type="dxa"/>
            <w:vMerge/>
          </w:tcPr>
          <w:p w14:paraId="0451908A" w14:textId="77777777" w:rsidR="00DF6A92" w:rsidRPr="00FC7F49" w:rsidRDefault="00DF6A92" w:rsidP="00FC7F49">
            <w:pPr>
              <w:rPr>
                <w:b/>
                <w:bCs/>
              </w:rPr>
            </w:pPr>
          </w:p>
        </w:tc>
        <w:tc>
          <w:tcPr>
            <w:tcW w:w="4258" w:type="dxa"/>
          </w:tcPr>
          <w:p w14:paraId="4822BA00" w14:textId="585449DD" w:rsidR="00DF6A92" w:rsidRPr="00FC7F49" w:rsidRDefault="00DF6A92" w:rsidP="00FC7F49">
            <w:r w:rsidRPr="00FC7F49">
              <w:t>Professional development programs not leading to formal qualifications.</w:t>
            </w:r>
          </w:p>
        </w:tc>
        <w:tc>
          <w:tcPr>
            <w:tcW w:w="2410" w:type="dxa"/>
            <w:vMerge/>
          </w:tcPr>
          <w:p w14:paraId="774670DB" w14:textId="77777777" w:rsidR="00DF6A92" w:rsidRPr="00FC7F49" w:rsidRDefault="00DF6A92" w:rsidP="00FC7F49"/>
        </w:tc>
      </w:tr>
    </w:tbl>
    <w:p w14:paraId="6701F0E8" w14:textId="77777777" w:rsidR="00FC7F49" w:rsidRDefault="00FC7F49" w:rsidP="00FC7F49"/>
    <w:p w14:paraId="05045E74" w14:textId="77777777" w:rsidR="00DF6A92" w:rsidRDefault="00DF6A92">
      <w:pPr>
        <w:spacing w:after="160"/>
        <w:rPr>
          <w:rFonts w:asciiTheme="majorHAnsi" w:eastAsiaTheme="majorEastAsia" w:hAnsiTheme="majorHAnsi" w:cstheme="majorBidi"/>
          <w:b/>
          <w:color w:val="004C6C" w:themeColor="background2"/>
          <w:sz w:val="26"/>
        </w:rPr>
      </w:pPr>
      <w:r>
        <w:br w:type="page"/>
      </w:r>
    </w:p>
    <w:p w14:paraId="4B249F77" w14:textId="6903FF59" w:rsidR="0040474A" w:rsidRDefault="0040474A" w:rsidP="0040474A">
      <w:pPr>
        <w:pStyle w:val="Heading4"/>
      </w:pPr>
      <w:r>
        <w:lastRenderedPageBreak/>
        <w:t>Appendix 2</w:t>
      </w:r>
    </w:p>
    <w:p w14:paraId="3D7072B7" w14:textId="5CCEB602" w:rsidR="00FC7F49" w:rsidRDefault="00FC7F49" w:rsidP="00655DA0">
      <w:pPr>
        <w:pStyle w:val="Heading5"/>
      </w:pPr>
      <w:r>
        <w:t>Examples of Informal learning relevant to RPL for ITE</w:t>
      </w:r>
    </w:p>
    <w:tbl>
      <w:tblPr>
        <w:tblStyle w:val="EDU-Basic"/>
        <w:tblW w:w="8926" w:type="dxa"/>
        <w:tblLook w:val="0420" w:firstRow="1" w:lastRow="0" w:firstColumn="0" w:lastColumn="0" w:noHBand="0" w:noVBand="1"/>
      </w:tblPr>
      <w:tblGrid>
        <w:gridCol w:w="3539"/>
        <w:gridCol w:w="5387"/>
      </w:tblGrid>
      <w:tr w:rsidR="00FC7F49" w:rsidRPr="00FC7F49" w14:paraId="6B2DD00B" w14:textId="77777777" w:rsidTr="00EB020E">
        <w:trPr>
          <w:cnfStyle w:val="100000000000" w:firstRow="1" w:lastRow="0" w:firstColumn="0" w:lastColumn="0" w:oddVBand="0" w:evenVBand="0" w:oddHBand="0" w:evenHBand="0" w:firstRowFirstColumn="0" w:firstRowLastColumn="0" w:lastRowFirstColumn="0" w:lastRowLastColumn="0"/>
          <w:tblHeader/>
        </w:trPr>
        <w:tc>
          <w:tcPr>
            <w:tcW w:w="3539" w:type="dxa"/>
            <w:vAlign w:val="top"/>
            <w:hideMark/>
          </w:tcPr>
          <w:p w14:paraId="66EAE4FF" w14:textId="77777777" w:rsidR="00FC7F49" w:rsidRPr="00FC7F49" w:rsidRDefault="00FC7F49" w:rsidP="00EB020E">
            <w:pPr>
              <w:spacing w:line="259" w:lineRule="auto"/>
            </w:pPr>
            <w:r w:rsidRPr="00FC7F49">
              <w:rPr>
                <w:b/>
                <w:bCs/>
              </w:rPr>
              <w:t>Examples relevant to ITE</w:t>
            </w:r>
          </w:p>
        </w:tc>
        <w:tc>
          <w:tcPr>
            <w:tcW w:w="5387" w:type="dxa"/>
            <w:vAlign w:val="top"/>
            <w:hideMark/>
          </w:tcPr>
          <w:p w14:paraId="5C60085D" w14:textId="77777777" w:rsidR="00FC7F49" w:rsidRPr="00FC7F49" w:rsidRDefault="00FC7F49" w:rsidP="00EB020E">
            <w:pPr>
              <w:spacing w:line="259" w:lineRule="auto"/>
            </w:pPr>
            <w:r w:rsidRPr="00FC7F49">
              <w:rPr>
                <w:b/>
                <w:bCs/>
              </w:rPr>
              <w:t>Considerations</w:t>
            </w:r>
          </w:p>
        </w:tc>
      </w:tr>
      <w:tr w:rsidR="00FC7F49" w:rsidRPr="00FC7F49" w14:paraId="42BDE60C" w14:textId="77777777" w:rsidTr="00EB020E">
        <w:tc>
          <w:tcPr>
            <w:tcW w:w="3539" w:type="dxa"/>
            <w:vAlign w:val="top"/>
            <w:hideMark/>
          </w:tcPr>
          <w:p w14:paraId="5793244A" w14:textId="52D0D4AD" w:rsidR="00FC7F49" w:rsidRPr="00FC7F49" w:rsidRDefault="00FC7F49" w:rsidP="00EB020E">
            <w:pPr>
              <w:spacing w:line="259" w:lineRule="auto"/>
            </w:pPr>
            <w:r w:rsidRPr="00FC7F49">
              <w:t>Length of employment</w:t>
            </w:r>
          </w:p>
        </w:tc>
        <w:tc>
          <w:tcPr>
            <w:tcW w:w="5387" w:type="dxa"/>
            <w:vAlign w:val="top"/>
            <w:hideMark/>
          </w:tcPr>
          <w:p w14:paraId="42E4131C" w14:textId="7B078BD2" w:rsidR="00FC7F49" w:rsidRPr="00FC7F49" w:rsidRDefault="00FC7F49" w:rsidP="00EB020E">
            <w:pPr>
              <w:spacing w:line="259" w:lineRule="auto"/>
            </w:pPr>
            <w:r w:rsidRPr="00FC7F49">
              <w:t>Timeframes of employment at any business or company relevant to the industry that relates to the Discipline Knowledge</w:t>
            </w:r>
            <w:r w:rsidR="005A64E5">
              <w:t>, with specific consideration given to</w:t>
            </w:r>
            <w:r w:rsidR="00C7643D">
              <w:t xml:space="preserve"> on the job learning such as</w:t>
            </w:r>
            <w:r w:rsidR="005A64E5">
              <w:t xml:space="preserve"> teaching assistants and First Nations educators</w:t>
            </w:r>
          </w:p>
        </w:tc>
      </w:tr>
      <w:tr w:rsidR="00FC7F49" w:rsidRPr="00FC7F49" w14:paraId="3EA41F95" w14:textId="77777777" w:rsidTr="00EB020E">
        <w:tc>
          <w:tcPr>
            <w:tcW w:w="3539" w:type="dxa"/>
            <w:vAlign w:val="top"/>
            <w:hideMark/>
          </w:tcPr>
          <w:p w14:paraId="0A2F4223" w14:textId="1929C775" w:rsidR="00FC7F49" w:rsidRPr="00FC7F49" w:rsidRDefault="00FC7F49" w:rsidP="00EB020E">
            <w:pPr>
              <w:spacing w:line="259" w:lineRule="auto"/>
            </w:pPr>
            <w:r w:rsidRPr="00FC7F49">
              <w:t>Conference attendance record</w:t>
            </w:r>
          </w:p>
        </w:tc>
        <w:tc>
          <w:tcPr>
            <w:tcW w:w="5387" w:type="dxa"/>
            <w:vAlign w:val="top"/>
            <w:hideMark/>
          </w:tcPr>
          <w:p w14:paraId="52090225" w14:textId="77777777" w:rsidR="00FC7F49" w:rsidRPr="00FC7F49" w:rsidRDefault="00FC7F49" w:rsidP="00EB020E">
            <w:pPr>
              <w:spacing w:line="259" w:lineRule="auto"/>
            </w:pPr>
            <w:r w:rsidRPr="00FC7F49">
              <w:t>May include conferences with a focus on identified discipline knowledge.</w:t>
            </w:r>
          </w:p>
        </w:tc>
      </w:tr>
      <w:tr w:rsidR="00FC7F49" w:rsidRPr="00FC7F49" w14:paraId="7D5B58D0" w14:textId="77777777" w:rsidTr="00EB020E">
        <w:tc>
          <w:tcPr>
            <w:tcW w:w="3539" w:type="dxa"/>
            <w:vAlign w:val="top"/>
            <w:hideMark/>
          </w:tcPr>
          <w:p w14:paraId="395C5E50" w14:textId="72D582C8" w:rsidR="00FC7F49" w:rsidRPr="00FC7F49" w:rsidRDefault="00FC7F49" w:rsidP="00EB020E">
            <w:pPr>
              <w:spacing w:line="259" w:lineRule="auto"/>
            </w:pPr>
            <w:r w:rsidRPr="00FC7F49">
              <w:t>Interview notes</w:t>
            </w:r>
          </w:p>
        </w:tc>
        <w:tc>
          <w:tcPr>
            <w:tcW w:w="5387" w:type="dxa"/>
            <w:vAlign w:val="top"/>
            <w:hideMark/>
          </w:tcPr>
          <w:p w14:paraId="279AEBF8" w14:textId="77777777" w:rsidR="00FC7F49" w:rsidRPr="00FC7F49" w:rsidRDefault="00FC7F49" w:rsidP="00EB020E">
            <w:pPr>
              <w:spacing w:line="259" w:lineRule="auto"/>
            </w:pPr>
            <w:r w:rsidRPr="00FC7F49">
              <w:t>Transcripts of interviews about identified discipline knowledge may be used.</w:t>
            </w:r>
          </w:p>
        </w:tc>
      </w:tr>
      <w:tr w:rsidR="00FC7F49" w:rsidRPr="00FC7F49" w14:paraId="300276C4" w14:textId="77777777" w:rsidTr="00EB020E">
        <w:tc>
          <w:tcPr>
            <w:tcW w:w="3539" w:type="dxa"/>
            <w:vAlign w:val="top"/>
            <w:hideMark/>
          </w:tcPr>
          <w:p w14:paraId="346B2DF5" w14:textId="0407241A" w:rsidR="00FC7F49" w:rsidRPr="00FC7F49" w:rsidRDefault="00FC7F49" w:rsidP="00EB020E">
            <w:pPr>
              <w:spacing w:line="259" w:lineRule="auto"/>
            </w:pPr>
            <w:r w:rsidRPr="00FC7F49">
              <w:t>Professional reading logs and reflection</w:t>
            </w:r>
          </w:p>
        </w:tc>
        <w:tc>
          <w:tcPr>
            <w:tcW w:w="5387" w:type="dxa"/>
            <w:vAlign w:val="top"/>
            <w:hideMark/>
          </w:tcPr>
          <w:p w14:paraId="0ECED65D" w14:textId="77777777" w:rsidR="00FC7F49" w:rsidRPr="00FC7F49" w:rsidRDefault="00FC7F49" w:rsidP="00EB020E">
            <w:pPr>
              <w:spacing w:line="259" w:lineRule="auto"/>
            </w:pPr>
            <w:r w:rsidRPr="00FC7F49">
              <w:t>May include journals relating to professional readings that the applicant has maintained with critical reflections and/or the transfer of ideas to improve practice.</w:t>
            </w:r>
          </w:p>
        </w:tc>
      </w:tr>
      <w:tr w:rsidR="00FC7F49" w:rsidRPr="00FC7F49" w14:paraId="22FC641B" w14:textId="77777777" w:rsidTr="00EB020E">
        <w:tc>
          <w:tcPr>
            <w:tcW w:w="3539" w:type="dxa"/>
            <w:vAlign w:val="top"/>
            <w:hideMark/>
          </w:tcPr>
          <w:p w14:paraId="699313E5" w14:textId="2100AD39" w:rsidR="00FC7F49" w:rsidRPr="00FC7F49" w:rsidRDefault="00FC7F49" w:rsidP="00EB020E">
            <w:pPr>
              <w:spacing w:line="259" w:lineRule="auto"/>
            </w:pPr>
            <w:r w:rsidRPr="00FC7F49">
              <w:t>Procedure documentation for evaluating programs used in previous professional experience</w:t>
            </w:r>
          </w:p>
        </w:tc>
        <w:tc>
          <w:tcPr>
            <w:tcW w:w="5387" w:type="dxa"/>
            <w:vAlign w:val="top"/>
            <w:hideMark/>
          </w:tcPr>
          <w:p w14:paraId="4A6F1819" w14:textId="77777777" w:rsidR="00FC7F49" w:rsidRPr="00FC7F49" w:rsidRDefault="00FC7F49" w:rsidP="00EB020E">
            <w:pPr>
              <w:spacing w:line="259" w:lineRule="auto"/>
            </w:pPr>
            <w:r w:rsidRPr="00FC7F49">
              <w:t>May include templates produced by the applicant with completed samples of colleagues' implementation.</w:t>
            </w:r>
          </w:p>
        </w:tc>
      </w:tr>
      <w:tr w:rsidR="00FC7F49" w:rsidRPr="00FC7F49" w14:paraId="3327641E" w14:textId="77777777" w:rsidTr="00EB020E">
        <w:tc>
          <w:tcPr>
            <w:tcW w:w="3539" w:type="dxa"/>
            <w:vAlign w:val="top"/>
            <w:hideMark/>
          </w:tcPr>
          <w:p w14:paraId="47991E4C" w14:textId="32022AE4" w:rsidR="00FC7F49" w:rsidRPr="00FC7F49" w:rsidRDefault="00FC7F49" w:rsidP="00EB020E">
            <w:pPr>
              <w:spacing w:line="259" w:lineRule="auto"/>
            </w:pPr>
            <w:r w:rsidRPr="00FC7F49">
              <w:t>Strategic goal documents</w:t>
            </w:r>
          </w:p>
        </w:tc>
        <w:tc>
          <w:tcPr>
            <w:tcW w:w="5387" w:type="dxa"/>
            <w:vAlign w:val="top"/>
            <w:hideMark/>
          </w:tcPr>
          <w:p w14:paraId="582C362E" w14:textId="77777777" w:rsidR="00FC7F49" w:rsidRPr="00FC7F49" w:rsidRDefault="00FC7F49" w:rsidP="00EB020E">
            <w:pPr>
              <w:spacing w:line="259" w:lineRule="auto"/>
            </w:pPr>
            <w:r w:rsidRPr="00FC7F49">
              <w:t>Must demonstrate the applicant's contribution where goals were collaboratively determined, such as, for the workplace planning or policy and evidence of the applicant's role during implementation.</w:t>
            </w:r>
          </w:p>
        </w:tc>
      </w:tr>
      <w:tr w:rsidR="00FC7F49" w:rsidRPr="00FC7F49" w14:paraId="4792D6D5" w14:textId="77777777" w:rsidTr="00EB020E">
        <w:tc>
          <w:tcPr>
            <w:tcW w:w="3539" w:type="dxa"/>
            <w:vAlign w:val="top"/>
            <w:hideMark/>
          </w:tcPr>
          <w:p w14:paraId="0938B1D6" w14:textId="25FE3D06" w:rsidR="00FC7F49" w:rsidRPr="00FC7F49" w:rsidRDefault="00FC7F49" w:rsidP="00EB020E">
            <w:pPr>
              <w:spacing w:line="259" w:lineRule="auto"/>
            </w:pPr>
            <w:r w:rsidRPr="00FC7F49">
              <w:t>Performance review feedback to and from colleagues</w:t>
            </w:r>
          </w:p>
        </w:tc>
        <w:tc>
          <w:tcPr>
            <w:tcW w:w="5387" w:type="dxa"/>
            <w:vAlign w:val="top"/>
            <w:hideMark/>
          </w:tcPr>
          <w:p w14:paraId="5F0B1789" w14:textId="77777777" w:rsidR="00FC7F49" w:rsidRPr="00FC7F49" w:rsidRDefault="00FC7F49" w:rsidP="00EB020E">
            <w:pPr>
              <w:spacing w:line="259" w:lineRule="auto"/>
            </w:pPr>
            <w:r w:rsidRPr="00FC7F49">
              <w:t>May be drawn from professional or supervisory observation sessions.</w:t>
            </w:r>
          </w:p>
        </w:tc>
      </w:tr>
      <w:tr w:rsidR="00FC7F49" w:rsidRPr="00FC7F49" w14:paraId="264E719E" w14:textId="77777777" w:rsidTr="00EB020E">
        <w:tc>
          <w:tcPr>
            <w:tcW w:w="3539" w:type="dxa"/>
            <w:vAlign w:val="top"/>
            <w:hideMark/>
          </w:tcPr>
          <w:p w14:paraId="67489114" w14:textId="2577CCD9" w:rsidR="00FC7F49" w:rsidRPr="00FC7F49" w:rsidRDefault="00FC7F49" w:rsidP="00EB020E">
            <w:pPr>
              <w:spacing w:line="259" w:lineRule="auto"/>
            </w:pPr>
            <w:r w:rsidRPr="00FC7F49">
              <w:t>Reflections by colleagues after taking part in professional learning delivered by the applicant</w:t>
            </w:r>
          </w:p>
        </w:tc>
        <w:tc>
          <w:tcPr>
            <w:tcW w:w="5387" w:type="dxa"/>
            <w:vAlign w:val="top"/>
            <w:hideMark/>
          </w:tcPr>
          <w:p w14:paraId="65F29517" w14:textId="77777777" w:rsidR="00FC7F49" w:rsidRPr="00FC7F49" w:rsidRDefault="00FC7F49" w:rsidP="00EB020E">
            <w:pPr>
              <w:spacing w:line="259" w:lineRule="auto"/>
            </w:pPr>
            <w:r w:rsidRPr="00FC7F49">
              <w:t>Should outline the impact of the professional learning on the practice of the participant.</w:t>
            </w:r>
          </w:p>
        </w:tc>
      </w:tr>
      <w:tr w:rsidR="00FC7F49" w:rsidRPr="00FC7F49" w14:paraId="75D0E989" w14:textId="77777777" w:rsidTr="00EB020E">
        <w:tc>
          <w:tcPr>
            <w:tcW w:w="3539" w:type="dxa"/>
            <w:vAlign w:val="top"/>
            <w:hideMark/>
          </w:tcPr>
          <w:p w14:paraId="2A698135" w14:textId="7FFA671C" w:rsidR="00FC7F49" w:rsidRPr="00FC7F49" w:rsidRDefault="00FC7F49" w:rsidP="00EB020E">
            <w:pPr>
              <w:spacing w:line="259" w:lineRule="auto"/>
            </w:pPr>
            <w:r w:rsidRPr="00FC7F49">
              <w:t>Analysed client feedback and survey data</w:t>
            </w:r>
          </w:p>
        </w:tc>
        <w:tc>
          <w:tcPr>
            <w:tcW w:w="5387" w:type="dxa"/>
            <w:vAlign w:val="top"/>
            <w:hideMark/>
          </w:tcPr>
          <w:p w14:paraId="2C8E9AAF" w14:textId="77777777" w:rsidR="00FC7F49" w:rsidRPr="00FC7F49" w:rsidRDefault="00FC7F49" w:rsidP="00EB020E">
            <w:pPr>
              <w:spacing w:line="259" w:lineRule="auto"/>
            </w:pPr>
            <w:r w:rsidRPr="00FC7F49">
              <w:t>May be based on programs, projects, and processes, as well as client engagement initiatives.</w:t>
            </w:r>
          </w:p>
        </w:tc>
      </w:tr>
      <w:tr w:rsidR="00897279" w:rsidRPr="00FC7F49" w14:paraId="564B9371" w14:textId="77777777" w:rsidTr="00EB020E">
        <w:tc>
          <w:tcPr>
            <w:tcW w:w="3539" w:type="dxa"/>
            <w:vAlign w:val="top"/>
            <w:hideMark/>
          </w:tcPr>
          <w:p w14:paraId="6FC2AA4B" w14:textId="77777777" w:rsidR="00FC7F49" w:rsidRPr="00FC7F49" w:rsidRDefault="00FC7F49" w:rsidP="00EB020E">
            <w:pPr>
              <w:spacing w:line="259" w:lineRule="auto"/>
            </w:pPr>
            <w:r w:rsidRPr="00FC7F49">
              <w:t>Examples relevant to ITE</w:t>
            </w:r>
          </w:p>
        </w:tc>
        <w:tc>
          <w:tcPr>
            <w:tcW w:w="5387" w:type="dxa"/>
            <w:vAlign w:val="top"/>
            <w:hideMark/>
          </w:tcPr>
          <w:p w14:paraId="1A0BEB38" w14:textId="77777777" w:rsidR="00FC7F49" w:rsidRPr="00FC7F49" w:rsidRDefault="00FC7F49" w:rsidP="00EB020E">
            <w:pPr>
              <w:spacing w:line="259" w:lineRule="auto"/>
            </w:pPr>
            <w:r w:rsidRPr="00FC7F49">
              <w:t>Considerations</w:t>
            </w:r>
          </w:p>
        </w:tc>
      </w:tr>
      <w:tr w:rsidR="00FC7F49" w:rsidRPr="00FC7F49" w14:paraId="2D704B29" w14:textId="77777777" w:rsidTr="00EB020E">
        <w:tc>
          <w:tcPr>
            <w:tcW w:w="3539" w:type="dxa"/>
            <w:vAlign w:val="top"/>
            <w:hideMark/>
          </w:tcPr>
          <w:p w14:paraId="2C64368F" w14:textId="4452ABE9" w:rsidR="00FC7F49" w:rsidRPr="00FC7F49" w:rsidRDefault="00FC7F49" w:rsidP="00EB020E">
            <w:pPr>
              <w:spacing w:line="259" w:lineRule="auto"/>
            </w:pPr>
            <w:r w:rsidRPr="00FC7F49">
              <w:t>Client interview notes</w:t>
            </w:r>
          </w:p>
        </w:tc>
        <w:tc>
          <w:tcPr>
            <w:tcW w:w="5387" w:type="dxa"/>
            <w:vAlign w:val="top"/>
            <w:hideMark/>
          </w:tcPr>
          <w:p w14:paraId="1B8DE3FE" w14:textId="77777777" w:rsidR="00FC7F49" w:rsidRPr="00FC7F49" w:rsidRDefault="00FC7F49" w:rsidP="00EB020E">
            <w:pPr>
              <w:spacing w:line="259" w:lineRule="auto"/>
            </w:pPr>
            <w:r w:rsidRPr="00FC7F49">
              <w:t>May show preparations for client interviews as an example of effective communication. Should illustrate the outcome(s) of the meeting and future directions.</w:t>
            </w:r>
          </w:p>
        </w:tc>
      </w:tr>
      <w:tr w:rsidR="00FC7F49" w:rsidRPr="00FC7F49" w14:paraId="25CCFDC2" w14:textId="77777777" w:rsidTr="00EB020E">
        <w:tc>
          <w:tcPr>
            <w:tcW w:w="3539" w:type="dxa"/>
            <w:vAlign w:val="top"/>
            <w:hideMark/>
          </w:tcPr>
          <w:p w14:paraId="48002D19" w14:textId="3299E489" w:rsidR="00FC7F49" w:rsidRPr="00FC7F49" w:rsidRDefault="00FC7F49" w:rsidP="00EB020E">
            <w:pPr>
              <w:spacing w:line="259" w:lineRule="auto"/>
            </w:pPr>
            <w:r w:rsidRPr="00FC7F49">
              <w:t>Peer feedback</w:t>
            </w:r>
          </w:p>
        </w:tc>
        <w:tc>
          <w:tcPr>
            <w:tcW w:w="5387" w:type="dxa"/>
            <w:vAlign w:val="top"/>
            <w:hideMark/>
          </w:tcPr>
          <w:p w14:paraId="49CF03AE" w14:textId="77777777" w:rsidR="00FC7F49" w:rsidRPr="00FC7F49" w:rsidRDefault="00FC7F49" w:rsidP="00EB020E">
            <w:pPr>
              <w:spacing w:line="259" w:lineRule="auto"/>
            </w:pPr>
            <w:r w:rsidRPr="00FC7F49">
              <w:t>May include feedback from colleagues outlining the impact of the applicant's personal and/or professional experience on their own practice.</w:t>
            </w:r>
          </w:p>
        </w:tc>
      </w:tr>
      <w:tr w:rsidR="00FC7F49" w:rsidRPr="00FC7F49" w14:paraId="1C0526D3" w14:textId="77777777" w:rsidTr="00EB020E">
        <w:tc>
          <w:tcPr>
            <w:tcW w:w="3539" w:type="dxa"/>
            <w:vAlign w:val="top"/>
            <w:hideMark/>
          </w:tcPr>
          <w:p w14:paraId="442FC342" w14:textId="54E11BE8" w:rsidR="00FC7F49" w:rsidRPr="00FC7F49" w:rsidRDefault="00FC7F49" w:rsidP="00EB020E">
            <w:pPr>
              <w:spacing w:line="259" w:lineRule="auto"/>
            </w:pPr>
            <w:r w:rsidRPr="00FC7F49">
              <w:t>Diary of practice and reflection</w:t>
            </w:r>
          </w:p>
        </w:tc>
        <w:tc>
          <w:tcPr>
            <w:tcW w:w="5387" w:type="dxa"/>
            <w:vAlign w:val="top"/>
            <w:hideMark/>
          </w:tcPr>
          <w:p w14:paraId="77629543" w14:textId="77777777" w:rsidR="00FC7F49" w:rsidRPr="00FC7F49" w:rsidRDefault="00FC7F49" w:rsidP="00EB020E">
            <w:pPr>
              <w:spacing w:line="259" w:lineRule="auto"/>
            </w:pPr>
            <w:r w:rsidRPr="00FC7F49">
              <w:t>May be excerpts from daybooks or professional journals and evidence-based ideas for future planning.</w:t>
            </w:r>
          </w:p>
        </w:tc>
      </w:tr>
      <w:tr w:rsidR="00FC7F49" w:rsidRPr="00FC7F49" w14:paraId="0414F08B" w14:textId="77777777" w:rsidTr="00EB020E">
        <w:tc>
          <w:tcPr>
            <w:tcW w:w="3539" w:type="dxa"/>
            <w:vAlign w:val="top"/>
            <w:hideMark/>
          </w:tcPr>
          <w:p w14:paraId="0CAF2D52" w14:textId="5AF87FB3" w:rsidR="00FC7F49" w:rsidRPr="00FC7F49" w:rsidRDefault="00FC7F49" w:rsidP="00EB020E">
            <w:pPr>
              <w:spacing w:line="259" w:lineRule="auto"/>
            </w:pPr>
            <w:r w:rsidRPr="00FC7F49">
              <w:t>Resources constructed and shared with colleagues</w:t>
            </w:r>
          </w:p>
        </w:tc>
        <w:tc>
          <w:tcPr>
            <w:tcW w:w="5387" w:type="dxa"/>
            <w:vAlign w:val="top"/>
            <w:hideMark/>
          </w:tcPr>
          <w:p w14:paraId="376A4CE6" w14:textId="77777777" w:rsidR="00FC7F49" w:rsidRPr="00FC7F49" w:rsidRDefault="00FC7F49" w:rsidP="00EB020E">
            <w:pPr>
              <w:spacing w:line="259" w:lineRule="auto"/>
            </w:pPr>
            <w:r w:rsidRPr="00FC7F49">
              <w:t>May include hands on resources, smart notebook files, computer-based games and tasks, booklets etc. Must be clearly linked to Discipline Knowledge.</w:t>
            </w:r>
          </w:p>
        </w:tc>
      </w:tr>
      <w:tr w:rsidR="00FC7F49" w:rsidRPr="00FC7F49" w14:paraId="34D0EF17" w14:textId="77777777" w:rsidTr="00EB020E">
        <w:tc>
          <w:tcPr>
            <w:tcW w:w="3539" w:type="dxa"/>
            <w:vAlign w:val="top"/>
            <w:hideMark/>
          </w:tcPr>
          <w:p w14:paraId="325CC7EF" w14:textId="0A47EFDD" w:rsidR="00FC7F49" w:rsidRPr="00FC7F49" w:rsidRDefault="00FC7F49" w:rsidP="00EB020E">
            <w:pPr>
              <w:spacing w:line="259" w:lineRule="auto"/>
            </w:pPr>
            <w:r w:rsidRPr="00FC7F49">
              <w:t>Meeting minutes or notes</w:t>
            </w:r>
          </w:p>
        </w:tc>
        <w:tc>
          <w:tcPr>
            <w:tcW w:w="5387" w:type="dxa"/>
            <w:vAlign w:val="top"/>
            <w:hideMark/>
          </w:tcPr>
          <w:p w14:paraId="2C6EE195" w14:textId="77777777" w:rsidR="00FC7F49" w:rsidRPr="00FC7F49" w:rsidRDefault="00FC7F49" w:rsidP="00EB020E">
            <w:pPr>
              <w:spacing w:line="259" w:lineRule="auto"/>
            </w:pPr>
            <w:r w:rsidRPr="00FC7F49">
              <w:t>May include notes prepared by the applicant prior to a meeting, formal meeting minutes published after the meeting and/or applicant reflections/</w:t>
            </w:r>
            <w:proofErr w:type="gramStart"/>
            <w:r w:rsidRPr="00FC7F49">
              <w:t>contributions</w:t>
            </w:r>
            <w:proofErr w:type="gramEnd"/>
            <w:r w:rsidRPr="00FC7F49">
              <w:t xml:space="preserve"> or proposed actions based on discussions during a meeting with colleagues.</w:t>
            </w:r>
          </w:p>
        </w:tc>
      </w:tr>
      <w:tr w:rsidR="00FC7F49" w:rsidRPr="00FC7F49" w14:paraId="15A0CD99" w14:textId="77777777" w:rsidTr="00EB020E">
        <w:tc>
          <w:tcPr>
            <w:tcW w:w="3539" w:type="dxa"/>
            <w:vAlign w:val="top"/>
            <w:hideMark/>
          </w:tcPr>
          <w:p w14:paraId="4E7116A7" w14:textId="04C9B21A" w:rsidR="00FC7F49" w:rsidRPr="00FC7F49" w:rsidRDefault="00FC7F49" w:rsidP="00EB020E">
            <w:pPr>
              <w:spacing w:line="259" w:lineRule="auto"/>
            </w:pPr>
            <w:r w:rsidRPr="00FC7F49">
              <w:lastRenderedPageBreak/>
              <w:t>Screenshots of online blogs, wikis, discussion forums</w:t>
            </w:r>
          </w:p>
        </w:tc>
        <w:tc>
          <w:tcPr>
            <w:tcW w:w="5387" w:type="dxa"/>
            <w:vAlign w:val="top"/>
            <w:hideMark/>
          </w:tcPr>
          <w:p w14:paraId="637EE194" w14:textId="77777777" w:rsidR="00FC7F49" w:rsidRPr="00FC7F49" w:rsidRDefault="00FC7F49" w:rsidP="00EB020E">
            <w:pPr>
              <w:spacing w:line="259" w:lineRule="auto"/>
            </w:pPr>
            <w:r w:rsidRPr="00FC7F49">
              <w:t>Must demonstrate a specific aspect of the Discipline Knowledge points and illustrate authentic engagement by the applicant in discussions.</w:t>
            </w:r>
          </w:p>
        </w:tc>
      </w:tr>
      <w:tr w:rsidR="00FC7F49" w:rsidRPr="00FC7F49" w14:paraId="3770C2F6" w14:textId="77777777" w:rsidTr="00EB020E">
        <w:tc>
          <w:tcPr>
            <w:tcW w:w="3539" w:type="dxa"/>
            <w:vAlign w:val="top"/>
            <w:hideMark/>
          </w:tcPr>
          <w:p w14:paraId="54FC3076" w14:textId="48C2477E" w:rsidR="00FC7F49" w:rsidRPr="00FC7F49" w:rsidRDefault="00FC7F49" w:rsidP="00EB020E">
            <w:pPr>
              <w:spacing w:line="259" w:lineRule="auto"/>
            </w:pPr>
            <w:r w:rsidRPr="00FC7F49">
              <w:t>Itineraries and planning documents for events</w:t>
            </w:r>
          </w:p>
        </w:tc>
        <w:tc>
          <w:tcPr>
            <w:tcW w:w="5387" w:type="dxa"/>
            <w:vAlign w:val="top"/>
            <w:hideMark/>
          </w:tcPr>
          <w:p w14:paraId="69DBFC73" w14:textId="77777777" w:rsidR="00FC7F49" w:rsidRPr="00FC7F49" w:rsidRDefault="00FC7F49" w:rsidP="00EB020E">
            <w:pPr>
              <w:spacing w:line="259" w:lineRule="auto"/>
            </w:pPr>
            <w:r w:rsidRPr="00FC7F49">
              <w:t>Must demonstrate how the applicant has taken responsibility for workplace systems and legislative requirements to ensure client/colleague wellbeing and safety.</w:t>
            </w:r>
          </w:p>
        </w:tc>
      </w:tr>
      <w:tr w:rsidR="00FC7F49" w:rsidRPr="00FC7F49" w14:paraId="42853E11" w14:textId="77777777" w:rsidTr="00EB020E">
        <w:tc>
          <w:tcPr>
            <w:tcW w:w="3539" w:type="dxa"/>
            <w:vAlign w:val="top"/>
            <w:hideMark/>
          </w:tcPr>
          <w:p w14:paraId="7BF42284" w14:textId="329E8F81" w:rsidR="00FC7F49" w:rsidRPr="00FC7F49" w:rsidRDefault="00FC7F49" w:rsidP="00EB020E">
            <w:pPr>
              <w:spacing w:line="259" w:lineRule="auto"/>
            </w:pPr>
            <w:r w:rsidRPr="00FC7F49">
              <w:t>Communication with providers and/or colleagues</w:t>
            </w:r>
          </w:p>
        </w:tc>
        <w:tc>
          <w:tcPr>
            <w:tcW w:w="5387" w:type="dxa"/>
            <w:vAlign w:val="top"/>
            <w:hideMark/>
          </w:tcPr>
          <w:p w14:paraId="5FDD2946" w14:textId="77777777" w:rsidR="00FC7F49" w:rsidRPr="00FC7F49" w:rsidRDefault="00FC7F49" w:rsidP="00EB020E">
            <w:pPr>
              <w:spacing w:line="259" w:lineRule="auto"/>
            </w:pPr>
            <w:r w:rsidRPr="00FC7F49">
              <w:t>Should illustrate the outcome(s) of the meeting and future directions.</w:t>
            </w:r>
          </w:p>
        </w:tc>
      </w:tr>
      <w:tr w:rsidR="00897279" w:rsidRPr="00FC7F49" w14:paraId="1E984F80" w14:textId="77777777" w:rsidTr="00EB020E">
        <w:tc>
          <w:tcPr>
            <w:tcW w:w="3539" w:type="dxa"/>
            <w:vAlign w:val="top"/>
            <w:hideMark/>
          </w:tcPr>
          <w:p w14:paraId="296BEB91" w14:textId="77777777" w:rsidR="00FC7F49" w:rsidRPr="00FC7F49" w:rsidRDefault="00FC7F49" w:rsidP="00EB020E">
            <w:pPr>
              <w:spacing w:line="259" w:lineRule="auto"/>
            </w:pPr>
            <w:r w:rsidRPr="00FC7F49">
              <w:t>Examples relevant to ITE</w:t>
            </w:r>
          </w:p>
        </w:tc>
        <w:tc>
          <w:tcPr>
            <w:tcW w:w="5387" w:type="dxa"/>
            <w:vAlign w:val="top"/>
            <w:hideMark/>
          </w:tcPr>
          <w:p w14:paraId="2C38EAE6" w14:textId="77777777" w:rsidR="00FC7F49" w:rsidRPr="00FC7F49" w:rsidRDefault="00FC7F49" w:rsidP="00EB020E">
            <w:pPr>
              <w:spacing w:line="259" w:lineRule="auto"/>
            </w:pPr>
            <w:r w:rsidRPr="00FC7F49">
              <w:t>Considerations</w:t>
            </w:r>
          </w:p>
        </w:tc>
      </w:tr>
      <w:tr w:rsidR="00FC7F49" w:rsidRPr="00FC7F49" w14:paraId="3D0C7A08" w14:textId="77777777" w:rsidTr="00EB020E">
        <w:tc>
          <w:tcPr>
            <w:tcW w:w="3539" w:type="dxa"/>
            <w:vAlign w:val="top"/>
            <w:hideMark/>
          </w:tcPr>
          <w:p w14:paraId="542EA216" w14:textId="07F40695" w:rsidR="00FC7F49" w:rsidRPr="00FC7F49" w:rsidRDefault="00FC7F49" w:rsidP="00EB020E">
            <w:pPr>
              <w:spacing w:line="259" w:lineRule="auto"/>
            </w:pPr>
            <w:r w:rsidRPr="00FC7F49">
              <w:t>Community partnerships and engagement notes and meeting logs</w:t>
            </w:r>
          </w:p>
        </w:tc>
        <w:tc>
          <w:tcPr>
            <w:tcW w:w="5387" w:type="dxa"/>
            <w:vAlign w:val="top"/>
            <w:hideMark/>
          </w:tcPr>
          <w:p w14:paraId="1C0D15DD" w14:textId="77777777" w:rsidR="00FC7F49" w:rsidRPr="00FC7F49" w:rsidRDefault="00FC7F49" w:rsidP="00EB020E">
            <w:pPr>
              <w:spacing w:line="259" w:lineRule="auto"/>
            </w:pPr>
            <w:r w:rsidRPr="00FC7F49">
              <w:t>Should illustrate the outcome(s) of the meeting and future directions.</w:t>
            </w:r>
          </w:p>
        </w:tc>
      </w:tr>
      <w:tr w:rsidR="00FC7F49" w:rsidRPr="00FC7F49" w14:paraId="3BB73514" w14:textId="77777777" w:rsidTr="00EB020E">
        <w:tc>
          <w:tcPr>
            <w:tcW w:w="3539" w:type="dxa"/>
            <w:vAlign w:val="top"/>
            <w:hideMark/>
          </w:tcPr>
          <w:p w14:paraId="22B247F8" w14:textId="37AD36E1" w:rsidR="00FC7F49" w:rsidRPr="00FC7F49" w:rsidRDefault="00FC7F49" w:rsidP="00EB020E">
            <w:pPr>
              <w:spacing w:line="259" w:lineRule="auto"/>
            </w:pPr>
            <w:r w:rsidRPr="00FC7F49">
              <w:t>Professional reading journal</w:t>
            </w:r>
          </w:p>
        </w:tc>
        <w:tc>
          <w:tcPr>
            <w:tcW w:w="5387" w:type="dxa"/>
            <w:vAlign w:val="top"/>
            <w:hideMark/>
          </w:tcPr>
          <w:p w14:paraId="2C7FBE60" w14:textId="77777777" w:rsidR="00FC7F49" w:rsidRPr="00FC7F49" w:rsidRDefault="00FC7F49" w:rsidP="00EB020E">
            <w:pPr>
              <w:spacing w:line="259" w:lineRule="auto"/>
            </w:pPr>
            <w:r w:rsidRPr="00FC7F49">
              <w:t>May include full references of articles, the purpose of the reading, critical reflection, and evidence of impact on professional practice.</w:t>
            </w:r>
          </w:p>
        </w:tc>
      </w:tr>
      <w:tr w:rsidR="00FC7F49" w:rsidRPr="00FC7F49" w14:paraId="65747C58" w14:textId="77777777" w:rsidTr="00EB020E">
        <w:tc>
          <w:tcPr>
            <w:tcW w:w="3539" w:type="dxa"/>
            <w:vAlign w:val="top"/>
            <w:hideMark/>
          </w:tcPr>
          <w:p w14:paraId="7E7C0FB0" w14:textId="0B1F2AC9" w:rsidR="00FC7F49" w:rsidRPr="00FC7F49" w:rsidRDefault="00FC7F49" w:rsidP="00EB020E">
            <w:pPr>
              <w:spacing w:line="259" w:lineRule="auto"/>
            </w:pPr>
            <w:r w:rsidRPr="00FC7F49">
              <w:t>Action research project documentation</w:t>
            </w:r>
          </w:p>
        </w:tc>
        <w:tc>
          <w:tcPr>
            <w:tcW w:w="5387" w:type="dxa"/>
            <w:vAlign w:val="top"/>
            <w:hideMark/>
          </w:tcPr>
          <w:p w14:paraId="7872C174" w14:textId="77777777" w:rsidR="00FC7F49" w:rsidRPr="00FC7F49" w:rsidRDefault="00FC7F49" w:rsidP="00EB020E">
            <w:pPr>
              <w:spacing w:line="259" w:lineRule="auto"/>
            </w:pPr>
            <w:r w:rsidRPr="00FC7F49">
              <w:t>Must include evidence of impact of the initiative on subject content knowledge.</w:t>
            </w:r>
          </w:p>
        </w:tc>
      </w:tr>
      <w:tr w:rsidR="00FC7F49" w:rsidRPr="00FC7F49" w14:paraId="54D25A19" w14:textId="77777777" w:rsidTr="00EB020E">
        <w:tc>
          <w:tcPr>
            <w:tcW w:w="3539" w:type="dxa"/>
            <w:vAlign w:val="top"/>
            <w:hideMark/>
          </w:tcPr>
          <w:p w14:paraId="40D329E4" w14:textId="45B91AB7" w:rsidR="00FC7F49" w:rsidRPr="00FC7F49" w:rsidRDefault="00FC7F49" w:rsidP="00EB020E">
            <w:pPr>
              <w:spacing w:line="259" w:lineRule="auto"/>
            </w:pPr>
            <w:r>
              <w:t>Participation in professional associations</w:t>
            </w:r>
            <w:r w:rsidR="78508565">
              <w:t xml:space="preserve"> and/or volunteer on a committee (such as the parent school committee, local business group, sporting organisation, etc</w:t>
            </w:r>
            <w:r w:rsidR="00B77B77">
              <w:t>)</w:t>
            </w:r>
          </w:p>
        </w:tc>
        <w:tc>
          <w:tcPr>
            <w:tcW w:w="5387" w:type="dxa"/>
            <w:vAlign w:val="top"/>
            <w:hideMark/>
          </w:tcPr>
          <w:p w14:paraId="7FFAD535" w14:textId="77777777" w:rsidR="00FC7F49" w:rsidRPr="00FC7F49" w:rsidRDefault="00FC7F49" w:rsidP="00EB020E">
            <w:pPr>
              <w:spacing w:line="259" w:lineRule="auto"/>
            </w:pPr>
            <w:r w:rsidRPr="00FC7F49">
              <w:t>May include details of how the applicant participated and what the impact was on the practice of others.</w:t>
            </w:r>
          </w:p>
        </w:tc>
      </w:tr>
      <w:tr w:rsidR="00FC7F49" w:rsidRPr="00FC7F49" w14:paraId="7FD19E74" w14:textId="77777777" w:rsidTr="00EB020E">
        <w:tc>
          <w:tcPr>
            <w:tcW w:w="3539" w:type="dxa"/>
            <w:vAlign w:val="top"/>
            <w:hideMark/>
          </w:tcPr>
          <w:p w14:paraId="24D75710" w14:textId="6942B313" w:rsidR="00FC7F49" w:rsidRPr="00FC7F49" w:rsidRDefault="00FC7F49" w:rsidP="00EB020E">
            <w:pPr>
              <w:spacing w:line="259" w:lineRule="auto"/>
            </w:pPr>
            <w:r w:rsidRPr="00FC7F49">
              <w:t>Planning notes for professional development organised for colleagues and delivered by experts</w:t>
            </w:r>
          </w:p>
        </w:tc>
        <w:tc>
          <w:tcPr>
            <w:tcW w:w="5387" w:type="dxa"/>
            <w:vAlign w:val="top"/>
            <w:hideMark/>
          </w:tcPr>
          <w:p w14:paraId="7433BC74" w14:textId="77777777" w:rsidR="00FC7F49" w:rsidRPr="00FC7F49" w:rsidRDefault="00FC7F49" w:rsidP="00EB020E">
            <w:pPr>
              <w:spacing w:line="259" w:lineRule="auto"/>
            </w:pPr>
            <w:r w:rsidRPr="00FC7F49">
              <w:t>May include a needs analysis and follow up.</w:t>
            </w:r>
          </w:p>
        </w:tc>
      </w:tr>
      <w:tr w:rsidR="00FC7F49" w:rsidRPr="00FC7F49" w14:paraId="2B194218" w14:textId="77777777" w:rsidTr="00EB020E">
        <w:tc>
          <w:tcPr>
            <w:tcW w:w="3539" w:type="dxa"/>
            <w:vAlign w:val="top"/>
            <w:hideMark/>
          </w:tcPr>
          <w:p w14:paraId="27B8D322" w14:textId="3EDCBC84" w:rsidR="00FC7F49" w:rsidRPr="00FC7F49" w:rsidRDefault="00FC7F49" w:rsidP="00EB020E">
            <w:pPr>
              <w:spacing w:line="259" w:lineRule="auto"/>
            </w:pPr>
            <w:r w:rsidRPr="00FC7F49">
              <w:t>Professional development workshops/forums delivered or attended</w:t>
            </w:r>
          </w:p>
        </w:tc>
        <w:tc>
          <w:tcPr>
            <w:tcW w:w="5387" w:type="dxa"/>
            <w:vAlign w:val="top"/>
            <w:hideMark/>
          </w:tcPr>
          <w:p w14:paraId="78889717" w14:textId="77777777" w:rsidR="00FC7F49" w:rsidRPr="00FC7F49" w:rsidRDefault="00FC7F49" w:rsidP="00EB020E">
            <w:pPr>
              <w:spacing w:line="259" w:lineRule="auto"/>
            </w:pPr>
            <w:r w:rsidRPr="00FC7F49">
              <w:t>May include extracts of relevant slides from PowerPoint presentations and/or evidence of resources developed.</w:t>
            </w:r>
          </w:p>
        </w:tc>
      </w:tr>
      <w:tr w:rsidR="00FC7F49" w:rsidRPr="00FC7F49" w14:paraId="77115C27" w14:textId="77777777" w:rsidTr="00EB020E">
        <w:tc>
          <w:tcPr>
            <w:tcW w:w="3539" w:type="dxa"/>
            <w:vAlign w:val="top"/>
            <w:hideMark/>
          </w:tcPr>
          <w:p w14:paraId="03096C90" w14:textId="3538DAE9" w:rsidR="00FC7F49" w:rsidRPr="00FC7F49" w:rsidRDefault="00FC7F49" w:rsidP="00EB020E">
            <w:pPr>
              <w:spacing w:line="259" w:lineRule="auto"/>
            </w:pPr>
            <w:r w:rsidRPr="00FC7F49">
              <w:t>Analysis of professional development workshops/forums delivered</w:t>
            </w:r>
          </w:p>
        </w:tc>
        <w:tc>
          <w:tcPr>
            <w:tcW w:w="5387" w:type="dxa"/>
            <w:vAlign w:val="top"/>
            <w:hideMark/>
          </w:tcPr>
          <w:p w14:paraId="1B967BA0" w14:textId="77777777" w:rsidR="00FC7F49" w:rsidRPr="00FC7F49" w:rsidRDefault="00FC7F49" w:rsidP="00EB020E">
            <w:pPr>
              <w:spacing w:line="259" w:lineRule="auto"/>
            </w:pPr>
            <w:r w:rsidRPr="00FC7F49">
              <w:t>May include feedback/evaluations from participants and personal evaluation of the initiative.</w:t>
            </w:r>
          </w:p>
        </w:tc>
      </w:tr>
    </w:tbl>
    <w:p w14:paraId="2A65BBC0" w14:textId="77777777" w:rsidR="00FC7F49" w:rsidRDefault="00FC7F49" w:rsidP="00FC7F49"/>
    <w:p w14:paraId="0E6C8F52" w14:textId="77777777" w:rsidR="00FC7F49" w:rsidRPr="00FC7F49" w:rsidRDefault="00FC7F49" w:rsidP="00FC7F49"/>
    <w:p w14:paraId="708D1626" w14:textId="06286034" w:rsidR="00FC7F49" w:rsidRPr="00FC7F49" w:rsidRDefault="00FC7F49" w:rsidP="00FC7F49">
      <w:pPr>
        <w:pStyle w:val="ListParagraph"/>
      </w:pPr>
    </w:p>
    <w:p w14:paraId="24D1265F" w14:textId="1FA20D94" w:rsidR="00111112" w:rsidRDefault="00111112" w:rsidP="4AB57B82"/>
    <w:p w14:paraId="11705227" w14:textId="6707799B" w:rsidR="0017134D" w:rsidRPr="00AD631F" w:rsidRDefault="00111112" w:rsidP="00655DA0">
      <w:pPr>
        <w:pStyle w:val="Heading4"/>
      </w:pPr>
      <w:r>
        <w:lastRenderedPageBreak/>
        <w:t>Glossary of Key Terms</w:t>
      </w:r>
    </w:p>
    <w:p w14:paraId="40E64288" w14:textId="77777777" w:rsidR="00111112" w:rsidRPr="00111112" w:rsidRDefault="3707B302" w:rsidP="00DF6A92">
      <w:pPr>
        <w:pStyle w:val="Heading3"/>
        <w:spacing w:before="200"/>
        <w:rPr>
          <w:rFonts w:asciiTheme="minorHAnsi" w:eastAsiaTheme="minorEastAsia" w:hAnsiTheme="minorHAnsi" w:cstheme="minorBidi"/>
          <w:b w:val="0"/>
          <w:color w:val="auto"/>
          <w:sz w:val="22"/>
          <w:szCs w:val="22"/>
        </w:rPr>
      </w:pPr>
      <w:bookmarkStart w:id="2" w:name="_Toc126923148"/>
      <w:bookmarkStart w:id="3" w:name="_Toc126923159"/>
      <w:bookmarkStart w:id="4" w:name="_Toc126923318"/>
      <w:r w:rsidRPr="4A72382E">
        <w:rPr>
          <w:rFonts w:asciiTheme="minorHAnsi" w:eastAsiaTheme="minorEastAsia" w:hAnsiTheme="minorHAnsi" w:cstheme="minorBidi"/>
          <w:b w:val="0"/>
          <w:color w:val="auto"/>
          <w:sz w:val="22"/>
          <w:szCs w:val="22"/>
        </w:rPr>
        <w:t>Credit and Recognition of Prior Learning is outlined in the Higher Education Standards Framework (Threshold Standards) 2021 - Standard 1.2, which is regulated by the Tertiary Education Quality and Standards Agency (TEQSA). In line with the TEQSA 2021 Guidance Note, Recognition of Prior Learning (RPL) is defined as: “…an assessment of an individual’s prior learning to determine whether credit will be granted. RPL includes formal, informal, and non-formal learning”.</w:t>
      </w:r>
    </w:p>
    <w:p w14:paraId="5C9334B8" w14:textId="77777777" w:rsidR="00111112" w:rsidRPr="00111112" w:rsidRDefault="3707B302" w:rsidP="00DF6A92">
      <w:pPr>
        <w:pStyle w:val="Heading3"/>
        <w:spacing w:before="200"/>
        <w:rPr>
          <w:rFonts w:asciiTheme="minorHAnsi" w:eastAsiaTheme="minorEastAsia" w:hAnsiTheme="minorHAnsi" w:cstheme="minorBidi"/>
          <w:b w:val="0"/>
          <w:color w:val="auto"/>
          <w:sz w:val="22"/>
          <w:szCs w:val="22"/>
        </w:rPr>
      </w:pPr>
      <w:r w:rsidRPr="4A72382E">
        <w:rPr>
          <w:rFonts w:asciiTheme="minorHAnsi" w:eastAsiaTheme="minorEastAsia" w:hAnsiTheme="minorHAnsi" w:cstheme="minorBidi"/>
          <w:b w:val="0"/>
          <w:color w:val="auto"/>
          <w:sz w:val="22"/>
          <w:szCs w:val="22"/>
        </w:rPr>
        <w:t>The Australian Qualification Framework (AQF) Glossary of Terminology (2013) further clarifies these categories as follows:</w:t>
      </w:r>
    </w:p>
    <w:p w14:paraId="165A6477" w14:textId="77777777" w:rsidR="00111112" w:rsidRPr="00111112" w:rsidRDefault="3707B302" w:rsidP="00DF6A92">
      <w:pPr>
        <w:pStyle w:val="Heading3"/>
        <w:numPr>
          <w:ilvl w:val="0"/>
          <w:numId w:val="1"/>
        </w:numPr>
        <w:spacing w:before="200"/>
        <w:rPr>
          <w:rFonts w:asciiTheme="minorHAnsi" w:eastAsiaTheme="minorEastAsia" w:hAnsiTheme="minorHAnsi" w:cstheme="minorBidi"/>
          <w:b w:val="0"/>
          <w:color w:val="auto"/>
          <w:sz w:val="22"/>
          <w:szCs w:val="22"/>
        </w:rPr>
      </w:pPr>
      <w:r w:rsidRPr="4A72382E">
        <w:rPr>
          <w:rFonts w:asciiTheme="minorHAnsi" w:eastAsiaTheme="minorEastAsia" w:hAnsiTheme="minorHAnsi" w:cstheme="minorBidi"/>
          <w:b w:val="0"/>
          <w:color w:val="auto"/>
          <w:sz w:val="22"/>
          <w:szCs w:val="22"/>
        </w:rPr>
        <w:t xml:space="preserve">Formal learning – “learning that takes place through a structured program of learning that leads to full or partial achievement of an officially accredited course” (p. 95). </w:t>
      </w:r>
    </w:p>
    <w:p w14:paraId="24CCF91B" w14:textId="77777777" w:rsidR="00111112" w:rsidRPr="00111112" w:rsidRDefault="3707B302" w:rsidP="00DF6A92">
      <w:pPr>
        <w:pStyle w:val="Heading3"/>
        <w:numPr>
          <w:ilvl w:val="0"/>
          <w:numId w:val="1"/>
        </w:numPr>
        <w:spacing w:before="200"/>
        <w:rPr>
          <w:rFonts w:asciiTheme="minorHAnsi" w:eastAsiaTheme="minorEastAsia" w:hAnsiTheme="minorHAnsi" w:cstheme="minorBidi"/>
          <w:b w:val="0"/>
          <w:color w:val="auto"/>
          <w:sz w:val="22"/>
          <w:szCs w:val="22"/>
        </w:rPr>
      </w:pPr>
      <w:r w:rsidRPr="4A72382E">
        <w:rPr>
          <w:rFonts w:asciiTheme="minorHAnsi" w:eastAsiaTheme="minorEastAsia" w:hAnsiTheme="minorHAnsi" w:cstheme="minorBidi"/>
          <w:b w:val="0"/>
          <w:color w:val="auto"/>
          <w:sz w:val="22"/>
          <w:szCs w:val="22"/>
        </w:rPr>
        <w:t xml:space="preserve">Informal learning – “learning gained through work, social, family, hobby or leisure activities and experiences. It is not organised or structured in terms of objectives, time or learning support (p. 96). </w:t>
      </w:r>
    </w:p>
    <w:p w14:paraId="1BC9C904" w14:textId="5C350D98" w:rsidR="00EB020E" w:rsidRDefault="3707B302" w:rsidP="00EB020E">
      <w:pPr>
        <w:pStyle w:val="Heading3"/>
        <w:numPr>
          <w:ilvl w:val="0"/>
          <w:numId w:val="1"/>
        </w:numPr>
        <w:spacing w:before="200"/>
        <w:rPr>
          <w:rFonts w:asciiTheme="minorHAnsi" w:eastAsiaTheme="minorEastAsia" w:hAnsiTheme="minorHAnsi" w:cstheme="minorBidi"/>
          <w:b w:val="0"/>
          <w:color w:val="auto"/>
          <w:sz w:val="22"/>
          <w:szCs w:val="22"/>
        </w:rPr>
      </w:pPr>
      <w:r w:rsidRPr="4A72382E">
        <w:rPr>
          <w:rFonts w:asciiTheme="minorHAnsi" w:eastAsiaTheme="minorEastAsia" w:hAnsiTheme="minorHAnsi" w:cstheme="minorBidi"/>
          <w:b w:val="0"/>
          <w:color w:val="auto"/>
          <w:sz w:val="22"/>
          <w:szCs w:val="22"/>
        </w:rPr>
        <w:t xml:space="preserve">Non-formal learning – “learning that takes place through a structured program of learning but does not lead to an officially accredited qualification” (p. 98). </w:t>
      </w:r>
    </w:p>
    <w:p w14:paraId="041583E7" w14:textId="77777777" w:rsidR="00EB020E" w:rsidRPr="00EB020E" w:rsidRDefault="00EB020E" w:rsidP="00EB020E"/>
    <w:tbl>
      <w:tblPr>
        <w:tblStyle w:val="EDU-Basic"/>
        <w:tblW w:w="9062" w:type="dxa"/>
        <w:tblLook w:val="0420" w:firstRow="1" w:lastRow="0" w:firstColumn="0" w:lastColumn="0" w:noHBand="0" w:noVBand="1"/>
      </w:tblPr>
      <w:tblGrid>
        <w:gridCol w:w="1129"/>
        <w:gridCol w:w="7933"/>
      </w:tblGrid>
      <w:tr w:rsidR="00FC7F49" w:rsidRPr="00FC7F49" w14:paraId="1B2E8896" w14:textId="77777777" w:rsidTr="00EB020E">
        <w:trPr>
          <w:cnfStyle w:val="100000000000" w:firstRow="1" w:lastRow="0" w:firstColumn="0" w:lastColumn="0" w:oddVBand="0" w:evenVBand="0" w:oddHBand="0" w:evenHBand="0" w:firstRowFirstColumn="0" w:firstRowLastColumn="0" w:lastRowFirstColumn="0" w:lastRowLastColumn="0"/>
        </w:trPr>
        <w:tc>
          <w:tcPr>
            <w:tcW w:w="1129" w:type="dxa"/>
            <w:hideMark/>
          </w:tcPr>
          <w:p w14:paraId="30665A45" w14:textId="77777777" w:rsidR="00FC7F49" w:rsidRPr="00FC7F49" w:rsidRDefault="00FC7F49" w:rsidP="00FC7F49">
            <w:pPr>
              <w:spacing w:line="259" w:lineRule="auto"/>
            </w:pPr>
            <w:r w:rsidRPr="00FC7F49">
              <w:rPr>
                <w:b/>
                <w:bCs/>
              </w:rPr>
              <w:t>Acronym</w:t>
            </w:r>
          </w:p>
        </w:tc>
        <w:tc>
          <w:tcPr>
            <w:tcW w:w="7933" w:type="dxa"/>
            <w:hideMark/>
          </w:tcPr>
          <w:p w14:paraId="61A1E72D" w14:textId="77777777" w:rsidR="00FC7F49" w:rsidRPr="00FC7F49" w:rsidRDefault="00FC7F49" w:rsidP="00FC7F49">
            <w:pPr>
              <w:spacing w:line="259" w:lineRule="auto"/>
            </w:pPr>
            <w:r w:rsidRPr="00FC7F49">
              <w:rPr>
                <w:b/>
                <w:bCs/>
              </w:rPr>
              <w:t xml:space="preserve">Description </w:t>
            </w:r>
          </w:p>
        </w:tc>
      </w:tr>
      <w:tr w:rsidR="00FC7F49" w:rsidRPr="00FC7F49" w14:paraId="0299DA24" w14:textId="77777777" w:rsidTr="00EB020E">
        <w:tc>
          <w:tcPr>
            <w:tcW w:w="1129" w:type="dxa"/>
            <w:hideMark/>
          </w:tcPr>
          <w:p w14:paraId="633A90CC" w14:textId="77777777" w:rsidR="00FC7F49" w:rsidRPr="00FC7F49" w:rsidRDefault="00FC7F49" w:rsidP="00EB020E">
            <w:pPr>
              <w:spacing w:after="100"/>
            </w:pPr>
            <w:r w:rsidRPr="00FC7F49">
              <w:t>ACDE</w:t>
            </w:r>
          </w:p>
        </w:tc>
        <w:tc>
          <w:tcPr>
            <w:tcW w:w="7933" w:type="dxa"/>
            <w:hideMark/>
          </w:tcPr>
          <w:p w14:paraId="58D1C5B0" w14:textId="77777777" w:rsidR="00FC7F49" w:rsidRPr="00FC7F49" w:rsidRDefault="00FC7F49" w:rsidP="00EB020E">
            <w:pPr>
              <w:spacing w:after="100"/>
            </w:pPr>
            <w:r w:rsidRPr="00FC7F49">
              <w:t>Australian Council of Deans of Education</w:t>
            </w:r>
          </w:p>
        </w:tc>
      </w:tr>
      <w:tr w:rsidR="00FC7F49" w:rsidRPr="00FC7F49" w14:paraId="23BAFA0F" w14:textId="77777777" w:rsidTr="00EB020E">
        <w:tc>
          <w:tcPr>
            <w:tcW w:w="1129" w:type="dxa"/>
            <w:hideMark/>
          </w:tcPr>
          <w:p w14:paraId="63524B74" w14:textId="77777777" w:rsidR="00FC7F49" w:rsidRPr="00FC7F49" w:rsidRDefault="00FC7F49" w:rsidP="00EB020E">
            <w:pPr>
              <w:spacing w:after="100"/>
            </w:pPr>
            <w:r w:rsidRPr="00FC7F49">
              <w:t>AITSL</w:t>
            </w:r>
          </w:p>
        </w:tc>
        <w:tc>
          <w:tcPr>
            <w:tcW w:w="7933" w:type="dxa"/>
            <w:hideMark/>
          </w:tcPr>
          <w:p w14:paraId="672579B5" w14:textId="77777777" w:rsidR="00FC7F49" w:rsidRPr="00FC7F49" w:rsidRDefault="00FC7F49" w:rsidP="00EB020E">
            <w:pPr>
              <w:spacing w:after="100"/>
            </w:pPr>
            <w:r w:rsidRPr="00FC7F49">
              <w:t>Australian Institute for Teaching and School Leadership</w:t>
            </w:r>
          </w:p>
        </w:tc>
      </w:tr>
      <w:tr w:rsidR="00FC7F49" w:rsidRPr="00FC7F49" w14:paraId="531E9397" w14:textId="77777777" w:rsidTr="00655DA0">
        <w:tc>
          <w:tcPr>
            <w:tcW w:w="1129" w:type="dxa"/>
            <w:hideMark/>
          </w:tcPr>
          <w:p w14:paraId="5717DB1A" w14:textId="77777777" w:rsidR="00FC7F49" w:rsidRPr="00FC7F49" w:rsidRDefault="00FC7F49" w:rsidP="00EB020E">
            <w:pPr>
              <w:spacing w:after="100"/>
            </w:pPr>
            <w:r w:rsidRPr="00FC7F49">
              <w:t>APST</w:t>
            </w:r>
          </w:p>
        </w:tc>
        <w:tc>
          <w:tcPr>
            <w:tcW w:w="7933" w:type="dxa"/>
            <w:hideMark/>
          </w:tcPr>
          <w:p w14:paraId="493D637D" w14:textId="77777777" w:rsidR="00FC7F49" w:rsidRPr="00FC7F49" w:rsidRDefault="00FC7F49" w:rsidP="00EB020E">
            <w:pPr>
              <w:spacing w:after="100"/>
            </w:pPr>
            <w:r w:rsidRPr="00FC7F49">
              <w:t>Australian Professional Standards for Teachers</w:t>
            </w:r>
          </w:p>
        </w:tc>
      </w:tr>
      <w:tr w:rsidR="00FC7F49" w:rsidRPr="00FC7F49" w14:paraId="2F4EACB9" w14:textId="77777777" w:rsidTr="00655DA0">
        <w:tc>
          <w:tcPr>
            <w:tcW w:w="1129" w:type="dxa"/>
            <w:hideMark/>
          </w:tcPr>
          <w:p w14:paraId="5710F83F" w14:textId="77777777" w:rsidR="00FC7F49" w:rsidRPr="00FC7F49" w:rsidRDefault="00FC7F49" w:rsidP="00EB020E">
            <w:pPr>
              <w:spacing w:after="100"/>
            </w:pPr>
            <w:r w:rsidRPr="00FC7F49">
              <w:t>AQF</w:t>
            </w:r>
          </w:p>
        </w:tc>
        <w:tc>
          <w:tcPr>
            <w:tcW w:w="7933" w:type="dxa"/>
            <w:hideMark/>
          </w:tcPr>
          <w:p w14:paraId="41107469" w14:textId="77777777" w:rsidR="00FC7F49" w:rsidRPr="00FC7F49" w:rsidRDefault="00FC7F49" w:rsidP="00EB020E">
            <w:pPr>
              <w:spacing w:after="100"/>
            </w:pPr>
            <w:r w:rsidRPr="00FC7F49">
              <w:t>Australian Qualifications Framework</w:t>
            </w:r>
          </w:p>
        </w:tc>
      </w:tr>
      <w:tr w:rsidR="00FC7F49" w:rsidRPr="00FC7F49" w14:paraId="16F449A3" w14:textId="77777777" w:rsidTr="00655DA0">
        <w:tc>
          <w:tcPr>
            <w:tcW w:w="1129" w:type="dxa"/>
            <w:hideMark/>
          </w:tcPr>
          <w:p w14:paraId="7845011B" w14:textId="77777777" w:rsidR="00FC7F49" w:rsidRPr="00FC7F49" w:rsidRDefault="00FC7F49" w:rsidP="00EB020E">
            <w:pPr>
              <w:spacing w:after="100"/>
            </w:pPr>
            <w:r w:rsidRPr="00FC7F49">
              <w:t>HEP</w:t>
            </w:r>
          </w:p>
        </w:tc>
        <w:tc>
          <w:tcPr>
            <w:tcW w:w="7933" w:type="dxa"/>
            <w:hideMark/>
          </w:tcPr>
          <w:p w14:paraId="0A486917" w14:textId="77777777" w:rsidR="00FC7F49" w:rsidRPr="00FC7F49" w:rsidRDefault="00FC7F49" w:rsidP="00EB020E">
            <w:pPr>
              <w:spacing w:after="100"/>
            </w:pPr>
            <w:r w:rsidRPr="00FC7F49">
              <w:t>Higher education provider</w:t>
            </w:r>
          </w:p>
        </w:tc>
      </w:tr>
      <w:tr w:rsidR="00FC7F49" w:rsidRPr="00FC7F49" w14:paraId="18331685" w14:textId="77777777" w:rsidTr="00655DA0">
        <w:tc>
          <w:tcPr>
            <w:tcW w:w="1129" w:type="dxa"/>
            <w:hideMark/>
          </w:tcPr>
          <w:p w14:paraId="34B9A11F" w14:textId="77777777" w:rsidR="00FC7F49" w:rsidRPr="00FC7F49" w:rsidRDefault="00FC7F49" w:rsidP="00EB020E">
            <w:pPr>
              <w:spacing w:after="100"/>
            </w:pPr>
            <w:r w:rsidRPr="00FC7F49">
              <w:t>HESF</w:t>
            </w:r>
          </w:p>
        </w:tc>
        <w:tc>
          <w:tcPr>
            <w:tcW w:w="7933" w:type="dxa"/>
            <w:hideMark/>
          </w:tcPr>
          <w:p w14:paraId="5066F0DC" w14:textId="77777777" w:rsidR="00FC7F49" w:rsidRPr="00FC7F49" w:rsidRDefault="00FC7F49" w:rsidP="00EB020E">
            <w:pPr>
              <w:spacing w:after="100"/>
            </w:pPr>
            <w:r w:rsidRPr="00FC7F49">
              <w:t>Higher Education Standards Framework</w:t>
            </w:r>
          </w:p>
        </w:tc>
      </w:tr>
      <w:tr w:rsidR="00FC7F49" w:rsidRPr="00FC7F49" w14:paraId="51D864B9" w14:textId="77777777" w:rsidTr="00655DA0">
        <w:tc>
          <w:tcPr>
            <w:tcW w:w="1129" w:type="dxa"/>
            <w:hideMark/>
          </w:tcPr>
          <w:p w14:paraId="7AF3A3AF" w14:textId="77777777" w:rsidR="00FC7F49" w:rsidRPr="00FC7F49" w:rsidRDefault="00FC7F49" w:rsidP="00EB020E">
            <w:pPr>
              <w:spacing w:after="100"/>
            </w:pPr>
            <w:r w:rsidRPr="00FC7F49">
              <w:t>ITE</w:t>
            </w:r>
          </w:p>
        </w:tc>
        <w:tc>
          <w:tcPr>
            <w:tcW w:w="7933" w:type="dxa"/>
            <w:hideMark/>
          </w:tcPr>
          <w:p w14:paraId="6FDB79B1" w14:textId="77777777" w:rsidR="00FC7F49" w:rsidRPr="00FC7F49" w:rsidRDefault="00FC7F49" w:rsidP="00EB020E">
            <w:pPr>
              <w:spacing w:after="100"/>
            </w:pPr>
            <w:r w:rsidRPr="00FC7F49">
              <w:t>Initial Teacher Education</w:t>
            </w:r>
          </w:p>
        </w:tc>
      </w:tr>
      <w:tr w:rsidR="00FC7F49" w:rsidRPr="00FC7F49" w14:paraId="6ADE9984" w14:textId="77777777" w:rsidTr="00EB020E">
        <w:tc>
          <w:tcPr>
            <w:tcW w:w="1129" w:type="dxa"/>
            <w:hideMark/>
          </w:tcPr>
          <w:p w14:paraId="759CFCEC" w14:textId="77777777" w:rsidR="00FC7F49" w:rsidRPr="00FC7F49" w:rsidRDefault="00FC7F49" w:rsidP="00EB020E">
            <w:pPr>
              <w:spacing w:after="100"/>
            </w:pPr>
            <w:r w:rsidRPr="00FC7F49">
              <w:t>NESA</w:t>
            </w:r>
          </w:p>
        </w:tc>
        <w:tc>
          <w:tcPr>
            <w:tcW w:w="7933" w:type="dxa"/>
            <w:hideMark/>
          </w:tcPr>
          <w:p w14:paraId="229FE345" w14:textId="77777777" w:rsidR="00FC7F49" w:rsidRPr="00FC7F49" w:rsidRDefault="00FC7F49" w:rsidP="00EB020E">
            <w:pPr>
              <w:spacing w:after="100"/>
            </w:pPr>
            <w:r w:rsidRPr="00FC7F49">
              <w:t>NSW Education Standards Authority</w:t>
            </w:r>
          </w:p>
        </w:tc>
      </w:tr>
      <w:tr w:rsidR="00FC7F49" w:rsidRPr="00FC7F49" w14:paraId="2AB55C05" w14:textId="77777777" w:rsidTr="00EB020E">
        <w:tc>
          <w:tcPr>
            <w:tcW w:w="1129" w:type="dxa"/>
            <w:hideMark/>
          </w:tcPr>
          <w:p w14:paraId="78B459C8" w14:textId="77777777" w:rsidR="00FC7F49" w:rsidRPr="00FC7F49" w:rsidRDefault="00FC7F49" w:rsidP="00EB020E">
            <w:pPr>
              <w:spacing w:after="100"/>
            </w:pPr>
            <w:r w:rsidRPr="00FC7F49">
              <w:t>RPL</w:t>
            </w:r>
          </w:p>
        </w:tc>
        <w:tc>
          <w:tcPr>
            <w:tcW w:w="7933" w:type="dxa"/>
            <w:hideMark/>
          </w:tcPr>
          <w:p w14:paraId="39E53F2C" w14:textId="77777777" w:rsidR="00FC7F49" w:rsidRPr="00FC7F49" w:rsidRDefault="00FC7F49" w:rsidP="00EB020E">
            <w:pPr>
              <w:spacing w:after="100"/>
            </w:pPr>
            <w:r w:rsidRPr="00FC7F49">
              <w:t>Recognition of Prior Learning</w:t>
            </w:r>
          </w:p>
        </w:tc>
      </w:tr>
      <w:tr w:rsidR="00FC7F49" w:rsidRPr="00FC7F49" w14:paraId="6083CF2F" w14:textId="77777777" w:rsidTr="00EB020E">
        <w:tc>
          <w:tcPr>
            <w:tcW w:w="1129" w:type="dxa"/>
            <w:hideMark/>
          </w:tcPr>
          <w:p w14:paraId="0A97E7EA" w14:textId="77777777" w:rsidR="00FC7F49" w:rsidRPr="00FC7F49" w:rsidRDefault="00FC7F49" w:rsidP="00EB020E">
            <w:pPr>
              <w:spacing w:after="100"/>
            </w:pPr>
            <w:r w:rsidRPr="00FC7F49">
              <w:t>TEQSA</w:t>
            </w:r>
          </w:p>
        </w:tc>
        <w:tc>
          <w:tcPr>
            <w:tcW w:w="7933" w:type="dxa"/>
            <w:hideMark/>
          </w:tcPr>
          <w:p w14:paraId="00A8A30D" w14:textId="77777777" w:rsidR="00FC7F49" w:rsidRPr="00FC7F49" w:rsidRDefault="00FC7F49" w:rsidP="00EB020E">
            <w:pPr>
              <w:spacing w:after="100"/>
            </w:pPr>
            <w:r w:rsidRPr="00FC7F49">
              <w:t>Tertiary Education Quality and Standards Agency</w:t>
            </w:r>
          </w:p>
        </w:tc>
      </w:tr>
    </w:tbl>
    <w:p w14:paraId="4B026C44" w14:textId="77777777" w:rsidR="00FC7F49" w:rsidRDefault="00FC7F49" w:rsidP="00111112"/>
    <w:p w14:paraId="7C4AE0A5" w14:textId="77777777" w:rsidR="00111112" w:rsidRPr="00111112" w:rsidRDefault="00111112" w:rsidP="00111112"/>
    <w:bookmarkEnd w:id="2"/>
    <w:bookmarkEnd w:id="3"/>
    <w:bookmarkEnd w:id="4"/>
    <w:p w14:paraId="7B5C1AC8" w14:textId="042EF28E" w:rsidR="0017134D" w:rsidRDefault="0017134D" w:rsidP="00FC7F49">
      <w:pPr>
        <w:pStyle w:val="ListNumber4"/>
        <w:numPr>
          <w:ilvl w:val="0"/>
          <w:numId w:val="0"/>
        </w:numPr>
      </w:pPr>
    </w:p>
    <w:sectPr w:rsidR="0017134D" w:rsidSect="00D86284">
      <w:headerReference w:type="default" r:id="rId15"/>
      <w:footerReference w:type="default" r:id="rId16"/>
      <w:footerReference w:type="first" r:id="rId17"/>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AD08F" w14:textId="77777777" w:rsidR="00E06A33" w:rsidRDefault="00E06A33" w:rsidP="000A6228">
      <w:pPr>
        <w:spacing w:after="0" w:line="240" w:lineRule="auto"/>
      </w:pPr>
      <w:r>
        <w:separator/>
      </w:r>
    </w:p>
  </w:endnote>
  <w:endnote w:type="continuationSeparator" w:id="0">
    <w:p w14:paraId="1B8F34FE" w14:textId="77777777" w:rsidR="00E06A33" w:rsidRDefault="00E06A33" w:rsidP="000A6228">
      <w:pPr>
        <w:spacing w:after="0" w:line="240" w:lineRule="auto"/>
      </w:pPr>
      <w:r>
        <w:continuationSeparator/>
      </w:r>
    </w:p>
  </w:endnote>
  <w:endnote w:type="continuationNotice" w:id="1">
    <w:p w14:paraId="2F54976E" w14:textId="77777777" w:rsidR="00E06A33" w:rsidRDefault="00E06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3B72" w14:textId="77777777" w:rsidR="00D86284" w:rsidRDefault="00D86284">
    <w:pPr>
      <w:pStyle w:val="Footer"/>
    </w:pPr>
    <w:r>
      <w:rPr>
        <w:noProof/>
      </w:rPr>
      <w:drawing>
        <wp:anchor distT="0" distB="0" distL="114300" distR="114300" simplePos="0" relativeHeight="251657216" behindDoc="1" locked="1" layoutInCell="1" allowOverlap="1" wp14:anchorId="294C02ED" wp14:editId="64190461">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B4B9" w14:textId="329451F5" w:rsidR="006A78F7" w:rsidRPr="006A78F7" w:rsidRDefault="006A78F7" w:rsidP="006A78F7">
    <w:pPr>
      <w:pStyle w:val="Footer"/>
      <w:jc w:val="center"/>
      <w:rPr>
        <w:b/>
        <w:bCs/>
        <w:color w:val="FF0000"/>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399E4" w14:textId="77777777" w:rsidR="00E06A33" w:rsidRDefault="00E06A33" w:rsidP="000A6228">
      <w:pPr>
        <w:spacing w:after="0" w:line="240" w:lineRule="auto"/>
      </w:pPr>
      <w:r>
        <w:separator/>
      </w:r>
    </w:p>
  </w:footnote>
  <w:footnote w:type="continuationSeparator" w:id="0">
    <w:p w14:paraId="37E3B522" w14:textId="77777777" w:rsidR="00E06A33" w:rsidRDefault="00E06A33" w:rsidP="000A6228">
      <w:pPr>
        <w:spacing w:after="0" w:line="240" w:lineRule="auto"/>
      </w:pPr>
      <w:r>
        <w:continuationSeparator/>
      </w:r>
    </w:p>
  </w:footnote>
  <w:footnote w:type="continuationNotice" w:id="1">
    <w:p w14:paraId="258A3DFB" w14:textId="77777777" w:rsidR="00E06A33" w:rsidRDefault="00E06A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45F4" w14:textId="37C82D13" w:rsidR="004440FD" w:rsidRPr="009B4C9C" w:rsidRDefault="004440FD" w:rsidP="009B4C9C">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8C76F63"/>
    <w:multiLevelType w:val="hybridMultilevel"/>
    <w:tmpl w:val="EEB2D2EE"/>
    <w:lvl w:ilvl="0" w:tplc="A866DD4E">
      <w:start w:val="1"/>
      <w:numFmt w:val="lowerLetter"/>
      <w:lvlText w:val="%1)"/>
      <w:lvlJc w:val="left"/>
      <w:pPr>
        <w:tabs>
          <w:tab w:val="num" w:pos="720"/>
        </w:tabs>
        <w:ind w:left="1080" w:hanging="360"/>
      </w:pPr>
    </w:lvl>
    <w:lvl w:ilvl="1" w:tplc="B7B07A52" w:tentative="1">
      <w:start w:val="1"/>
      <w:numFmt w:val="lowerLetter"/>
      <w:lvlText w:val="%2)"/>
      <w:lvlJc w:val="left"/>
      <w:pPr>
        <w:tabs>
          <w:tab w:val="num" w:pos="1440"/>
        </w:tabs>
        <w:ind w:left="1800" w:hanging="360"/>
      </w:pPr>
    </w:lvl>
    <w:lvl w:ilvl="2" w:tplc="3C40CF9C" w:tentative="1">
      <w:start w:val="1"/>
      <w:numFmt w:val="lowerLetter"/>
      <w:lvlText w:val="%3)"/>
      <w:lvlJc w:val="left"/>
      <w:pPr>
        <w:tabs>
          <w:tab w:val="num" w:pos="2160"/>
        </w:tabs>
        <w:ind w:left="2520" w:hanging="360"/>
      </w:pPr>
    </w:lvl>
    <w:lvl w:ilvl="3" w:tplc="2ECE1BB0" w:tentative="1">
      <w:start w:val="1"/>
      <w:numFmt w:val="lowerLetter"/>
      <w:lvlText w:val="%4)"/>
      <w:lvlJc w:val="left"/>
      <w:pPr>
        <w:tabs>
          <w:tab w:val="num" w:pos="2880"/>
        </w:tabs>
        <w:ind w:left="3240" w:hanging="360"/>
      </w:pPr>
    </w:lvl>
    <w:lvl w:ilvl="4" w:tplc="930E117C" w:tentative="1">
      <w:start w:val="1"/>
      <w:numFmt w:val="lowerLetter"/>
      <w:lvlText w:val="%5)"/>
      <w:lvlJc w:val="left"/>
      <w:pPr>
        <w:tabs>
          <w:tab w:val="num" w:pos="3600"/>
        </w:tabs>
        <w:ind w:left="3960" w:hanging="360"/>
      </w:pPr>
    </w:lvl>
    <w:lvl w:ilvl="5" w:tplc="24008EC4" w:tentative="1">
      <w:start w:val="1"/>
      <w:numFmt w:val="lowerLetter"/>
      <w:lvlText w:val="%6)"/>
      <w:lvlJc w:val="left"/>
      <w:pPr>
        <w:tabs>
          <w:tab w:val="num" w:pos="4320"/>
        </w:tabs>
        <w:ind w:left="4680" w:hanging="360"/>
      </w:pPr>
    </w:lvl>
    <w:lvl w:ilvl="6" w:tplc="72C21124" w:tentative="1">
      <w:start w:val="1"/>
      <w:numFmt w:val="lowerLetter"/>
      <w:lvlText w:val="%7)"/>
      <w:lvlJc w:val="left"/>
      <w:pPr>
        <w:tabs>
          <w:tab w:val="num" w:pos="5040"/>
        </w:tabs>
        <w:ind w:left="5400" w:hanging="360"/>
      </w:pPr>
    </w:lvl>
    <w:lvl w:ilvl="7" w:tplc="D4404F78" w:tentative="1">
      <w:start w:val="1"/>
      <w:numFmt w:val="lowerLetter"/>
      <w:lvlText w:val="%8)"/>
      <w:lvlJc w:val="left"/>
      <w:pPr>
        <w:tabs>
          <w:tab w:val="num" w:pos="5760"/>
        </w:tabs>
        <w:ind w:left="6120" w:hanging="360"/>
      </w:pPr>
    </w:lvl>
    <w:lvl w:ilvl="8" w:tplc="0A2218FA" w:tentative="1">
      <w:start w:val="1"/>
      <w:numFmt w:val="lowerLetter"/>
      <w:lvlText w:val="%9)"/>
      <w:lvlJc w:val="left"/>
      <w:pPr>
        <w:tabs>
          <w:tab w:val="num" w:pos="6480"/>
        </w:tabs>
        <w:ind w:left="6840" w:hanging="36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DA109D"/>
    <w:multiLevelType w:val="hybridMultilevel"/>
    <w:tmpl w:val="49D874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0D994993"/>
    <w:multiLevelType w:val="hybridMultilevel"/>
    <w:tmpl w:val="755CE4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21BDD84"/>
    <w:multiLevelType w:val="hybridMultilevel"/>
    <w:tmpl w:val="FE082A70"/>
    <w:lvl w:ilvl="0" w:tplc="8E4C8598">
      <w:start w:val="1"/>
      <w:numFmt w:val="bullet"/>
      <w:lvlText w:val=""/>
      <w:lvlJc w:val="left"/>
      <w:pPr>
        <w:ind w:left="720" w:hanging="360"/>
      </w:pPr>
      <w:rPr>
        <w:rFonts w:ascii="Symbol" w:hAnsi="Symbol" w:hint="default"/>
      </w:rPr>
    </w:lvl>
    <w:lvl w:ilvl="1" w:tplc="8E189980">
      <w:start w:val="1"/>
      <w:numFmt w:val="bullet"/>
      <w:lvlText w:val="o"/>
      <w:lvlJc w:val="left"/>
      <w:pPr>
        <w:ind w:left="1440" w:hanging="360"/>
      </w:pPr>
      <w:rPr>
        <w:rFonts w:ascii="Courier New" w:hAnsi="Courier New" w:hint="default"/>
      </w:rPr>
    </w:lvl>
    <w:lvl w:ilvl="2" w:tplc="29C8284A">
      <w:start w:val="1"/>
      <w:numFmt w:val="bullet"/>
      <w:lvlText w:val=""/>
      <w:lvlJc w:val="left"/>
      <w:pPr>
        <w:ind w:left="2160" w:hanging="360"/>
      </w:pPr>
      <w:rPr>
        <w:rFonts w:ascii="Wingdings" w:hAnsi="Wingdings" w:hint="default"/>
      </w:rPr>
    </w:lvl>
    <w:lvl w:ilvl="3" w:tplc="E364092C">
      <w:start w:val="1"/>
      <w:numFmt w:val="bullet"/>
      <w:lvlText w:val=""/>
      <w:lvlJc w:val="left"/>
      <w:pPr>
        <w:ind w:left="2880" w:hanging="360"/>
      </w:pPr>
      <w:rPr>
        <w:rFonts w:ascii="Symbol" w:hAnsi="Symbol" w:hint="default"/>
      </w:rPr>
    </w:lvl>
    <w:lvl w:ilvl="4" w:tplc="4A9A7264">
      <w:start w:val="1"/>
      <w:numFmt w:val="bullet"/>
      <w:lvlText w:val="o"/>
      <w:lvlJc w:val="left"/>
      <w:pPr>
        <w:ind w:left="3600" w:hanging="360"/>
      </w:pPr>
      <w:rPr>
        <w:rFonts w:ascii="Courier New" w:hAnsi="Courier New" w:hint="default"/>
      </w:rPr>
    </w:lvl>
    <w:lvl w:ilvl="5" w:tplc="CB0C00EE">
      <w:start w:val="1"/>
      <w:numFmt w:val="bullet"/>
      <w:lvlText w:val=""/>
      <w:lvlJc w:val="left"/>
      <w:pPr>
        <w:ind w:left="4320" w:hanging="360"/>
      </w:pPr>
      <w:rPr>
        <w:rFonts w:ascii="Wingdings" w:hAnsi="Wingdings" w:hint="default"/>
      </w:rPr>
    </w:lvl>
    <w:lvl w:ilvl="6" w:tplc="00DC6980">
      <w:start w:val="1"/>
      <w:numFmt w:val="bullet"/>
      <w:lvlText w:val=""/>
      <w:lvlJc w:val="left"/>
      <w:pPr>
        <w:ind w:left="5040" w:hanging="360"/>
      </w:pPr>
      <w:rPr>
        <w:rFonts w:ascii="Symbol" w:hAnsi="Symbol" w:hint="default"/>
      </w:rPr>
    </w:lvl>
    <w:lvl w:ilvl="7" w:tplc="D7185FBE">
      <w:start w:val="1"/>
      <w:numFmt w:val="bullet"/>
      <w:lvlText w:val="o"/>
      <w:lvlJc w:val="left"/>
      <w:pPr>
        <w:ind w:left="5760" w:hanging="360"/>
      </w:pPr>
      <w:rPr>
        <w:rFonts w:ascii="Courier New" w:hAnsi="Courier New" w:hint="default"/>
      </w:rPr>
    </w:lvl>
    <w:lvl w:ilvl="8" w:tplc="6E5C3A5E">
      <w:start w:val="1"/>
      <w:numFmt w:val="bullet"/>
      <w:lvlText w:val=""/>
      <w:lvlJc w:val="left"/>
      <w:pPr>
        <w:ind w:left="6480" w:hanging="360"/>
      </w:pPr>
      <w:rPr>
        <w:rFonts w:ascii="Wingdings" w:hAnsi="Wingding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B25ADE1"/>
    <w:multiLevelType w:val="hybridMultilevel"/>
    <w:tmpl w:val="B2DAE28E"/>
    <w:lvl w:ilvl="0" w:tplc="F33E33EA">
      <w:start w:val="1"/>
      <w:numFmt w:val="decimal"/>
      <w:lvlText w:val="%1."/>
      <w:lvlJc w:val="left"/>
      <w:pPr>
        <w:ind w:left="720" w:hanging="360"/>
      </w:pPr>
    </w:lvl>
    <w:lvl w:ilvl="1" w:tplc="E9FA9BF6">
      <w:start w:val="1"/>
      <w:numFmt w:val="lowerLetter"/>
      <w:lvlText w:val="%2."/>
      <w:lvlJc w:val="left"/>
      <w:pPr>
        <w:ind w:left="1440" w:hanging="360"/>
      </w:pPr>
    </w:lvl>
    <w:lvl w:ilvl="2" w:tplc="A1861948">
      <w:start w:val="1"/>
      <w:numFmt w:val="lowerRoman"/>
      <w:lvlText w:val="%3."/>
      <w:lvlJc w:val="right"/>
      <w:pPr>
        <w:ind w:left="2160" w:hanging="180"/>
      </w:pPr>
    </w:lvl>
    <w:lvl w:ilvl="3" w:tplc="2A1238F2">
      <w:start w:val="1"/>
      <w:numFmt w:val="decimal"/>
      <w:lvlText w:val="%4."/>
      <w:lvlJc w:val="left"/>
      <w:pPr>
        <w:ind w:left="2880" w:hanging="360"/>
      </w:pPr>
    </w:lvl>
    <w:lvl w:ilvl="4" w:tplc="1DEC683C">
      <w:start w:val="1"/>
      <w:numFmt w:val="lowerLetter"/>
      <w:lvlText w:val="%5."/>
      <w:lvlJc w:val="left"/>
      <w:pPr>
        <w:ind w:left="3600" w:hanging="360"/>
      </w:pPr>
    </w:lvl>
    <w:lvl w:ilvl="5" w:tplc="2D78DA9E">
      <w:start w:val="1"/>
      <w:numFmt w:val="lowerRoman"/>
      <w:lvlText w:val="%6."/>
      <w:lvlJc w:val="right"/>
      <w:pPr>
        <w:ind w:left="4320" w:hanging="180"/>
      </w:pPr>
    </w:lvl>
    <w:lvl w:ilvl="6" w:tplc="92229224">
      <w:start w:val="1"/>
      <w:numFmt w:val="decimal"/>
      <w:lvlText w:val="%7."/>
      <w:lvlJc w:val="left"/>
      <w:pPr>
        <w:ind w:left="5040" w:hanging="360"/>
      </w:pPr>
    </w:lvl>
    <w:lvl w:ilvl="7" w:tplc="192E69A6">
      <w:start w:val="1"/>
      <w:numFmt w:val="lowerLetter"/>
      <w:lvlText w:val="%8."/>
      <w:lvlJc w:val="left"/>
      <w:pPr>
        <w:ind w:left="5760" w:hanging="360"/>
      </w:pPr>
    </w:lvl>
    <w:lvl w:ilvl="8" w:tplc="7D4076A8">
      <w:start w:val="1"/>
      <w:numFmt w:val="lowerRoman"/>
      <w:lvlText w:val="%9."/>
      <w:lvlJc w:val="right"/>
      <w:pPr>
        <w:ind w:left="6480" w:hanging="180"/>
      </w:p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CF30C3"/>
    <w:multiLevelType w:val="hybridMultilevel"/>
    <w:tmpl w:val="B45E0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A60565"/>
    <w:multiLevelType w:val="hybridMultilevel"/>
    <w:tmpl w:val="2CB0E49C"/>
    <w:lvl w:ilvl="0" w:tplc="E5022C2A">
      <w:start w:val="1"/>
      <w:numFmt w:val="decimal"/>
      <w:lvlText w:val="%1."/>
      <w:lvlJc w:val="left"/>
      <w:pPr>
        <w:tabs>
          <w:tab w:val="num" w:pos="720"/>
        </w:tabs>
        <w:ind w:left="720" w:hanging="360"/>
      </w:pPr>
    </w:lvl>
    <w:lvl w:ilvl="1" w:tplc="98D47F02" w:tentative="1">
      <w:start w:val="1"/>
      <w:numFmt w:val="decimal"/>
      <w:lvlText w:val="%2."/>
      <w:lvlJc w:val="left"/>
      <w:pPr>
        <w:tabs>
          <w:tab w:val="num" w:pos="1440"/>
        </w:tabs>
        <w:ind w:left="1440" w:hanging="360"/>
      </w:pPr>
    </w:lvl>
    <w:lvl w:ilvl="2" w:tplc="0A06F152" w:tentative="1">
      <w:start w:val="1"/>
      <w:numFmt w:val="decimal"/>
      <w:lvlText w:val="%3."/>
      <w:lvlJc w:val="left"/>
      <w:pPr>
        <w:tabs>
          <w:tab w:val="num" w:pos="2160"/>
        </w:tabs>
        <w:ind w:left="2160" w:hanging="360"/>
      </w:pPr>
    </w:lvl>
    <w:lvl w:ilvl="3" w:tplc="7284A374" w:tentative="1">
      <w:start w:val="1"/>
      <w:numFmt w:val="decimal"/>
      <w:lvlText w:val="%4."/>
      <w:lvlJc w:val="left"/>
      <w:pPr>
        <w:tabs>
          <w:tab w:val="num" w:pos="2880"/>
        </w:tabs>
        <w:ind w:left="2880" w:hanging="360"/>
      </w:pPr>
    </w:lvl>
    <w:lvl w:ilvl="4" w:tplc="1E3EBA7E" w:tentative="1">
      <w:start w:val="1"/>
      <w:numFmt w:val="decimal"/>
      <w:lvlText w:val="%5."/>
      <w:lvlJc w:val="left"/>
      <w:pPr>
        <w:tabs>
          <w:tab w:val="num" w:pos="3600"/>
        </w:tabs>
        <w:ind w:left="3600" w:hanging="360"/>
      </w:pPr>
    </w:lvl>
    <w:lvl w:ilvl="5" w:tplc="FD38175E" w:tentative="1">
      <w:start w:val="1"/>
      <w:numFmt w:val="decimal"/>
      <w:lvlText w:val="%6."/>
      <w:lvlJc w:val="left"/>
      <w:pPr>
        <w:tabs>
          <w:tab w:val="num" w:pos="4320"/>
        </w:tabs>
        <w:ind w:left="4320" w:hanging="360"/>
      </w:pPr>
    </w:lvl>
    <w:lvl w:ilvl="6" w:tplc="E02E07C0" w:tentative="1">
      <w:start w:val="1"/>
      <w:numFmt w:val="decimal"/>
      <w:lvlText w:val="%7."/>
      <w:lvlJc w:val="left"/>
      <w:pPr>
        <w:tabs>
          <w:tab w:val="num" w:pos="5040"/>
        </w:tabs>
        <w:ind w:left="5040" w:hanging="360"/>
      </w:pPr>
    </w:lvl>
    <w:lvl w:ilvl="7" w:tplc="8FA2C336" w:tentative="1">
      <w:start w:val="1"/>
      <w:numFmt w:val="decimal"/>
      <w:lvlText w:val="%8."/>
      <w:lvlJc w:val="left"/>
      <w:pPr>
        <w:tabs>
          <w:tab w:val="num" w:pos="5760"/>
        </w:tabs>
        <w:ind w:left="5760" w:hanging="360"/>
      </w:pPr>
    </w:lvl>
    <w:lvl w:ilvl="8" w:tplc="8266EEBA" w:tentative="1">
      <w:start w:val="1"/>
      <w:numFmt w:val="decimal"/>
      <w:lvlText w:val="%9."/>
      <w:lvlJc w:val="left"/>
      <w:pPr>
        <w:tabs>
          <w:tab w:val="num" w:pos="6480"/>
        </w:tabs>
        <w:ind w:left="6480" w:hanging="360"/>
      </w:p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4F2FD6"/>
    <w:multiLevelType w:val="hybridMultilevel"/>
    <w:tmpl w:val="D2941976"/>
    <w:lvl w:ilvl="0" w:tplc="08DE9BEA">
      <w:start w:val="1"/>
      <w:numFmt w:val="decimal"/>
      <w:lvlText w:val="%1."/>
      <w:lvlJc w:val="left"/>
      <w:pPr>
        <w:tabs>
          <w:tab w:val="num" w:pos="720"/>
        </w:tabs>
        <w:ind w:left="720" w:hanging="360"/>
      </w:pPr>
    </w:lvl>
    <w:lvl w:ilvl="1" w:tplc="D79AE424" w:tentative="1">
      <w:start w:val="1"/>
      <w:numFmt w:val="decimal"/>
      <w:lvlText w:val="%2."/>
      <w:lvlJc w:val="left"/>
      <w:pPr>
        <w:tabs>
          <w:tab w:val="num" w:pos="1440"/>
        </w:tabs>
        <w:ind w:left="1440" w:hanging="360"/>
      </w:pPr>
    </w:lvl>
    <w:lvl w:ilvl="2" w:tplc="E11A2024" w:tentative="1">
      <w:start w:val="1"/>
      <w:numFmt w:val="decimal"/>
      <w:lvlText w:val="%3."/>
      <w:lvlJc w:val="left"/>
      <w:pPr>
        <w:tabs>
          <w:tab w:val="num" w:pos="2160"/>
        </w:tabs>
        <w:ind w:left="2160" w:hanging="360"/>
      </w:pPr>
    </w:lvl>
    <w:lvl w:ilvl="3" w:tplc="8AE026CA" w:tentative="1">
      <w:start w:val="1"/>
      <w:numFmt w:val="decimal"/>
      <w:lvlText w:val="%4."/>
      <w:lvlJc w:val="left"/>
      <w:pPr>
        <w:tabs>
          <w:tab w:val="num" w:pos="2880"/>
        </w:tabs>
        <w:ind w:left="2880" w:hanging="360"/>
      </w:pPr>
    </w:lvl>
    <w:lvl w:ilvl="4" w:tplc="8B1ACC72" w:tentative="1">
      <w:start w:val="1"/>
      <w:numFmt w:val="decimal"/>
      <w:lvlText w:val="%5."/>
      <w:lvlJc w:val="left"/>
      <w:pPr>
        <w:tabs>
          <w:tab w:val="num" w:pos="3600"/>
        </w:tabs>
        <w:ind w:left="3600" w:hanging="360"/>
      </w:pPr>
    </w:lvl>
    <w:lvl w:ilvl="5" w:tplc="BC549706" w:tentative="1">
      <w:start w:val="1"/>
      <w:numFmt w:val="decimal"/>
      <w:lvlText w:val="%6."/>
      <w:lvlJc w:val="left"/>
      <w:pPr>
        <w:tabs>
          <w:tab w:val="num" w:pos="4320"/>
        </w:tabs>
        <w:ind w:left="4320" w:hanging="360"/>
      </w:pPr>
    </w:lvl>
    <w:lvl w:ilvl="6" w:tplc="5FEC7900" w:tentative="1">
      <w:start w:val="1"/>
      <w:numFmt w:val="decimal"/>
      <w:lvlText w:val="%7."/>
      <w:lvlJc w:val="left"/>
      <w:pPr>
        <w:tabs>
          <w:tab w:val="num" w:pos="5040"/>
        </w:tabs>
        <w:ind w:left="5040" w:hanging="360"/>
      </w:pPr>
    </w:lvl>
    <w:lvl w:ilvl="7" w:tplc="851CF916" w:tentative="1">
      <w:start w:val="1"/>
      <w:numFmt w:val="decimal"/>
      <w:lvlText w:val="%8."/>
      <w:lvlJc w:val="left"/>
      <w:pPr>
        <w:tabs>
          <w:tab w:val="num" w:pos="5760"/>
        </w:tabs>
        <w:ind w:left="5760" w:hanging="360"/>
      </w:pPr>
    </w:lvl>
    <w:lvl w:ilvl="8" w:tplc="6908ED82" w:tentative="1">
      <w:start w:val="1"/>
      <w:numFmt w:val="decimal"/>
      <w:lvlText w:val="%9."/>
      <w:lvlJc w:val="left"/>
      <w:pPr>
        <w:tabs>
          <w:tab w:val="num" w:pos="6480"/>
        </w:tabs>
        <w:ind w:left="6480" w:hanging="360"/>
      </w:pPr>
    </w:lvl>
  </w:abstractNum>
  <w:abstractNum w:abstractNumId="24" w15:restartNumberingAfterBreak="0">
    <w:nsid w:val="5D3743E4"/>
    <w:multiLevelType w:val="hybridMultilevel"/>
    <w:tmpl w:val="8D0463A6"/>
    <w:lvl w:ilvl="0" w:tplc="6436D5DC">
      <w:start w:val="1"/>
      <w:numFmt w:val="lowerLetter"/>
      <w:lvlText w:val="%1)"/>
      <w:lvlJc w:val="left"/>
      <w:pPr>
        <w:tabs>
          <w:tab w:val="num" w:pos="720"/>
        </w:tabs>
        <w:ind w:left="720" w:hanging="360"/>
      </w:pPr>
    </w:lvl>
    <w:lvl w:ilvl="1" w:tplc="E7B229DA" w:tentative="1">
      <w:start w:val="1"/>
      <w:numFmt w:val="lowerLetter"/>
      <w:lvlText w:val="%2)"/>
      <w:lvlJc w:val="left"/>
      <w:pPr>
        <w:tabs>
          <w:tab w:val="num" w:pos="1440"/>
        </w:tabs>
        <w:ind w:left="1440" w:hanging="360"/>
      </w:pPr>
    </w:lvl>
    <w:lvl w:ilvl="2" w:tplc="EC40D26C" w:tentative="1">
      <w:start w:val="1"/>
      <w:numFmt w:val="lowerLetter"/>
      <w:lvlText w:val="%3)"/>
      <w:lvlJc w:val="left"/>
      <w:pPr>
        <w:tabs>
          <w:tab w:val="num" w:pos="2160"/>
        </w:tabs>
        <w:ind w:left="2160" w:hanging="360"/>
      </w:pPr>
    </w:lvl>
    <w:lvl w:ilvl="3" w:tplc="027C8F68" w:tentative="1">
      <w:start w:val="1"/>
      <w:numFmt w:val="lowerLetter"/>
      <w:lvlText w:val="%4)"/>
      <w:lvlJc w:val="left"/>
      <w:pPr>
        <w:tabs>
          <w:tab w:val="num" w:pos="2880"/>
        </w:tabs>
        <w:ind w:left="2880" w:hanging="360"/>
      </w:pPr>
    </w:lvl>
    <w:lvl w:ilvl="4" w:tplc="14568A1E" w:tentative="1">
      <w:start w:val="1"/>
      <w:numFmt w:val="lowerLetter"/>
      <w:lvlText w:val="%5)"/>
      <w:lvlJc w:val="left"/>
      <w:pPr>
        <w:tabs>
          <w:tab w:val="num" w:pos="3600"/>
        </w:tabs>
        <w:ind w:left="3600" w:hanging="360"/>
      </w:pPr>
    </w:lvl>
    <w:lvl w:ilvl="5" w:tplc="20EC8224" w:tentative="1">
      <w:start w:val="1"/>
      <w:numFmt w:val="lowerLetter"/>
      <w:lvlText w:val="%6)"/>
      <w:lvlJc w:val="left"/>
      <w:pPr>
        <w:tabs>
          <w:tab w:val="num" w:pos="4320"/>
        </w:tabs>
        <w:ind w:left="4320" w:hanging="360"/>
      </w:pPr>
    </w:lvl>
    <w:lvl w:ilvl="6" w:tplc="170CA8A4" w:tentative="1">
      <w:start w:val="1"/>
      <w:numFmt w:val="lowerLetter"/>
      <w:lvlText w:val="%7)"/>
      <w:lvlJc w:val="left"/>
      <w:pPr>
        <w:tabs>
          <w:tab w:val="num" w:pos="5040"/>
        </w:tabs>
        <w:ind w:left="5040" w:hanging="360"/>
      </w:pPr>
    </w:lvl>
    <w:lvl w:ilvl="7" w:tplc="2C3675B4" w:tentative="1">
      <w:start w:val="1"/>
      <w:numFmt w:val="lowerLetter"/>
      <w:lvlText w:val="%8)"/>
      <w:lvlJc w:val="left"/>
      <w:pPr>
        <w:tabs>
          <w:tab w:val="num" w:pos="5760"/>
        </w:tabs>
        <w:ind w:left="5760" w:hanging="360"/>
      </w:pPr>
    </w:lvl>
    <w:lvl w:ilvl="8" w:tplc="E37A4AC0" w:tentative="1">
      <w:start w:val="1"/>
      <w:numFmt w:val="lowerLetter"/>
      <w:lvlText w:val="%9)"/>
      <w:lvlJc w:val="left"/>
      <w:pPr>
        <w:tabs>
          <w:tab w:val="num" w:pos="6480"/>
        </w:tabs>
        <w:ind w:left="6480" w:hanging="360"/>
      </w:pPr>
    </w:lvl>
  </w:abstractNum>
  <w:abstractNum w:abstractNumId="25" w15:restartNumberingAfterBreak="0">
    <w:nsid w:val="6A341E21"/>
    <w:multiLevelType w:val="hybridMultilevel"/>
    <w:tmpl w:val="D0F49E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667049564">
    <w:abstractNumId w:val="13"/>
  </w:num>
  <w:num w:numId="2" w16cid:durableId="818225712">
    <w:abstractNumId w:val="16"/>
  </w:num>
  <w:num w:numId="3" w16cid:durableId="1870803065">
    <w:abstractNumId w:val="15"/>
  </w:num>
  <w:num w:numId="4" w16cid:durableId="1144616732">
    <w:abstractNumId w:val="5"/>
  </w:num>
  <w:num w:numId="5" w16cid:durableId="979309186">
    <w:abstractNumId w:val="4"/>
  </w:num>
  <w:num w:numId="6" w16cid:durableId="144787752">
    <w:abstractNumId w:val="3"/>
  </w:num>
  <w:num w:numId="7" w16cid:durableId="934556078">
    <w:abstractNumId w:val="18"/>
  </w:num>
  <w:num w:numId="8" w16cid:durableId="816344236">
    <w:abstractNumId w:val="2"/>
  </w:num>
  <w:num w:numId="9" w16cid:durableId="1908612059">
    <w:abstractNumId w:val="1"/>
  </w:num>
  <w:num w:numId="10" w16cid:durableId="1618215078">
    <w:abstractNumId w:val="0"/>
  </w:num>
  <w:num w:numId="11" w16cid:durableId="1850677422">
    <w:abstractNumId w:val="17"/>
  </w:num>
  <w:num w:numId="12" w16cid:durableId="1599946406">
    <w:abstractNumId w:val="7"/>
  </w:num>
  <w:num w:numId="13" w16cid:durableId="714038629">
    <w:abstractNumId w:val="26"/>
  </w:num>
  <w:num w:numId="14" w16cid:durableId="1728914001">
    <w:abstractNumId w:val="14"/>
  </w:num>
  <w:num w:numId="15" w16cid:durableId="1785611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727262">
    <w:abstractNumId w:val="11"/>
  </w:num>
  <w:num w:numId="17" w16cid:durableId="268391646">
    <w:abstractNumId w:val="6"/>
  </w:num>
  <w:num w:numId="18" w16cid:durableId="1261833621">
    <w:abstractNumId w:val="27"/>
  </w:num>
  <w:num w:numId="19" w16cid:durableId="2029670193">
    <w:abstractNumId w:val="19"/>
  </w:num>
  <w:num w:numId="20" w16cid:durableId="887570554">
    <w:abstractNumId w:val="9"/>
  </w:num>
  <w:num w:numId="21" w16cid:durableId="147789394">
    <w:abstractNumId w:val="22"/>
  </w:num>
  <w:num w:numId="22" w16cid:durableId="707530638">
    <w:abstractNumId w:val="23"/>
  </w:num>
  <w:num w:numId="23" w16cid:durableId="871498378">
    <w:abstractNumId w:val="10"/>
  </w:num>
  <w:num w:numId="24" w16cid:durableId="1974672515">
    <w:abstractNumId w:val="21"/>
  </w:num>
  <w:num w:numId="25" w16cid:durableId="1950355610">
    <w:abstractNumId w:val="8"/>
  </w:num>
  <w:num w:numId="26" w16cid:durableId="696271883">
    <w:abstractNumId w:val="12"/>
  </w:num>
  <w:num w:numId="27" w16cid:durableId="17894630">
    <w:abstractNumId w:val="24"/>
  </w:num>
  <w:num w:numId="28" w16cid:durableId="1073311787">
    <w:abstractNumId w:val="25"/>
  </w:num>
  <w:num w:numId="29" w16cid:durableId="10844482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A8A"/>
    <w:rsid w:val="00012366"/>
    <w:rsid w:val="000211AD"/>
    <w:rsid w:val="00021FBE"/>
    <w:rsid w:val="00040022"/>
    <w:rsid w:val="0004378E"/>
    <w:rsid w:val="000464DB"/>
    <w:rsid w:val="00046B9C"/>
    <w:rsid w:val="000521D7"/>
    <w:rsid w:val="00060648"/>
    <w:rsid w:val="00071717"/>
    <w:rsid w:val="00074691"/>
    <w:rsid w:val="00096EA8"/>
    <w:rsid w:val="000A0B58"/>
    <w:rsid w:val="000A363B"/>
    <w:rsid w:val="000A6228"/>
    <w:rsid w:val="000A78DA"/>
    <w:rsid w:val="000B3CB7"/>
    <w:rsid w:val="000B3E54"/>
    <w:rsid w:val="000B483A"/>
    <w:rsid w:val="000B5D40"/>
    <w:rsid w:val="000B7EC6"/>
    <w:rsid w:val="000C3E1E"/>
    <w:rsid w:val="000F6E40"/>
    <w:rsid w:val="00104CCD"/>
    <w:rsid w:val="00105849"/>
    <w:rsid w:val="00106795"/>
    <w:rsid w:val="00107D87"/>
    <w:rsid w:val="00107DD5"/>
    <w:rsid w:val="00111112"/>
    <w:rsid w:val="00115639"/>
    <w:rsid w:val="001208CE"/>
    <w:rsid w:val="0012343A"/>
    <w:rsid w:val="001238A6"/>
    <w:rsid w:val="00133B8D"/>
    <w:rsid w:val="0013611E"/>
    <w:rsid w:val="00141396"/>
    <w:rsid w:val="001454B4"/>
    <w:rsid w:val="001515BF"/>
    <w:rsid w:val="0015451B"/>
    <w:rsid w:val="00162397"/>
    <w:rsid w:val="0017134D"/>
    <w:rsid w:val="0017428B"/>
    <w:rsid w:val="00182746"/>
    <w:rsid w:val="00184804"/>
    <w:rsid w:val="0018646B"/>
    <w:rsid w:val="00191B4C"/>
    <w:rsid w:val="001A4C1E"/>
    <w:rsid w:val="001A564A"/>
    <w:rsid w:val="001B41A4"/>
    <w:rsid w:val="001C1523"/>
    <w:rsid w:val="001C57F3"/>
    <w:rsid w:val="001C6607"/>
    <w:rsid w:val="001C680D"/>
    <w:rsid w:val="001E00EA"/>
    <w:rsid w:val="001E1BBD"/>
    <w:rsid w:val="001E2B73"/>
    <w:rsid w:val="001F0933"/>
    <w:rsid w:val="001F538C"/>
    <w:rsid w:val="0020264B"/>
    <w:rsid w:val="0020674E"/>
    <w:rsid w:val="00207DDB"/>
    <w:rsid w:val="00217665"/>
    <w:rsid w:val="0022036A"/>
    <w:rsid w:val="00221D8F"/>
    <w:rsid w:val="0022312D"/>
    <w:rsid w:val="002272DB"/>
    <w:rsid w:val="00227A7F"/>
    <w:rsid w:val="00236F32"/>
    <w:rsid w:val="0023C10C"/>
    <w:rsid w:val="00242899"/>
    <w:rsid w:val="0024419D"/>
    <w:rsid w:val="002443DC"/>
    <w:rsid w:val="00245435"/>
    <w:rsid w:val="00245C9E"/>
    <w:rsid w:val="002609C9"/>
    <w:rsid w:val="00263182"/>
    <w:rsid w:val="00276047"/>
    <w:rsid w:val="00277A36"/>
    <w:rsid w:val="0028670B"/>
    <w:rsid w:val="00296BB9"/>
    <w:rsid w:val="002A4458"/>
    <w:rsid w:val="002A75ED"/>
    <w:rsid w:val="002B0404"/>
    <w:rsid w:val="002B0B9F"/>
    <w:rsid w:val="002B1FB8"/>
    <w:rsid w:val="002B3875"/>
    <w:rsid w:val="002C3B61"/>
    <w:rsid w:val="002D1BA7"/>
    <w:rsid w:val="002D589A"/>
    <w:rsid w:val="002E16DB"/>
    <w:rsid w:val="002E491A"/>
    <w:rsid w:val="002F0B4F"/>
    <w:rsid w:val="002F5076"/>
    <w:rsid w:val="0030247E"/>
    <w:rsid w:val="00311A40"/>
    <w:rsid w:val="00323B1F"/>
    <w:rsid w:val="0032412B"/>
    <w:rsid w:val="0032599C"/>
    <w:rsid w:val="00326C4A"/>
    <w:rsid w:val="00333E02"/>
    <w:rsid w:val="00334B1F"/>
    <w:rsid w:val="003539ED"/>
    <w:rsid w:val="0035685B"/>
    <w:rsid w:val="00357779"/>
    <w:rsid w:val="00357B19"/>
    <w:rsid w:val="00363402"/>
    <w:rsid w:val="00365BCD"/>
    <w:rsid w:val="00373C2E"/>
    <w:rsid w:val="00381DAC"/>
    <w:rsid w:val="003821B2"/>
    <w:rsid w:val="003832D9"/>
    <w:rsid w:val="003B5FF9"/>
    <w:rsid w:val="003C02FE"/>
    <w:rsid w:val="003C2368"/>
    <w:rsid w:val="003D4014"/>
    <w:rsid w:val="003D5528"/>
    <w:rsid w:val="004001CD"/>
    <w:rsid w:val="0040155D"/>
    <w:rsid w:val="00401601"/>
    <w:rsid w:val="004016D0"/>
    <w:rsid w:val="00403C14"/>
    <w:rsid w:val="0040474A"/>
    <w:rsid w:val="0041070B"/>
    <w:rsid w:val="0041713E"/>
    <w:rsid w:val="00421D3F"/>
    <w:rsid w:val="004226CB"/>
    <w:rsid w:val="00423785"/>
    <w:rsid w:val="0042582A"/>
    <w:rsid w:val="004342F7"/>
    <w:rsid w:val="00436A16"/>
    <w:rsid w:val="0044343D"/>
    <w:rsid w:val="004440FD"/>
    <w:rsid w:val="00445AE9"/>
    <w:rsid w:val="00452D26"/>
    <w:rsid w:val="004654F5"/>
    <w:rsid w:val="00466E7F"/>
    <w:rsid w:val="0047045F"/>
    <w:rsid w:val="0047082B"/>
    <w:rsid w:val="0047421F"/>
    <w:rsid w:val="00477A56"/>
    <w:rsid w:val="0048121E"/>
    <w:rsid w:val="00481FF8"/>
    <w:rsid w:val="00486B6A"/>
    <w:rsid w:val="00491EB7"/>
    <w:rsid w:val="00492505"/>
    <w:rsid w:val="00493B44"/>
    <w:rsid w:val="00494D81"/>
    <w:rsid w:val="00496098"/>
    <w:rsid w:val="004A06CD"/>
    <w:rsid w:val="004A4B6F"/>
    <w:rsid w:val="004A4CF9"/>
    <w:rsid w:val="004A70F2"/>
    <w:rsid w:val="004B3C4F"/>
    <w:rsid w:val="004C1A38"/>
    <w:rsid w:val="004C7D9E"/>
    <w:rsid w:val="004D2965"/>
    <w:rsid w:val="004D2D9D"/>
    <w:rsid w:val="004D4A08"/>
    <w:rsid w:val="004E334E"/>
    <w:rsid w:val="0051162F"/>
    <w:rsid w:val="00513347"/>
    <w:rsid w:val="005172CA"/>
    <w:rsid w:val="005314DE"/>
    <w:rsid w:val="00532385"/>
    <w:rsid w:val="0054174F"/>
    <w:rsid w:val="00542326"/>
    <w:rsid w:val="005771D7"/>
    <w:rsid w:val="0057762A"/>
    <w:rsid w:val="005840B5"/>
    <w:rsid w:val="00587CF1"/>
    <w:rsid w:val="005902A9"/>
    <w:rsid w:val="0059218E"/>
    <w:rsid w:val="0059508D"/>
    <w:rsid w:val="005A64E5"/>
    <w:rsid w:val="005A75C9"/>
    <w:rsid w:val="005B187D"/>
    <w:rsid w:val="005B5A6B"/>
    <w:rsid w:val="005E15DF"/>
    <w:rsid w:val="005E1DB2"/>
    <w:rsid w:val="005E1E42"/>
    <w:rsid w:val="005E6DE2"/>
    <w:rsid w:val="005F774C"/>
    <w:rsid w:val="00616749"/>
    <w:rsid w:val="006232DC"/>
    <w:rsid w:val="006244B3"/>
    <w:rsid w:val="00625111"/>
    <w:rsid w:val="0063094F"/>
    <w:rsid w:val="00632B0E"/>
    <w:rsid w:val="00640A68"/>
    <w:rsid w:val="0064105A"/>
    <w:rsid w:val="00644B4C"/>
    <w:rsid w:val="006476D4"/>
    <w:rsid w:val="00655DA0"/>
    <w:rsid w:val="006562B0"/>
    <w:rsid w:val="00664FB0"/>
    <w:rsid w:val="00674350"/>
    <w:rsid w:val="00683384"/>
    <w:rsid w:val="006873C8"/>
    <w:rsid w:val="006877F6"/>
    <w:rsid w:val="00695D37"/>
    <w:rsid w:val="006A0F5B"/>
    <w:rsid w:val="006A78F7"/>
    <w:rsid w:val="006B337B"/>
    <w:rsid w:val="006B764A"/>
    <w:rsid w:val="006B780E"/>
    <w:rsid w:val="006C3B4F"/>
    <w:rsid w:val="006C4CD1"/>
    <w:rsid w:val="006D1502"/>
    <w:rsid w:val="006D2FA5"/>
    <w:rsid w:val="006D4C5F"/>
    <w:rsid w:val="006D67F3"/>
    <w:rsid w:val="006E1C9F"/>
    <w:rsid w:val="006E3A01"/>
    <w:rsid w:val="006E51FF"/>
    <w:rsid w:val="006E5916"/>
    <w:rsid w:val="006F1FFF"/>
    <w:rsid w:val="006F6D10"/>
    <w:rsid w:val="00703F11"/>
    <w:rsid w:val="00704C37"/>
    <w:rsid w:val="00712B94"/>
    <w:rsid w:val="0071682F"/>
    <w:rsid w:val="007177A0"/>
    <w:rsid w:val="00717CE6"/>
    <w:rsid w:val="00721726"/>
    <w:rsid w:val="00722CF6"/>
    <w:rsid w:val="00725395"/>
    <w:rsid w:val="007321EC"/>
    <w:rsid w:val="00733107"/>
    <w:rsid w:val="00743191"/>
    <w:rsid w:val="00750841"/>
    <w:rsid w:val="0075158F"/>
    <w:rsid w:val="00753891"/>
    <w:rsid w:val="00754E85"/>
    <w:rsid w:val="007610FC"/>
    <w:rsid w:val="00761759"/>
    <w:rsid w:val="00780A60"/>
    <w:rsid w:val="007815D6"/>
    <w:rsid w:val="00784287"/>
    <w:rsid w:val="00785B1E"/>
    <w:rsid w:val="00785F5F"/>
    <w:rsid w:val="007910B8"/>
    <w:rsid w:val="00794CF0"/>
    <w:rsid w:val="007A3FE0"/>
    <w:rsid w:val="007A5BDB"/>
    <w:rsid w:val="007B2C7F"/>
    <w:rsid w:val="007B2CA1"/>
    <w:rsid w:val="007C53E3"/>
    <w:rsid w:val="007C6403"/>
    <w:rsid w:val="007D0ABC"/>
    <w:rsid w:val="007E57D2"/>
    <w:rsid w:val="007E72B2"/>
    <w:rsid w:val="007F47C8"/>
    <w:rsid w:val="007F49C6"/>
    <w:rsid w:val="007F64D8"/>
    <w:rsid w:val="00800A01"/>
    <w:rsid w:val="008042F5"/>
    <w:rsid w:val="008055BE"/>
    <w:rsid w:val="00807090"/>
    <w:rsid w:val="0081332A"/>
    <w:rsid w:val="00814011"/>
    <w:rsid w:val="008242AA"/>
    <w:rsid w:val="008249A7"/>
    <w:rsid w:val="00832B37"/>
    <w:rsid w:val="00837D4D"/>
    <w:rsid w:val="00841709"/>
    <w:rsid w:val="008422BE"/>
    <w:rsid w:val="00843FE5"/>
    <w:rsid w:val="008448F4"/>
    <w:rsid w:val="0084694C"/>
    <w:rsid w:val="00880E8B"/>
    <w:rsid w:val="00884938"/>
    <w:rsid w:val="00886959"/>
    <w:rsid w:val="00893A34"/>
    <w:rsid w:val="00897279"/>
    <w:rsid w:val="008A36E1"/>
    <w:rsid w:val="008A37A7"/>
    <w:rsid w:val="008B0736"/>
    <w:rsid w:val="008C7ABF"/>
    <w:rsid w:val="008C7D98"/>
    <w:rsid w:val="008D1EFA"/>
    <w:rsid w:val="008D227D"/>
    <w:rsid w:val="008D30D3"/>
    <w:rsid w:val="008D426D"/>
    <w:rsid w:val="008D6DBF"/>
    <w:rsid w:val="008E70F5"/>
    <w:rsid w:val="00907453"/>
    <w:rsid w:val="00914D1D"/>
    <w:rsid w:val="00926872"/>
    <w:rsid w:val="00942356"/>
    <w:rsid w:val="00942EDD"/>
    <w:rsid w:val="00950B06"/>
    <w:rsid w:val="00952E7F"/>
    <w:rsid w:val="00956B55"/>
    <w:rsid w:val="00962B84"/>
    <w:rsid w:val="00967511"/>
    <w:rsid w:val="00970069"/>
    <w:rsid w:val="009721EB"/>
    <w:rsid w:val="009826D5"/>
    <w:rsid w:val="009869A7"/>
    <w:rsid w:val="009961E1"/>
    <w:rsid w:val="00996E8C"/>
    <w:rsid w:val="0099755C"/>
    <w:rsid w:val="009A7C6B"/>
    <w:rsid w:val="009B1A42"/>
    <w:rsid w:val="009B2327"/>
    <w:rsid w:val="009B4C9C"/>
    <w:rsid w:val="009B706E"/>
    <w:rsid w:val="009C423A"/>
    <w:rsid w:val="009C5B9B"/>
    <w:rsid w:val="009C617C"/>
    <w:rsid w:val="009D4189"/>
    <w:rsid w:val="009D5590"/>
    <w:rsid w:val="009E30F4"/>
    <w:rsid w:val="009E5956"/>
    <w:rsid w:val="009E79ED"/>
    <w:rsid w:val="00A07596"/>
    <w:rsid w:val="00A10D4E"/>
    <w:rsid w:val="00A12461"/>
    <w:rsid w:val="00A17A08"/>
    <w:rsid w:val="00A17CE4"/>
    <w:rsid w:val="00A4163C"/>
    <w:rsid w:val="00A418E2"/>
    <w:rsid w:val="00A449FA"/>
    <w:rsid w:val="00A47165"/>
    <w:rsid w:val="00A53BD8"/>
    <w:rsid w:val="00A60673"/>
    <w:rsid w:val="00A61DFB"/>
    <w:rsid w:val="00A63167"/>
    <w:rsid w:val="00A653B3"/>
    <w:rsid w:val="00A705E7"/>
    <w:rsid w:val="00A77F52"/>
    <w:rsid w:val="00A804E6"/>
    <w:rsid w:val="00A81B86"/>
    <w:rsid w:val="00A8320E"/>
    <w:rsid w:val="00A84CA4"/>
    <w:rsid w:val="00A87A4D"/>
    <w:rsid w:val="00A90FBC"/>
    <w:rsid w:val="00A95B73"/>
    <w:rsid w:val="00AA1EE5"/>
    <w:rsid w:val="00AC1872"/>
    <w:rsid w:val="00AC6C2F"/>
    <w:rsid w:val="00AC7CAA"/>
    <w:rsid w:val="00AD0839"/>
    <w:rsid w:val="00AD270A"/>
    <w:rsid w:val="00AD631F"/>
    <w:rsid w:val="00AE1279"/>
    <w:rsid w:val="00AE21FF"/>
    <w:rsid w:val="00AF1F18"/>
    <w:rsid w:val="00AF47C1"/>
    <w:rsid w:val="00B00802"/>
    <w:rsid w:val="00B0726E"/>
    <w:rsid w:val="00B10955"/>
    <w:rsid w:val="00B1201C"/>
    <w:rsid w:val="00B15231"/>
    <w:rsid w:val="00B15EF8"/>
    <w:rsid w:val="00B219D1"/>
    <w:rsid w:val="00B2454C"/>
    <w:rsid w:val="00B259F8"/>
    <w:rsid w:val="00B43C04"/>
    <w:rsid w:val="00B443AF"/>
    <w:rsid w:val="00B52209"/>
    <w:rsid w:val="00B57A46"/>
    <w:rsid w:val="00B6601C"/>
    <w:rsid w:val="00B7481C"/>
    <w:rsid w:val="00B77B77"/>
    <w:rsid w:val="00B81FA4"/>
    <w:rsid w:val="00B86B04"/>
    <w:rsid w:val="00B8794C"/>
    <w:rsid w:val="00B91C66"/>
    <w:rsid w:val="00B95EF4"/>
    <w:rsid w:val="00BA24C1"/>
    <w:rsid w:val="00BB1D72"/>
    <w:rsid w:val="00BB6509"/>
    <w:rsid w:val="00BC081B"/>
    <w:rsid w:val="00BC248C"/>
    <w:rsid w:val="00BC345F"/>
    <w:rsid w:val="00BD0B24"/>
    <w:rsid w:val="00BE3233"/>
    <w:rsid w:val="00BE32EE"/>
    <w:rsid w:val="00BE3A02"/>
    <w:rsid w:val="00BF3562"/>
    <w:rsid w:val="00BF564D"/>
    <w:rsid w:val="00C01D80"/>
    <w:rsid w:val="00C01EC0"/>
    <w:rsid w:val="00C04409"/>
    <w:rsid w:val="00C17E58"/>
    <w:rsid w:val="00C244EE"/>
    <w:rsid w:val="00C31A9E"/>
    <w:rsid w:val="00C401E3"/>
    <w:rsid w:val="00C55C3A"/>
    <w:rsid w:val="00C72224"/>
    <w:rsid w:val="00C75706"/>
    <w:rsid w:val="00C75E9C"/>
    <w:rsid w:val="00C7643D"/>
    <w:rsid w:val="00C775C3"/>
    <w:rsid w:val="00C84F59"/>
    <w:rsid w:val="00C92860"/>
    <w:rsid w:val="00C9694D"/>
    <w:rsid w:val="00CA0908"/>
    <w:rsid w:val="00CA4815"/>
    <w:rsid w:val="00CB2147"/>
    <w:rsid w:val="00CB4659"/>
    <w:rsid w:val="00CB79B9"/>
    <w:rsid w:val="00CC39AC"/>
    <w:rsid w:val="00CC4B7E"/>
    <w:rsid w:val="00CC5E03"/>
    <w:rsid w:val="00CD0FE3"/>
    <w:rsid w:val="00CE49E7"/>
    <w:rsid w:val="00CF3A01"/>
    <w:rsid w:val="00CF5B77"/>
    <w:rsid w:val="00CF6562"/>
    <w:rsid w:val="00D028B6"/>
    <w:rsid w:val="00D07966"/>
    <w:rsid w:val="00D10058"/>
    <w:rsid w:val="00D11820"/>
    <w:rsid w:val="00D12F6F"/>
    <w:rsid w:val="00D330CF"/>
    <w:rsid w:val="00D43C7C"/>
    <w:rsid w:val="00D53EC7"/>
    <w:rsid w:val="00D5688A"/>
    <w:rsid w:val="00D576B2"/>
    <w:rsid w:val="00D57F3B"/>
    <w:rsid w:val="00D61128"/>
    <w:rsid w:val="00D82DF5"/>
    <w:rsid w:val="00D8384A"/>
    <w:rsid w:val="00D86284"/>
    <w:rsid w:val="00D86EED"/>
    <w:rsid w:val="00D87FC8"/>
    <w:rsid w:val="00D911CF"/>
    <w:rsid w:val="00DA2E48"/>
    <w:rsid w:val="00DA6E4A"/>
    <w:rsid w:val="00DA7FFB"/>
    <w:rsid w:val="00DB480F"/>
    <w:rsid w:val="00DC3069"/>
    <w:rsid w:val="00DC491E"/>
    <w:rsid w:val="00DC5980"/>
    <w:rsid w:val="00DD2B46"/>
    <w:rsid w:val="00DF6A92"/>
    <w:rsid w:val="00DF7C35"/>
    <w:rsid w:val="00E01334"/>
    <w:rsid w:val="00E03A46"/>
    <w:rsid w:val="00E05279"/>
    <w:rsid w:val="00E06A33"/>
    <w:rsid w:val="00E06ED6"/>
    <w:rsid w:val="00E07D93"/>
    <w:rsid w:val="00E14250"/>
    <w:rsid w:val="00E151BF"/>
    <w:rsid w:val="00E17FF8"/>
    <w:rsid w:val="00E20CE6"/>
    <w:rsid w:val="00E250AC"/>
    <w:rsid w:val="00E25A77"/>
    <w:rsid w:val="00E431DB"/>
    <w:rsid w:val="00E44802"/>
    <w:rsid w:val="00E46432"/>
    <w:rsid w:val="00E50DC2"/>
    <w:rsid w:val="00E529E5"/>
    <w:rsid w:val="00E551D0"/>
    <w:rsid w:val="00E5542B"/>
    <w:rsid w:val="00E5632A"/>
    <w:rsid w:val="00E6194C"/>
    <w:rsid w:val="00E61F82"/>
    <w:rsid w:val="00E62EBB"/>
    <w:rsid w:val="00E63B3C"/>
    <w:rsid w:val="00E72620"/>
    <w:rsid w:val="00E74085"/>
    <w:rsid w:val="00E741A6"/>
    <w:rsid w:val="00E747C1"/>
    <w:rsid w:val="00E76CF0"/>
    <w:rsid w:val="00E86C1E"/>
    <w:rsid w:val="00E871CA"/>
    <w:rsid w:val="00E87D1E"/>
    <w:rsid w:val="00E97338"/>
    <w:rsid w:val="00EA0027"/>
    <w:rsid w:val="00EA0DA0"/>
    <w:rsid w:val="00EB020E"/>
    <w:rsid w:val="00EB27E9"/>
    <w:rsid w:val="00EB41F6"/>
    <w:rsid w:val="00EB4C2F"/>
    <w:rsid w:val="00EC5D2E"/>
    <w:rsid w:val="00ED0DDF"/>
    <w:rsid w:val="00ED22E5"/>
    <w:rsid w:val="00ED4D64"/>
    <w:rsid w:val="00ED54F7"/>
    <w:rsid w:val="00EE3AE8"/>
    <w:rsid w:val="00EF6C79"/>
    <w:rsid w:val="00F00F29"/>
    <w:rsid w:val="00F01C5F"/>
    <w:rsid w:val="00F03EE2"/>
    <w:rsid w:val="00F1000D"/>
    <w:rsid w:val="00F14CC0"/>
    <w:rsid w:val="00F20AAA"/>
    <w:rsid w:val="00F20E56"/>
    <w:rsid w:val="00F266A9"/>
    <w:rsid w:val="00F311A4"/>
    <w:rsid w:val="00F33E8D"/>
    <w:rsid w:val="00F47C25"/>
    <w:rsid w:val="00F4AA0E"/>
    <w:rsid w:val="00F50FF7"/>
    <w:rsid w:val="00F55B61"/>
    <w:rsid w:val="00F57163"/>
    <w:rsid w:val="00F62E75"/>
    <w:rsid w:val="00F65279"/>
    <w:rsid w:val="00F77B4E"/>
    <w:rsid w:val="00F81E5E"/>
    <w:rsid w:val="00F82C2C"/>
    <w:rsid w:val="00F83BD2"/>
    <w:rsid w:val="00F85913"/>
    <w:rsid w:val="00F9166B"/>
    <w:rsid w:val="00FA70B4"/>
    <w:rsid w:val="00FB4577"/>
    <w:rsid w:val="00FB5258"/>
    <w:rsid w:val="00FC2616"/>
    <w:rsid w:val="00FC7F49"/>
    <w:rsid w:val="00FD1086"/>
    <w:rsid w:val="00FD4D6E"/>
    <w:rsid w:val="00FD6383"/>
    <w:rsid w:val="00FE6BE0"/>
    <w:rsid w:val="00FE6F14"/>
    <w:rsid w:val="00FF5BC8"/>
    <w:rsid w:val="013E7196"/>
    <w:rsid w:val="02107C7E"/>
    <w:rsid w:val="03BFEB8A"/>
    <w:rsid w:val="03FC28F2"/>
    <w:rsid w:val="042C077B"/>
    <w:rsid w:val="04B5C90B"/>
    <w:rsid w:val="05159A64"/>
    <w:rsid w:val="05BE6FB4"/>
    <w:rsid w:val="06EF93FB"/>
    <w:rsid w:val="0738A80D"/>
    <w:rsid w:val="07A03FB6"/>
    <w:rsid w:val="0865B3EF"/>
    <w:rsid w:val="08C2BD0D"/>
    <w:rsid w:val="0A2ED4ED"/>
    <w:rsid w:val="0A7D6641"/>
    <w:rsid w:val="0A90F781"/>
    <w:rsid w:val="0AE9BEE6"/>
    <w:rsid w:val="0BD4E165"/>
    <w:rsid w:val="0C074BA8"/>
    <w:rsid w:val="0C1589CB"/>
    <w:rsid w:val="0CA535CA"/>
    <w:rsid w:val="0DFDF7AB"/>
    <w:rsid w:val="0E1BD28E"/>
    <w:rsid w:val="0E7DA9E8"/>
    <w:rsid w:val="0ED37D0E"/>
    <w:rsid w:val="0F4DCD95"/>
    <w:rsid w:val="0F6C650F"/>
    <w:rsid w:val="0FB0AEB2"/>
    <w:rsid w:val="0FB7A71F"/>
    <w:rsid w:val="105127E6"/>
    <w:rsid w:val="113588AE"/>
    <w:rsid w:val="1164E22E"/>
    <w:rsid w:val="11DF0D3A"/>
    <w:rsid w:val="120CAA63"/>
    <w:rsid w:val="12E0D0FD"/>
    <w:rsid w:val="13181CCC"/>
    <w:rsid w:val="13324436"/>
    <w:rsid w:val="1370C9AB"/>
    <w:rsid w:val="138867C2"/>
    <w:rsid w:val="143BDDBB"/>
    <w:rsid w:val="1489D140"/>
    <w:rsid w:val="14A452A3"/>
    <w:rsid w:val="14C2AB36"/>
    <w:rsid w:val="1501B163"/>
    <w:rsid w:val="15810A80"/>
    <w:rsid w:val="163F7D48"/>
    <w:rsid w:val="169CB853"/>
    <w:rsid w:val="179B83E2"/>
    <w:rsid w:val="17F9AE24"/>
    <w:rsid w:val="1821832C"/>
    <w:rsid w:val="1973FCF7"/>
    <w:rsid w:val="1AEFCF5E"/>
    <w:rsid w:val="1B3516C1"/>
    <w:rsid w:val="1B5D7C28"/>
    <w:rsid w:val="1CA54920"/>
    <w:rsid w:val="1CB7F147"/>
    <w:rsid w:val="1CC45061"/>
    <w:rsid w:val="1D3FEC24"/>
    <w:rsid w:val="1D5F24C5"/>
    <w:rsid w:val="1DA297C0"/>
    <w:rsid w:val="1E8B3019"/>
    <w:rsid w:val="1EBA78C3"/>
    <w:rsid w:val="1F025D60"/>
    <w:rsid w:val="2020C620"/>
    <w:rsid w:val="202782BB"/>
    <w:rsid w:val="2038A213"/>
    <w:rsid w:val="204BF6BB"/>
    <w:rsid w:val="20784A9B"/>
    <w:rsid w:val="20874DCA"/>
    <w:rsid w:val="209E263C"/>
    <w:rsid w:val="20D78212"/>
    <w:rsid w:val="20F60617"/>
    <w:rsid w:val="227F95C8"/>
    <w:rsid w:val="2318B73B"/>
    <w:rsid w:val="238A9B84"/>
    <w:rsid w:val="23DDB980"/>
    <w:rsid w:val="23F91B2A"/>
    <w:rsid w:val="24D62488"/>
    <w:rsid w:val="25B6BEC9"/>
    <w:rsid w:val="25E28C0D"/>
    <w:rsid w:val="26D9A005"/>
    <w:rsid w:val="27653E3C"/>
    <w:rsid w:val="2766EEA1"/>
    <w:rsid w:val="27DB0880"/>
    <w:rsid w:val="27E65278"/>
    <w:rsid w:val="2846700D"/>
    <w:rsid w:val="2873A280"/>
    <w:rsid w:val="28ACF2DD"/>
    <w:rsid w:val="28E09672"/>
    <w:rsid w:val="29A68176"/>
    <w:rsid w:val="29B5E471"/>
    <w:rsid w:val="29D417F5"/>
    <w:rsid w:val="29E34D24"/>
    <w:rsid w:val="2A03B430"/>
    <w:rsid w:val="2A26740C"/>
    <w:rsid w:val="2A408728"/>
    <w:rsid w:val="2A7F4771"/>
    <w:rsid w:val="2A817E84"/>
    <w:rsid w:val="2AF81711"/>
    <w:rsid w:val="2BF04B9A"/>
    <w:rsid w:val="2CF64730"/>
    <w:rsid w:val="2DF311F3"/>
    <w:rsid w:val="2EF5EFE9"/>
    <w:rsid w:val="2FA84F54"/>
    <w:rsid w:val="2FEEA5F7"/>
    <w:rsid w:val="300FF233"/>
    <w:rsid w:val="311023F4"/>
    <w:rsid w:val="313A8384"/>
    <w:rsid w:val="313FE07F"/>
    <w:rsid w:val="31474DB8"/>
    <w:rsid w:val="32819ED3"/>
    <w:rsid w:val="32FDE632"/>
    <w:rsid w:val="33DE5715"/>
    <w:rsid w:val="34E7C584"/>
    <w:rsid w:val="3547E097"/>
    <w:rsid w:val="365C533B"/>
    <w:rsid w:val="36EA6BD1"/>
    <w:rsid w:val="3707B302"/>
    <w:rsid w:val="370BF07E"/>
    <w:rsid w:val="37B5F0B4"/>
    <w:rsid w:val="39066786"/>
    <w:rsid w:val="39C5686D"/>
    <w:rsid w:val="39E062BF"/>
    <w:rsid w:val="39F867AD"/>
    <w:rsid w:val="3AB8017B"/>
    <w:rsid w:val="3CCCE7CF"/>
    <w:rsid w:val="3CFAD7DD"/>
    <w:rsid w:val="3D2335F4"/>
    <w:rsid w:val="3D5A9538"/>
    <w:rsid w:val="3D80EDA0"/>
    <w:rsid w:val="3DE1C3BD"/>
    <w:rsid w:val="3E5A720C"/>
    <w:rsid w:val="3EA9E7D6"/>
    <w:rsid w:val="3F3C7434"/>
    <w:rsid w:val="3FAC842F"/>
    <w:rsid w:val="408811E2"/>
    <w:rsid w:val="413B2CF4"/>
    <w:rsid w:val="42272D87"/>
    <w:rsid w:val="422D3039"/>
    <w:rsid w:val="42863E30"/>
    <w:rsid w:val="42FBF2BE"/>
    <w:rsid w:val="430070E8"/>
    <w:rsid w:val="43CF5AC4"/>
    <w:rsid w:val="43E46BF4"/>
    <w:rsid w:val="44875865"/>
    <w:rsid w:val="44C46AC8"/>
    <w:rsid w:val="45765988"/>
    <w:rsid w:val="46478B71"/>
    <w:rsid w:val="46F1FBC4"/>
    <w:rsid w:val="475BB973"/>
    <w:rsid w:val="477D418B"/>
    <w:rsid w:val="47BD8FE8"/>
    <w:rsid w:val="48123957"/>
    <w:rsid w:val="482430BE"/>
    <w:rsid w:val="48B5C7C7"/>
    <w:rsid w:val="4902BFC5"/>
    <w:rsid w:val="4911FB07"/>
    <w:rsid w:val="49352AC4"/>
    <w:rsid w:val="4941EA5B"/>
    <w:rsid w:val="49C31D7D"/>
    <w:rsid w:val="49D56C98"/>
    <w:rsid w:val="4A0E7BB1"/>
    <w:rsid w:val="4A39CA3E"/>
    <w:rsid w:val="4A69D07A"/>
    <w:rsid w:val="4A6DBB09"/>
    <w:rsid w:val="4A72382E"/>
    <w:rsid w:val="4A9CD29B"/>
    <w:rsid w:val="4AB57B82"/>
    <w:rsid w:val="4AF50DC7"/>
    <w:rsid w:val="4B27D61C"/>
    <w:rsid w:val="4B4C8F2E"/>
    <w:rsid w:val="4BCBD0AF"/>
    <w:rsid w:val="4C3E3A73"/>
    <w:rsid w:val="4E000882"/>
    <w:rsid w:val="4EF9B78F"/>
    <w:rsid w:val="4F0E29A7"/>
    <w:rsid w:val="4F98AE43"/>
    <w:rsid w:val="50286F9E"/>
    <w:rsid w:val="5067BD9C"/>
    <w:rsid w:val="507C7A9F"/>
    <w:rsid w:val="5099FAE7"/>
    <w:rsid w:val="5130DFF3"/>
    <w:rsid w:val="52239785"/>
    <w:rsid w:val="523A9792"/>
    <w:rsid w:val="527824A8"/>
    <w:rsid w:val="531C8B0F"/>
    <w:rsid w:val="53369194"/>
    <w:rsid w:val="53AB5FE4"/>
    <w:rsid w:val="542F36AF"/>
    <w:rsid w:val="5437C475"/>
    <w:rsid w:val="5464342D"/>
    <w:rsid w:val="567A1C12"/>
    <w:rsid w:val="56F51EAD"/>
    <w:rsid w:val="57FEF70B"/>
    <w:rsid w:val="5821EB5B"/>
    <w:rsid w:val="5935E75E"/>
    <w:rsid w:val="599505F5"/>
    <w:rsid w:val="59ABD457"/>
    <w:rsid w:val="5A1DB9FC"/>
    <w:rsid w:val="5ADD2BF7"/>
    <w:rsid w:val="5AFA5FD0"/>
    <w:rsid w:val="5B75A731"/>
    <w:rsid w:val="5C4C6C98"/>
    <w:rsid w:val="5EBFDC56"/>
    <w:rsid w:val="5EF73447"/>
    <w:rsid w:val="5FA9B0AE"/>
    <w:rsid w:val="60865AA1"/>
    <w:rsid w:val="60B7F47D"/>
    <w:rsid w:val="60D528F8"/>
    <w:rsid w:val="614CD6AE"/>
    <w:rsid w:val="619219B1"/>
    <w:rsid w:val="63D6433A"/>
    <w:rsid w:val="63DB067C"/>
    <w:rsid w:val="63F93561"/>
    <w:rsid w:val="6421D8D0"/>
    <w:rsid w:val="642ECC4B"/>
    <w:rsid w:val="644F95B0"/>
    <w:rsid w:val="65D8A008"/>
    <w:rsid w:val="661F85A3"/>
    <w:rsid w:val="665A5B7A"/>
    <w:rsid w:val="667DF8E5"/>
    <w:rsid w:val="66917087"/>
    <w:rsid w:val="66BAA754"/>
    <w:rsid w:val="67B2BA0C"/>
    <w:rsid w:val="67F6888E"/>
    <w:rsid w:val="68AF35E6"/>
    <w:rsid w:val="69084451"/>
    <w:rsid w:val="691EFE6A"/>
    <w:rsid w:val="69DC27AF"/>
    <w:rsid w:val="6A6BA514"/>
    <w:rsid w:val="6A6E79F9"/>
    <w:rsid w:val="6A931DD7"/>
    <w:rsid w:val="6AC44F1F"/>
    <w:rsid w:val="6ADD7B9C"/>
    <w:rsid w:val="6B38F0C9"/>
    <w:rsid w:val="6BDE166F"/>
    <w:rsid w:val="6C61FB9D"/>
    <w:rsid w:val="6CE16429"/>
    <w:rsid w:val="6CFFEA37"/>
    <w:rsid w:val="6D48772D"/>
    <w:rsid w:val="6DB44DD2"/>
    <w:rsid w:val="6DB6EC53"/>
    <w:rsid w:val="6E53F8B7"/>
    <w:rsid w:val="6E7161ED"/>
    <w:rsid w:val="6E7A08B0"/>
    <w:rsid w:val="6E981068"/>
    <w:rsid w:val="6F717751"/>
    <w:rsid w:val="6F7FD014"/>
    <w:rsid w:val="6FBF2358"/>
    <w:rsid w:val="6FF554CF"/>
    <w:rsid w:val="70499952"/>
    <w:rsid w:val="70F6ED48"/>
    <w:rsid w:val="719BD97F"/>
    <w:rsid w:val="71DB4314"/>
    <w:rsid w:val="724439BA"/>
    <w:rsid w:val="7259837D"/>
    <w:rsid w:val="73D7D7EC"/>
    <w:rsid w:val="74150A52"/>
    <w:rsid w:val="7453A25D"/>
    <w:rsid w:val="751BC023"/>
    <w:rsid w:val="759B0661"/>
    <w:rsid w:val="75DF6C12"/>
    <w:rsid w:val="75E8FD72"/>
    <w:rsid w:val="767AC9AB"/>
    <w:rsid w:val="76E3DC74"/>
    <w:rsid w:val="76EECFFF"/>
    <w:rsid w:val="773FD0F6"/>
    <w:rsid w:val="77515E60"/>
    <w:rsid w:val="77B1F0BC"/>
    <w:rsid w:val="77E9E415"/>
    <w:rsid w:val="77FF293D"/>
    <w:rsid w:val="78508565"/>
    <w:rsid w:val="79ACAE16"/>
    <w:rsid w:val="7ADC1F38"/>
    <w:rsid w:val="7B131DDE"/>
    <w:rsid w:val="7B1E1CB8"/>
    <w:rsid w:val="7BD8D194"/>
    <w:rsid w:val="7C003E06"/>
    <w:rsid w:val="7C202F40"/>
    <w:rsid w:val="7D406975"/>
    <w:rsid w:val="7DB0071A"/>
    <w:rsid w:val="7DD857FD"/>
    <w:rsid w:val="7DDB2F3B"/>
    <w:rsid w:val="7E101D67"/>
    <w:rsid w:val="7EF12634"/>
    <w:rsid w:val="7F1B1EF7"/>
    <w:rsid w:val="7F85E3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A9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EB020E"/>
    <w:pPr>
      <w:keepNext/>
      <w:keepLines/>
      <w:spacing w:before="1440" w:after="0" w:line="640" w:lineRule="exact"/>
      <w:outlineLvl w:val="0"/>
    </w:pPr>
    <w:rPr>
      <w:rFonts w:ascii="Calibri" w:eastAsiaTheme="majorEastAsia" w:hAnsi="Calibri" w:cstheme="majorBidi"/>
      <w:b/>
      <w:color w:val="00254A" w:themeColor="text2"/>
      <w:sz w:val="56"/>
      <w:szCs w:val="28"/>
    </w:rPr>
  </w:style>
  <w:style w:type="paragraph" w:styleId="Heading2">
    <w:name w:val="heading 2"/>
    <w:basedOn w:val="Normal"/>
    <w:next w:val="Normal"/>
    <w:link w:val="Heading2Char"/>
    <w:uiPriority w:val="9"/>
    <w:unhideWhenUsed/>
    <w:qFormat/>
    <w:rsid w:val="00EB020E"/>
    <w:pPr>
      <w:keepNext/>
      <w:keepLines/>
      <w:spacing w:before="24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020E"/>
    <w:rPr>
      <w:rFonts w:ascii="Calibri" w:eastAsiaTheme="majorEastAsia" w:hAnsi="Calibri" w:cstheme="majorBidi"/>
      <w:b/>
      <w:color w:val="00254A" w:themeColor="text2"/>
      <w:sz w:val="56"/>
      <w:szCs w:val="28"/>
    </w:rPr>
  </w:style>
  <w:style w:type="character" w:customStyle="1" w:styleId="Heading2Char">
    <w:name w:val="Heading 2 Char"/>
    <w:basedOn w:val="DefaultParagraphFont"/>
    <w:link w:val="Heading2"/>
    <w:uiPriority w:val="9"/>
    <w:rsid w:val="00EB020E"/>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1"/>
      </w:numPr>
      <w:spacing w:after="200"/>
      <w:contextualSpacing/>
    </w:pPr>
  </w:style>
  <w:style w:type="paragraph" w:styleId="List2">
    <w:name w:val="List 2"/>
    <w:basedOn w:val="Normal"/>
    <w:uiPriority w:val="98"/>
    <w:qFormat/>
    <w:rsid w:val="00F85913"/>
    <w:pPr>
      <w:numPr>
        <w:ilvl w:val="1"/>
        <w:numId w:val="21"/>
      </w:numPr>
      <w:spacing w:after="200"/>
      <w:contextualSpacing/>
    </w:pPr>
  </w:style>
  <w:style w:type="paragraph" w:styleId="List3">
    <w:name w:val="List 3"/>
    <w:basedOn w:val="Normal"/>
    <w:uiPriority w:val="98"/>
    <w:qFormat/>
    <w:rsid w:val="00BC248C"/>
    <w:pPr>
      <w:numPr>
        <w:ilvl w:val="2"/>
        <w:numId w:val="21"/>
      </w:numPr>
      <w:spacing w:after="200"/>
      <w:contextualSpacing/>
    </w:pPr>
  </w:style>
  <w:style w:type="paragraph" w:styleId="List4">
    <w:name w:val="List 4"/>
    <w:basedOn w:val="Normal"/>
    <w:uiPriority w:val="98"/>
    <w:qFormat/>
    <w:rsid w:val="00BC248C"/>
    <w:pPr>
      <w:numPr>
        <w:ilvl w:val="3"/>
        <w:numId w:val="21"/>
      </w:numPr>
      <w:spacing w:after="200"/>
      <w:contextualSpacing/>
    </w:pPr>
  </w:style>
  <w:style w:type="paragraph" w:styleId="ListNumber">
    <w:name w:val="List Number"/>
    <w:basedOn w:val="Normal"/>
    <w:uiPriority w:val="98"/>
    <w:qFormat/>
    <w:rsid w:val="00276047"/>
    <w:pPr>
      <w:numPr>
        <w:numId w:val="7"/>
      </w:numPr>
      <w:spacing w:after="200"/>
      <w:contextualSpacing/>
    </w:pPr>
  </w:style>
  <w:style w:type="paragraph" w:styleId="ListNumber2">
    <w:name w:val="List Number 2"/>
    <w:basedOn w:val="Normal"/>
    <w:uiPriority w:val="98"/>
    <w:qFormat/>
    <w:rsid w:val="00276047"/>
    <w:pPr>
      <w:numPr>
        <w:ilvl w:val="1"/>
        <w:numId w:val="7"/>
      </w:numPr>
      <w:spacing w:after="200"/>
      <w:contextualSpacing/>
    </w:pPr>
  </w:style>
  <w:style w:type="paragraph" w:styleId="ListBullet3">
    <w:name w:val="List Bullet 3"/>
    <w:basedOn w:val="Normal"/>
    <w:uiPriority w:val="98"/>
    <w:qFormat/>
    <w:rsid w:val="008A36E1"/>
    <w:pPr>
      <w:numPr>
        <w:numId w:val="18"/>
      </w:numPr>
      <w:spacing w:after="200"/>
      <w:ind w:left="851" w:hanging="284"/>
      <w:contextualSpacing/>
    </w:pPr>
  </w:style>
  <w:style w:type="paragraph" w:styleId="ListNumber3">
    <w:name w:val="List Number 3"/>
    <w:basedOn w:val="Normal"/>
    <w:uiPriority w:val="98"/>
    <w:qFormat/>
    <w:rsid w:val="00950B06"/>
    <w:pPr>
      <w:numPr>
        <w:ilvl w:val="2"/>
        <w:numId w:val="7"/>
      </w:numPr>
      <w:spacing w:after="200"/>
      <w:contextualSpacing/>
    </w:pPr>
  </w:style>
  <w:style w:type="paragraph" w:styleId="ListNumber4">
    <w:name w:val="List Number 4"/>
    <w:basedOn w:val="Normal"/>
    <w:uiPriority w:val="98"/>
    <w:qFormat/>
    <w:rsid w:val="0012343A"/>
    <w:pPr>
      <w:numPr>
        <w:ilvl w:val="3"/>
        <w:numId w:val="7"/>
      </w:numPr>
      <w:spacing w:after="200"/>
      <w:contextualSpacing/>
    </w:pPr>
  </w:style>
  <w:style w:type="paragraph" w:styleId="ListBullet">
    <w:name w:val="List Bullet"/>
    <w:basedOn w:val="Normal"/>
    <w:uiPriority w:val="98"/>
    <w:qFormat/>
    <w:rsid w:val="008A36E1"/>
    <w:pPr>
      <w:numPr>
        <w:numId w:val="3"/>
      </w:numPr>
      <w:spacing w:after="200"/>
      <w:ind w:left="284" w:hanging="284"/>
      <w:contextualSpacing/>
    </w:pPr>
  </w:style>
  <w:style w:type="paragraph" w:styleId="ListBullet2">
    <w:name w:val="List Bullet 2"/>
    <w:basedOn w:val="Normal"/>
    <w:uiPriority w:val="98"/>
    <w:qFormat/>
    <w:rsid w:val="00C75706"/>
    <w:pPr>
      <w:numPr>
        <w:ilvl w:val="1"/>
        <w:numId w:val="3"/>
      </w:numPr>
      <w:spacing w:after="200"/>
      <w:ind w:left="568" w:hanging="284"/>
      <w:contextualSpacing/>
    </w:pPr>
  </w:style>
  <w:style w:type="paragraph" w:styleId="ListBullet4">
    <w:name w:val="List Bullet 4"/>
    <w:basedOn w:val="Normal"/>
    <w:uiPriority w:val="98"/>
    <w:qFormat/>
    <w:rsid w:val="00C75706"/>
    <w:pPr>
      <w:numPr>
        <w:numId w:val="16"/>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1C57F3"/>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10058"/>
    <w:pPr>
      <w:spacing w:after="0" w:line="240" w:lineRule="auto"/>
    </w:pPr>
  </w:style>
  <w:style w:type="paragraph" w:styleId="CommentSubject">
    <w:name w:val="annotation subject"/>
    <w:basedOn w:val="CommentText"/>
    <w:next w:val="CommentText"/>
    <w:link w:val="CommentSubjectChar"/>
    <w:uiPriority w:val="99"/>
    <w:semiHidden/>
    <w:unhideWhenUsed/>
    <w:rsid w:val="00DF6A92"/>
    <w:rPr>
      <w:b/>
      <w:bCs/>
    </w:rPr>
  </w:style>
  <w:style w:type="character" w:customStyle="1" w:styleId="CommentSubjectChar">
    <w:name w:val="Comment Subject Char"/>
    <w:basedOn w:val="CommentTextChar"/>
    <w:link w:val="CommentSubject"/>
    <w:uiPriority w:val="99"/>
    <w:semiHidden/>
    <w:rsid w:val="00DF6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161">
      <w:bodyDiv w:val="1"/>
      <w:marLeft w:val="0"/>
      <w:marRight w:val="0"/>
      <w:marTop w:val="0"/>
      <w:marBottom w:val="0"/>
      <w:divBdr>
        <w:top w:val="none" w:sz="0" w:space="0" w:color="auto"/>
        <w:left w:val="none" w:sz="0" w:space="0" w:color="auto"/>
        <w:bottom w:val="none" w:sz="0" w:space="0" w:color="auto"/>
        <w:right w:val="none" w:sz="0" w:space="0" w:color="auto"/>
      </w:divBdr>
    </w:div>
    <w:div w:id="60713019">
      <w:bodyDiv w:val="1"/>
      <w:marLeft w:val="0"/>
      <w:marRight w:val="0"/>
      <w:marTop w:val="0"/>
      <w:marBottom w:val="0"/>
      <w:divBdr>
        <w:top w:val="none" w:sz="0" w:space="0" w:color="auto"/>
        <w:left w:val="none" w:sz="0" w:space="0" w:color="auto"/>
        <w:bottom w:val="none" w:sz="0" w:space="0" w:color="auto"/>
        <w:right w:val="none" w:sz="0" w:space="0" w:color="auto"/>
      </w:divBdr>
    </w:div>
    <w:div w:id="109131437">
      <w:bodyDiv w:val="1"/>
      <w:marLeft w:val="0"/>
      <w:marRight w:val="0"/>
      <w:marTop w:val="0"/>
      <w:marBottom w:val="0"/>
      <w:divBdr>
        <w:top w:val="none" w:sz="0" w:space="0" w:color="auto"/>
        <w:left w:val="none" w:sz="0" w:space="0" w:color="auto"/>
        <w:bottom w:val="none" w:sz="0" w:space="0" w:color="auto"/>
        <w:right w:val="none" w:sz="0" w:space="0" w:color="auto"/>
      </w:divBdr>
    </w:div>
    <w:div w:id="168830644">
      <w:bodyDiv w:val="1"/>
      <w:marLeft w:val="0"/>
      <w:marRight w:val="0"/>
      <w:marTop w:val="0"/>
      <w:marBottom w:val="0"/>
      <w:divBdr>
        <w:top w:val="none" w:sz="0" w:space="0" w:color="auto"/>
        <w:left w:val="none" w:sz="0" w:space="0" w:color="auto"/>
        <w:bottom w:val="none" w:sz="0" w:space="0" w:color="auto"/>
        <w:right w:val="none" w:sz="0" w:space="0" w:color="auto"/>
      </w:divBdr>
    </w:div>
    <w:div w:id="350764268">
      <w:bodyDiv w:val="1"/>
      <w:marLeft w:val="0"/>
      <w:marRight w:val="0"/>
      <w:marTop w:val="0"/>
      <w:marBottom w:val="0"/>
      <w:divBdr>
        <w:top w:val="none" w:sz="0" w:space="0" w:color="auto"/>
        <w:left w:val="none" w:sz="0" w:space="0" w:color="auto"/>
        <w:bottom w:val="none" w:sz="0" w:space="0" w:color="auto"/>
        <w:right w:val="none" w:sz="0" w:space="0" w:color="auto"/>
      </w:divBdr>
    </w:div>
    <w:div w:id="378627604">
      <w:bodyDiv w:val="1"/>
      <w:marLeft w:val="0"/>
      <w:marRight w:val="0"/>
      <w:marTop w:val="0"/>
      <w:marBottom w:val="0"/>
      <w:divBdr>
        <w:top w:val="none" w:sz="0" w:space="0" w:color="auto"/>
        <w:left w:val="none" w:sz="0" w:space="0" w:color="auto"/>
        <w:bottom w:val="none" w:sz="0" w:space="0" w:color="auto"/>
        <w:right w:val="none" w:sz="0" w:space="0" w:color="auto"/>
      </w:divBdr>
    </w:div>
    <w:div w:id="381104764">
      <w:bodyDiv w:val="1"/>
      <w:marLeft w:val="0"/>
      <w:marRight w:val="0"/>
      <w:marTop w:val="0"/>
      <w:marBottom w:val="0"/>
      <w:divBdr>
        <w:top w:val="none" w:sz="0" w:space="0" w:color="auto"/>
        <w:left w:val="none" w:sz="0" w:space="0" w:color="auto"/>
        <w:bottom w:val="none" w:sz="0" w:space="0" w:color="auto"/>
        <w:right w:val="none" w:sz="0" w:space="0" w:color="auto"/>
      </w:divBdr>
    </w:div>
    <w:div w:id="417333733">
      <w:bodyDiv w:val="1"/>
      <w:marLeft w:val="0"/>
      <w:marRight w:val="0"/>
      <w:marTop w:val="0"/>
      <w:marBottom w:val="0"/>
      <w:divBdr>
        <w:top w:val="none" w:sz="0" w:space="0" w:color="auto"/>
        <w:left w:val="none" w:sz="0" w:space="0" w:color="auto"/>
        <w:bottom w:val="none" w:sz="0" w:space="0" w:color="auto"/>
        <w:right w:val="none" w:sz="0" w:space="0" w:color="auto"/>
      </w:divBdr>
    </w:div>
    <w:div w:id="443577758">
      <w:bodyDiv w:val="1"/>
      <w:marLeft w:val="0"/>
      <w:marRight w:val="0"/>
      <w:marTop w:val="0"/>
      <w:marBottom w:val="0"/>
      <w:divBdr>
        <w:top w:val="none" w:sz="0" w:space="0" w:color="auto"/>
        <w:left w:val="none" w:sz="0" w:space="0" w:color="auto"/>
        <w:bottom w:val="none" w:sz="0" w:space="0" w:color="auto"/>
        <w:right w:val="none" w:sz="0" w:space="0" w:color="auto"/>
      </w:divBdr>
    </w:div>
    <w:div w:id="517931448">
      <w:bodyDiv w:val="1"/>
      <w:marLeft w:val="0"/>
      <w:marRight w:val="0"/>
      <w:marTop w:val="0"/>
      <w:marBottom w:val="0"/>
      <w:divBdr>
        <w:top w:val="none" w:sz="0" w:space="0" w:color="auto"/>
        <w:left w:val="none" w:sz="0" w:space="0" w:color="auto"/>
        <w:bottom w:val="none" w:sz="0" w:space="0" w:color="auto"/>
        <w:right w:val="none" w:sz="0" w:space="0" w:color="auto"/>
      </w:divBdr>
      <w:divsChild>
        <w:div w:id="14700816">
          <w:marLeft w:val="720"/>
          <w:marRight w:val="0"/>
          <w:marTop w:val="0"/>
          <w:marBottom w:val="0"/>
          <w:divBdr>
            <w:top w:val="none" w:sz="0" w:space="0" w:color="auto"/>
            <w:left w:val="none" w:sz="0" w:space="0" w:color="auto"/>
            <w:bottom w:val="none" w:sz="0" w:space="0" w:color="auto"/>
            <w:right w:val="none" w:sz="0" w:space="0" w:color="auto"/>
          </w:divBdr>
        </w:div>
        <w:div w:id="643436790">
          <w:marLeft w:val="720"/>
          <w:marRight w:val="0"/>
          <w:marTop w:val="0"/>
          <w:marBottom w:val="0"/>
          <w:divBdr>
            <w:top w:val="none" w:sz="0" w:space="0" w:color="auto"/>
            <w:left w:val="none" w:sz="0" w:space="0" w:color="auto"/>
            <w:bottom w:val="none" w:sz="0" w:space="0" w:color="auto"/>
            <w:right w:val="none" w:sz="0" w:space="0" w:color="auto"/>
          </w:divBdr>
        </w:div>
        <w:div w:id="1275093813">
          <w:marLeft w:val="720"/>
          <w:marRight w:val="0"/>
          <w:marTop w:val="0"/>
          <w:marBottom w:val="0"/>
          <w:divBdr>
            <w:top w:val="none" w:sz="0" w:space="0" w:color="auto"/>
            <w:left w:val="none" w:sz="0" w:space="0" w:color="auto"/>
            <w:bottom w:val="none" w:sz="0" w:space="0" w:color="auto"/>
            <w:right w:val="none" w:sz="0" w:space="0" w:color="auto"/>
          </w:divBdr>
        </w:div>
        <w:div w:id="1617524241">
          <w:marLeft w:val="720"/>
          <w:marRight w:val="0"/>
          <w:marTop w:val="0"/>
          <w:marBottom w:val="0"/>
          <w:divBdr>
            <w:top w:val="none" w:sz="0" w:space="0" w:color="auto"/>
            <w:left w:val="none" w:sz="0" w:space="0" w:color="auto"/>
            <w:bottom w:val="none" w:sz="0" w:space="0" w:color="auto"/>
            <w:right w:val="none" w:sz="0" w:space="0" w:color="auto"/>
          </w:divBdr>
        </w:div>
      </w:divsChild>
    </w:div>
    <w:div w:id="693730211">
      <w:bodyDiv w:val="1"/>
      <w:marLeft w:val="0"/>
      <w:marRight w:val="0"/>
      <w:marTop w:val="0"/>
      <w:marBottom w:val="0"/>
      <w:divBdr>
        <w:top w:val="none" w:sz="0" w:space="0" w:color="auto"/>
        <w:left w:val="none" w:sz="0" w:space="0" w:color="auto"/>
        <w:bottom w:val="none" w:sz="0" w:space="0" w:color="auto"/>
        <w:right w:val="none" w:sz="0" w:space="0" w:color="auto"/>
      </w:divBdr>
    </w:div>
    <w:div w:id="720175283">
      <w:bodyDiv w:val="1"/>
      <w:marLeft w:val="0"/>
      <w:marRight w:val="0"/>
      <w:marTop w:val="0"/>
      <w:marBottom w:val="0"/>
      <w:divBdr>
        <w:top w:val="none" w:sz="0" w:space="0" w:color="auto"/>
        <w:left w:val="none" w:sz="0" w:space="0" w:color="auto"/>
        <w:bottom w:val="none" w:sz="0" w:space="0" w:color="auto"/>
        <w:right w:val="none" w:sz="0" w:space="0" w:color="auto"/>
      </w:divBdr>
    </w:div>
    <w:div w:id="776293869">
      <w:bodyDiv w:val="1"/>
      <w:marLeft w:val="0"/>
      <w:marRight w:val="0"/>
      <w:marTop w:val="0"/>
      <w:marBottom w:val="0"/>
      <w:divBdr>
        <w:top w:val="none" w:sz="0" w:space="0" w:color="auto"/>
        <w:left w:val="none" w:sz="0" w:space="0" w:color="auto"/>
        <w:bottom w:val="none" w:sz="0" w:space="0" w:color="auto"/>
        <w:right w:val="none" w:sz="0" w:space="0" w:color="auto"/>
      </w:divBdr>
      <w:divsChild>
        <w:div w:id="1002051173">
          <w:marLeft w:val="360"/>
          <w:marRight w:val="0"/>
          <w:marTop w:val="0"/>
          <w:marBottom w:val="200"/>
          <w:divBdr>
            <w:top w:val="none" w:sz="0" w:space="0" w:color="auto"/>
            <w:left w:val="none" w:sz="0" w:space="0" w:color="auto"/>
            <w:bottom w:val="none" w:sz="0" w:space="0" w:color="auto"/>
            <w:right w:val="none" w:sz="0" w:space="0" w:color="auto"/>
          </w:divBdr>
        </w:div>
      </w:divsChild>
    </w:div>
    <w:div w:id="794837007">
      <w:bodyDiv w:val="1"/>
      <w:marLeft w:val="0"/>
      <w:marRight w:val="0"/>
      <w:marTop w:val="0"/>
      <w:marBottom w:val="0"/>
      <w:divBdr>
        <w:top w:val="none" w:sz="0" w:space="0" w:color="auto"/>
        <w:left w:val="none" w:sz="0" w:space="0" w:color="auto"/>
        <w:bottom w:val="none" w:sz="0" w:space="0" w:color="auto"/>
        <w:right w:val="none" w:sz="0" w:space="0" w:color="auto"/>
      </w:divBdr>
    </w:div>
    <w:div w:id="857085855">
      <w:bodyDiv w:val="1"/>
      <w:marLeft w:val="0"/>
      <w:marRight w:val="0"/>
      <w:marTop w:val="0"/>
      <w:marBottom w:val="0"/>
      <w:divBdr>
        <w:top w:val="none" w:sz="0" w:space="0" w:color="auto"/>
        <w:left w:val="none" w:sz="0" w:space="0" w:color="auto"/>
        <w:bottom w:val="none" w:sz="0" w:space="0" w:color="auto"/>
        <w:right w:val="none" w:sz="0" w:space="0" w:color="auto"/>
      </w:divBdr>
    </w:div>
    <w:div w:id="907619973">
      <w:bodyDiv w:val="1"/>
      <w:marLeft w:val="0"/>
      <w:marRight w:val="0"/>
      <w:marTop w:val="0"/>
      <w:marBottom w:val="0"/>
      <w:divBdr>
        <w:top w:val="none" w:sz="0" w:space="0" w:color="auto"/>
        <w:left w:val="none" w:sz="0" w:space="0" w:color="auto"/>
        <w:bottom w:val="none" w:sz="0" w:space="0" w:color="auto"/>
        <w:right w:val="none" w:sz="0" w:space="0" w:color="auto"/>
      </w:divBdr>
    </w:div>
    <w:div w:id="1052003814">
      <w:bodyDiv w:val="1"/>
      <w:marLeft w:val="0"/>
      <w:marRight w:val="0"/>
      <w:marTop w:val="0"/>
      <w:marBottom w:val="0"/>
      <w:divBdr>
        <w:top w:val="none" w:sz="0" w:space="0" w:color="auto"/>
        <w:left w:val="none" w:sz="0" w:space="0" w:color="auto"/>
        <w:bottom w:val="none" w:sz="0" w:space="0" w:color="auto"/>
        <w:right w:val="none" w:sz="0" w:space="0" w:color="auto"/>
      </w:divBdr>
    </w:div>
    <w:div w:id="1079257705">
      <w:bodyDiv w:val="1"/>
      <w:marLeft w:val="0"/>
      <w:marRight w:val="0"/>
      <w:marTop w:val="0"/>
      <w:marBottom w:val="0"/>
      <w:divBdr>
        <w:top w:val="none" w:sz="0" w:space="0" w:color="auto"/>
        <w:left w:val="none" w:sz="0" w:space="0" w:color="auto"/>
        <w:bottom w:val="none" w:sz="0" w:space="0" w:color="auto"/>
        <w:right w:val="none" w:sz="0" w:space="0" w:color="auto"/>
      </w:divBdr>
    </w:div>
    <w:div w:id="1088573541">
      <w:bodyDiv w:val="1"/>
      <w:marLeft w:val="0"/>
      <w:marRight w:val="0"/>
      <w:marTop w:val="0"/>
      <w:marBottom w:val="0"/>
      <w:divBdr>
        <w:top w:val="none" w:sz="0" w:space="0" w:color="auto"/>
        <w:left w:val="none" w:sz="0" w:space="0" w:color="auto"/>
        <w:bottom w:val="none" w:sz="0" w:space="0" w:color="auto"/>
        <w:right w:val="none" w:sz="0" w:space="0" w:color="auto"/>
      </w:divBdr>
    </w:div>
    <w:div w:id="1098988773">
      <w:bodyDiv w:val="1"/>
      <w:marLeft w:val="0"/>
      <w:marRight w:val="0"/>
      <w:marTop w:val="0"/>
      <w:marBottom w:val="0"/>
      <w:divBdr>
        <w:top w:val="none" w:sz="0" w:space="0" w:color="auto"/>
        <w:left w:val="none" w:sz="0" w:space="0" w:color="auto"/>
        <w:bottom w:val="none" w:sz="0" w:space="0" w:color="auto"/>
        <w:right w:val="none" w:sz="0" w:space="0" w:color="auto"/>
      </w:divBdr>
    </w:div>
    <w:div w:id="1118328472">
      <w:bodyDiv w:val="1"/>
      <w:marLeft w:val="0"/>
      <w:marRight w:val="0"/>
      <w:marTop w:val="0"/>
      <w:marBottom w:val="0"/>
      <w:divBdr>
        <w:top w:val="none" w:sz="0" w:space="0" w:color="auto"/>
        <w:left w:val="none" w:sz="0" w:space="0" w:color="auto"/>
        <w:bottom w:val="none" w:sz="0" w:space="0" w:color="auto"/>
        <w:right w:val="none" w:sz="0" w:space="0" w:color="auto"/>
      </w:divBdr>
    </w:div>
    <w:div w:id="1130125575">
      <w:bodyDiv w:val="1"/>
      <w:marLeft w:val="0"/>
      <w:marRight w:val="0"/>
      <w:marTop w:val="0"/>
      <w:marBottom w:val="0"/>
      <w:divBdr>
        <w:top w:val="none" w:sz="0" w:space="0" w:color="auto"/>
        <w:left w:val="none" w:sz="0" w:space="0" w:color="auto"/>
        <w:bottom w:val="none" w:sz="0" w:space="0" w:color="auto"/>
        <w:right w:val="none" w:sz="0" w:space="0" w:color="auto"/>
      </w:divBdr>
    </w:div>
    <w:div w:id="1200892552">
      <w:bodyDiv w:val="1"/>
      <w:marLeft w:val="0"/>
      <w:marRight w:val="0"/>
      <w:marTop w:val="0"/>
      <w:marBottom w:val="0"/>
      <w:divBdr>
        <w:top w:val="none" w:sz="0" w:space="0" w:color="auto"/>
        <w:left w:val="none" w:sz="0" w:space="0" w:color="auto"/>
        <w:bottom w:val="none" w:sz="0" w:space="0" w:color="auto"/>
        <w:right w:val="none" w:sz="0" w:space="0" w:color="auto"/>
      </w:divBdr>
    </w:div>
    <w:div w:id="1205212713">
      <w:bodyDiv w:val="1"/>
      <w:marLeft w:val="0"/>
      <w:marRight w:val="0"/>
      <w:marTop w:val="0"/>
      <w:marBottom w:val="0"/>
      <w:divBdr>
        <w:top w:val="none" w:sz="0" w:space="0" w:color="auto"/>
        <w:left w:val="none" w:sz="0" w:space="0" w:color="auto"/>
        <w:bottom w:val="none" w:sz="0" w:space="0" w:color="auto"/>
        <w:right w:val="none" w:sz="0" w:space="0" w:color="auto"/>
      </w:divBdr>
    </w:div>
    <w:div w:id="1242911771">
      <w:bodyDiv w:val="1"/>
      <w:marLeft w:val="0"/>
      <w:marRight w:val="0"/>
      <w:marTop w:val="0"/>
      <w:marBottom w:val="0"/>
      <w:divBdr>
        <w:top w:val="none" w:sz="0" w:space="0" w:color="auto"/>
        <w:left w:val="none" w:sz="0" w:space="0" w:color="auto"/>
        <w:bottom w:val="none" w:sz="0" w:space="0" w:color="auto"/>
        <w:right w:val="none" w:sz="0" w:space="0" w:color="auto"/>
      </w:divBdr>
    </w:div>
    <w:div w:id="1273129360">
      <w:bodyDiv w:val="1"/>
      <w:marLeft w:val="0"/>
      <w:marRight w:val="0"/>
      <w:marTop w:val="0"/>
      <w:marBottom w:val="0"/>
      <w:divBdr>
        <w:top w:val="none" w:sz="0" w:space="0" w:color="auto"/>
        <w:left w:val="none" w:sz="0" w:space="0" w:color="auto"/>
        <w:bottom w:val="none" w:sz="0" w:space="0" w:color="auto"/>
        <w:right w:val="none" w:sz="0" w:space="0" w:color="auto"/>
      </w:divBdr>
    </w:div>
    <w:div w:id="1327974118">
      <w:bodyDiv w:val="1"/>
      <w:marLeft w:val="0"/>
      <w:marRight w:val="0"/>
      <w:marTop w:val="0"/>
      <w:marBottom w:val="0"/>
      <w:divBdr>
        <w:top w:val="none" w:sz="0" w:space="0" w:color="auto"/>
        <w:left w:val="none" w:sz="0" w:space="0" w:color="auto"/>
        <w:bottom w:val="none" w:sz="0" w:space="0" w:color="auto"/>
        <w:right w:val="none" w:sz="0" w:space="0" w:color="auto"/>
      </w:divBdr>
    </w:div>
    <w:div w:id="1380713020">
      <w:bodyDiv w:val="1"/>
      <w:marLeft w:val="0"/>
      <w:marRight w:val="0"/>
      <w:marTop w:val="0"/>
      <w:marBottom w:val="0"/>
      <w:divBdr>
        <w:top w:val="none" w:sz="0" w:space="0" w:color="auto"/>
        <w:left w:val="none" w:sz="0" w:space="0" w:color="auto"/>
        <w:bottom w:val="none" w:sz="0" w:space="0" w:color="auto"/>
        <w:right w:val="none" w:sz="0" w:space="0" w:color="auto"/>
      </w:divBdr>
    </w:div>
    <w:div w:id="1405375861">
      <w:bodyDiv w:val="1"/>
      <w:marLeft w:val="0"/>
      <w:marRight w:val="0"/>
      <w:marTop w:val="0"/>
      <w:marBottom w:val="0"/>
      <w:divBdr>
        <w:top w:val="none" w:sz="0" w:space="0" w:color="auto"/>
        <w:left w:val="none" w:sz="0" w:space="0" w:color="auto"/>
        <w:bottom w:val="none" w:sz="0" w:space="0" w:color="auto"/>
        <w:right w:val="none" w:sz="0" w:space="0" w:color="auto"/>
      </w:divBdr>
    </w:div>
    <w:div w:id="1446577917">
      <w:bodyDiv w:val="1"/>
      <w:marLeft w:val="0"/>
      <w:marRight w:val="0"/>
      <w:marTop w:val="0"/>
      <w:marBottom w:val="0"/>
      <w:divBdr>
        <w:top w:val="none" w:sz="0" w:space="0" w:color="auto"/>
        <w:left w:val="none" w:sz="0" w:space="0" w:color="auto"/>
        <w:bottom w:val="none" w:sz="0" w:space="0" w:color="auto"/>
        <w:right w:val="none" w:sz="0" w:space="0" w:color="auto"/>
      </w:divBdr>
    </w:div>
    <w:div w:id="1496723796">
      <w:bodyDiv w:val="1"/>
      <w:marLeft w:val="0"/>
      <w:marRight w:val="0"/>
      <w:marTop w:val="0"/>
      <w:marBottom w:val="0"/>
      <w:divBdr>
        <w:top w:val="none" w:sz="0" w:space="0" w:color="auto"/>
        <w:left w:val="none" w:sz="0" w:space="0" w:color="auto"/>
        <w:bottom w:val="none" w:sz="0" w:space="0" w:color="auto"/>
        <w:right w:val="none" w:sz="0" w:space="0" w:color="auto"/>
      </w:divBdr>
      <w:divsChild>
        <w:div w:id="189488755">
          <w:marLeft w:val="360"/>
          <w:marRight w:val="0"/>
          <w:marTop w:val="0"/>
          <w:marBottom w:val="120"/>
          <w:divBdr>
            <w:top w:val="none" w:sz="0" w:space="0" w:color="auto"/>
            <w:left w:val="none" w:sz="0" w:space="0" w:color="auto"/>
            <w:bottom w:val="none" w:sz="0" w:space="0" w:color="auto"/>
            <w:right w:val="none" w:sz="0" w:space="0" w:color="auto"/>
          </w:divBdr>
        </w:div>
        <w:div w:id="1118833817">
          <w:marLeft w:val="360"/>
          <w:marRight w:val="0"/>
          <w:marTop w:val="0"/>
          <w:marBottom w:val="0"/>
          <w:divBdr>
            <w:top w:val="none" w:sz="0" w:space="0" w:color="auto"/>
            <w:left w:val="none" w:sz="0" w:space="0" w:color="auto"/>
            <w:bottom w:val="none" w:sz="0" w:space="0" w:color="auto"/>
            <w:right w:val="none" w:sz="0" w:space="0" w:color="auto"/>
          </w:divBdr>
        </w:div>
      </w:divsChild>
    </w:div>
    <w:div w:id="1555969413">
      <w:bodyDiv w:val="1"/>
      <w:marLeft w:val="0"/>
      <w:marRight w:val="0"/>
      <w:marTop w:val="0"/>
      <w:marBottom w:val="0"/>
      <w:divBdr>
        <w:top w:val="none" w:sz="0" w:space="0" w:color="auto"/>
        <w:left w:val="none" w:sz="0" w:space="0" w:color="auto"/>
        <w:bottom w:val="none" w:sz="0" w:space="0" w:color="auto"/>
        <w:right w:val="none" w:sz="0" w:space="0" w:color="auto"/>
      </w:divBdr>
    </w:div>
    <w:div w:id="1563566303">
      <w:bodyDiv w:val="1"/>
      <w:marLeft w:val="0"/>
      <w:marRight w:val="0"/>
      <w:marTop w:val="0"/>
      <w:marBottom w:val="0"/>
      <w:divBdr>
        <w:top w:val="none" w:sz="0" w:space="0" w:color="auto"/>
        <w:left w:val="none" w:sz="0" w:space="0" w:color="auto"/>
        <w:bottom w:val="none" w:sz="0" w:space="0" w:color="auto"/>
        <w:right w:val="none" w:sz="0" w:space="0" w:color="auto"/>
      </w:divBdr>
    </w:div>
    <w:div w:id="1570533979">
      <w:bodyDiv w:val="1"/>
      <w:marLeft w:val="0"/>
      <w:marRight w:val="0"/>
      <w:marTop w:val="0"/>
      <w:marBottom w:val="0"/>
      <w:divBdr>
        <w:top w:val="none" w:sz="0" w:space="0" w:color="auto"/>
        <w:left w:val="none" w:sz="0" w:space="0" w:color="auto"/>
        <w:bottom w:val="none" w:sz="0" w:space="0" w:color="auto"/>
        <w:right w:val="none" w:sz="0" w:space="0" w:color="auto"/>
      </w:divBdr>
    </w:div>
    <w:div w:id="1678536181">
      <w:bodyDiv w:val="1"/>
      <w:marLeft w:val="0"/>
      <w:marRight w:val="0"/>
      <w:marTop w:val="0"/>
      <w:marBottom w:val="0"/>
      <w:divBdr>
        <w:top w:val="none" w:sz="0" w:space="0" w:color="auto"/>
        <w:left w:val="none" w:sz="0" w:space="0" w:color="auto"/>
        <w:bottom w:val="none" w:sz="0" w:space="0" w:color="auto"/>
        <w:right w:val="none" w:sz="0" w:space="0" w:color="auto"/>
      </w:divBdr>
    </w:div>
    <w:div w:id="1711415171">
      <w:bodyDiv w:val="1"/>
      <w:marLeft w:val="0"/>
      <w:marRight w:val="0"/>
      <w:marTop w:val="0"/>
      <w:marBottom w:val="0"/>
      <w:divBdr>
        <w:top w:val="none" w:sz="0" w:space="0" w:color="auto"/>
        <w:left w:val="none" w:sz="0" w:space="0" w:color="auto"/>
        <w:bottom w:val="none" w:sz="0" w:space="0" w:color="auto"/>
        <w:right w:val="none" w:sz="0" w:space="0" w:color="auto"/>
      </w:divBdr>
    </w:div>
    <w:div w:id="1759329719">
      <w:bodyDiv w:val="1"/>
      <w:marLeft w:val="0"/>
      <w:marRight w:val="0"/>
      <w:marTop w:val="0"/>
      <w:marBottom w:val="0"/>
      <w:divBdr>
        <w:top w:val="none" w:sz="0" w:space="0" w:color="auto"/>
        <w:left w:val="none" w:sz="0" w:space="0" w:color="auto"/>
        <w:bottom w:val="none" w:sz="0" w:space="0" w:color="auto"/>
        <w:right w:val="none" w:sz="0" w:space="0" w:color="auto"/>
      </w:divBdr>
    </w:div>
    <w:div w:id="1783256036">
      <w:bodyDiv w:val="1"/>
      <w:marLeft w:val="0"/>
      <w:marRight w:val="0"/>
      <w:marTop w:val="0"/>
      <w:marBottom w:val="0"/>
      <w:divBdr>
        <w:top w:val="none" w:sz="0" w:space="0" w:color="auto"/>
        <w:left w:val="none" w:sz="0" w:space="0" w:color="auto"/>
        <w:bottom w:val="none" w:sz="0" w:space="0" w:color="auto"/>
        <w:right w:val="none" w:sz="0" w:space="0" w:color="auto"/>
      </w:divBdr>
    </w:div>
    <w:div w:id="1803381825">
      <w:bodyDiv w:val="1"/>
      <w:marLeft w:val="0"/>
      <w:marRight w:val="0"/>
      <w:marTop w:val="0"/>
      <w:marBottom w:val="0"/>
      <w:divBdr>
        <w:top w:val="none" w:sz="0" w:space="0" w:color="auto"/>
        <w:left w:val="none" w:sz="0" w:space="0" w:color="auto"/>
        <w:bottom w:val="none" w:sz="0" w:space="0" w:color="auto"/>
        <w:right w:val="none" w:sz="0" w:space="0" w:color="auto"/>
      </w:divBdr>
    </w:div>
    <w:div w:id="1952080600">
      <w:bodyDiv w:val="1"/>
      <w:marLeft w:val="0"/>
      <w:marRight w:val="0"/>
      <w:marTop w:val="0"/>
      <w:marBottom w:val="0"/>
      <w:divBdr>
        <w:top w:val="none" w:sz="0" w:space="0" w:color="auto"/>
        <w:left w:val="none" w:sz="0" w:space="0" w:color="auto"/>
        <w:bottom w:val="none" w:sz="0" w:space="0" w:color="auto"/>
        <w:right w:val="none" w:sz="0" w:space="0" w:color="auto"/>
      </w:divBdr>
    </w:div>
    <w:div w:id="2111315554">
      <w:bodyDiv w:val="1"/>
      <w:marLeft w:val="0"/>
      <w:marRight w:val="0"/>
      <w:marTop w:val="0"/>
      <w:marBottom w:val="0"/>
      <w:divBdr>
        <w:top w:val="none" w:sz="0" w:space="0" w:color="auto"/>
        <w:left w:val="none" w:sz="0" w:space="0" w:color="auto"/>
        <w:bottom w:val="none" w:sz="0" w:space="0" w:color="auto"/>
        <w:right w:val="none" w:sz="0" w:space="0" w:color="auto"/>
      </w:divBdr>
      <w:divsChild>
        <w:div w:id="222911676">
          <w:marLeft w:val="547"/>
          <w:marRight w:val="0"/>
          <w:marTop w:val="0"/>
          <w:marBottom w:val="60"/>
          <w:divBdr>
            <w:top w:val="none" w:sz="0" w:space="0" w:color="auto"/>
            <w:left w:val="none" w:sz="0" w:space="0" w:color="auto"/>
            <w:bottom w:val="none" w:sz="0" w:space="0" w:color="auto"/>
            <w:right w:val="none" w:sz="0" w:space="0" w:color="auto"/>
          </w:divBdr>
        </w:div>
        <w:div w:id="301889341">
          <w:marLeft w:val="547"/>
          <w:marRight w:val="0"/>
          <w:marTop w:val="0"/>
          <w:marBottom w:val="60"/>
          <w:divBdr>
            <w:top w:val="none" w:sz="0" w:space="0" w:color="auto"/>
            <w:left w:val="none" w:sz="0" w:space="0" w:color="auto"/>
            <w:bottom w:val="none" w:sz="0" w:space="0" w:color="auto"/>
            <w:right w:val="none" w:sz="0" w:space="0" w:color="auto"/>
          </w:divBdr>
        </w:div>
        <w:div w:id="547574297">
          <w:marLeft w:val="547"/>
          <w:marRight w:val="0"/>
          <w:marTop w:val="0"/>
          <w:marBottom w:val="60"/>
          <w:divBdr>
            <w:top w:val="none" w:sz="0" w:space="0" w:color="auto"/>
            <w:left w:val="none" w:sz="0" w:space="0" w:color="auto"/>
            <w:bottom w:val="none" w:sz="0" w:space="0" w:color="auto"/>
            <w:right w:val="none" w:sz="0" w:space="0" w:color="auto"/>
          </w:divBdr>
        </w:div>
        <w:div w:id="1208176732">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qf.edu.au/publication/recognition-prior-learn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A3B95E745E4267A4758FAAA2602007"/>
        <w:category>
          <w:name w:val="General"/>
          <w:gallery w:val="placeholder"/>
        </w:category>
        <w:types>
          <w:type w:val="bbPlcHdr"/>
        </w:types>
        <w:behaviors>
          <w:behavior w:val="content"/>
        </w:behaviors>
        <w:guid w:val="{84227EA2-4300-4F75-A48C-EA96FCAE1D06}"/>
      </w:docPartPr>
      <w:docPartBody>
        <w:p w:rsidR="003E6030" w:rsidRDefault="00785B1E">
          <w:pPr>
            <w:pStyle w:val="FBA3B95E745E4267A4758FAAA2602007"/>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A2CA5"/>
    <w:rsid w:val="00103495"/>
    <w:rsid w:val="001A783B"/>
    <w:rsid w:val="001C680D"/>
    <w:rsid w:val="001D5AD8"/>
    <w:rsid w:val="00243AE0"/>
    <w:rsid w:val="00297B26"/>
    <w:rsid w:val="002B3ACA"/>
    <w:rsid w:val="002E16DB"/>
    <w:rsid w:val="0035685B"/>
    <w:rsid w:val="003E6030"/>
    <w:rsid w:val="00492505"/>
    <w:rsid w:val="00495139"/>
    <w:rsid w:val="00513347"/>
    <w:rsid w:val="00592831"/>
    <w:rsid w:val="005B0E98"/>
    <w:rsid w:val="005D1517"/>
    <w:rsid w:val="005F471F"/>
    <w:rsid w:val="00602576"/>
    <w:rsid w:val="00610D1F"/>
    <w:rsid w:val="006244B3"/>
    <w:rsid w:val="00632B0E"/>
    <w:rsid w:val="006562B0"/>
    <w:rsid w:val="006E1BF2"/>
    <w:rsid w:val="00717CE6"/>
    <w:rsid w:val="00721726"/>
    <w:rsid w:val="007321EC"/>
    <w:rsid w:val="00753891"/>
    <w:rsid w:val="007815D6"/>
    <w:rsid w:val="00785B1E"/>
    <w:rsid w:val="007910B8"/>
    <w:rsid w:val="0081332A"/>
    <w:rsid w:val="00836BB3"/>
    <w:rsid w:val="00843FE5"/>
    <w:rsid w:val="008452B2"/>
    <w:rsid w:val="008A602B"/>
    <w:rsid w:val="008D227D"/>
    <w:rsid w:val="008D30D3"/>
    <w:rsid w:val="009124CC"/>
    <w:rsid w:val="00942356"/>
    <w:rsid w:val="00962B84"/>
    <w:rsid w:val="00986BD0"/>
    <w:rsid w:val="009E5956"/>
    <w:rsid w:val="00A17CE4"/>
    <w:rsid w:val="00A84CA4"/>
    <w:rsid w:val="00AC54F9"/>
    <w:rsid w:val="00B57A46"/>
    <w:rsid w:val="00B91C66"/>
    <w:rsid w:val="00BB1D72"/>
    <w:rsid w:val="00BE3A02"/>
    <w:rsid w:val="00C04409"/>
    <w:rsid w:val="00C75E9C"/>
    <w:rsid w:val="00C84F59"/>
    <w:rsid w:val="00D028B6"/>
    <w:rsid w:val="00D10FAE"/>
    <w:rsid w:val="00D15545"/>
    <w:rsid w:val="00D43C7C"/>
    <w:rsid w:val="00D73DE7"/>
    <w:rsid w:val="00DC3069"/>
    <w:rsid w:val="00E07D93"/>
    <w:rsid w:val="00E151BF"/>
    <w:rsid w:val="00E376DE"/>
    <w:rsid w:val="00E82F98"/>
    <w:rsid w:val="00ED54F7"/>
    <w:rsid w:val="00EE3AE8"/>
    <w:rsid w:val="00F33E8D"/>
    <w:rsid w:val="00F520D5"/>
    <w:rsid w:val="00F77B4E"/>
    <w:rsid w:val="00F83B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FBA3B95E745E4267A4758FAAA2602007">
    <w:name w:val="FBA3B95E745E4267A4758FAAA26020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DD0D381-2646-4D63-95E6-1FED8FDB14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0DF1FCD801C04DB8F34C2D9687281F" ma:contentTypeVersion="" ma:contentTypeDescription="PDMS Document Site Content Type" ma:contentTypeScope="" ma:versionID="d906e688af8bbe24415506680e8c57d0">
  <xsd:schema xmlns:xsd="http://www.w3.org/2001/XMLSchema" xmlns:xs="http://www.w3.org/2001/XMLSchema" xmlns:p="http://schemas.microsoft.com/office/2006/metadata/properties" xmlns:ns2="3DD0D381-2646-4D63-95E6-1FED8FDB148F" targetNamespace="http://schemas.microsoft.com/office/2006/metadata/properties" ma:root="true" ma:fieldsID="e40d50e967396d0208f775c7924cf321" ns2:_="">
    <xsd:import namespace="3DD0D381-2646-4D63-95E6-1FED8FDB148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0D381-2646-4D63-95E6-1FED8FDB148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A8E86333-9252-46A2-B43D-C04E46B374FA}">
  <ds:schemaRefs>
    <ds:schemaRef ds:uri="http://schemas.microsoft.com/sharepoint/v3/contenttype/forms"/>
  </ds:schemaRefs>
</ds:datastoreItem>
</file>

<file path=customXml/itemProps3.xml><?xml version="1.0" encoding="utf-8"?>
<ds:datastoreItem xmlns:ds="http://schemas.openxmlformats.org/officeDocument/2006/customXml" ds:itemID="{C5BEADA8-B7F9-439B-826E-338E090FF8FE}">
  <ds:schemaRefs>
    <ds:schemaRef ds:uri="d8f54f3e-70e8-4062-bec5-fc77ea9ae7aa"/>
    <ds:schemaRef ds:uri="98dd4711-9538-45ac-92c1-c37a71d41834"/>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720C181-1693-42D5-8E77-C287B9EB3CBC}"/>
</file>

<file path=docProps/app.xml><?xml version="1.0" encoding="utf-8"?>
<Properties xmlns="http://schemas.openxmlformats.org/officeDocument/2006/extended-properties" xmlns:vt="http://schemas.openxmlformats.org/officeDocument/2006/docPropsVTypes">
  <Template>Normal</Template>
  <TotalTime>0</TotalTime>
  <Pages>10</Pages>
  <Words>3474</Words>
  <Characters>19597</Characters>
  <Application>Microsoft Office Word</Application>
  <DocSecurity>0</DocSecurity>
  <Lines>337</Lines>
  <Paragraphs>190</Paragraphs>
  <ScaleCrop>false</ScaleCrop>
  <Company/>
  <LinksUpToDate>false</LinksUpToDate>
  <CharactersWithSpaces>22881</CharactersWithSpaces>
  <SharedDoc>false</SharedDoc>
  <HLinks>
    <vt:vector size="12" baseType="variant">
      <vt:variant>
        <vt:i4>4653139</vt:i4>
      </vt:variant>
      <vt:variant>
        <vt:i4>0</vt:i4>
      </vt:variant>
      <vt:variant>
        <vt:i4>0</vt:i4>
      </vt:variant>
      <vt:variant>
        <vt:i4>5</vt:i4>
      </vt:variant>
      <vt:variant>
        <vt:lpwstr>http://www.aqf.edu.au/publication/recognition-prior-learning.</vt:lpwstr>
      </vt:variant>
      <vt:variant>
        <vt:lpwstr/>
      </vt:variant>
      <vt:variant>
        <vt:i4>2097193</vt:i4>
      </vt:variant>
      <vt:variant>
        <vt:i4>0</vt:i4>
      </vt:variant>
      <vt:variant>
        <vt:i4>0</vt:i4>
      </vt:variant>
      <vt:variant>
        <vt:i4>5</vt:i4>
      </vt:variant>
      <vt:variant>
        <vt:lpwstr>https://www.teqsa.gov.au/guides-resources/resources/guidance-notes/guidance-note-credit-and-recognition-prior-learning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Information to the Recognition of Prior Learning for Initial Teacher Education Framework</dc:title>
  <dc:subject/>
  <dc:creator/>
  <cp:keywords/>
  <dc:description/>
  <cp:lastModifiedBy/>
  <cp:revision>1</cp:revision>
  <dcterms:created xsi:type="dcterms:W3CDTF">2025-06-09T04:16:00Z</dcterms:created>
  <dcterms:modified xsi:type="dcterms:W3CDTF">2025-06-09T04:16:00Z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2024-11-07T00:05:18Z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e4f32c68-24e7-4a8e-be11-c154c3a424c1</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0x010100266966F133664895A6EE3632470D45F500AA0DF1FCD801C04DB8F34C2D9687281F</vt:lpwstr>
  </property>
</Properties>
</file>