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8B0B" w14:textId="77777777" w:rsidR="00107DD5" w:rsidRDefault="00221D8F" w:rsidP="00CA4815">
      <w:r w:rsidRPr="00CA4815">
        <w:rPr>
          <w:b/>
          <w:bCs/>
          <w:noProof/>
        </w:rPr>
        <w:drawing>
          <wp:anchor distT="0" distB="0" distL="114300" distR="114300" simplePos="0" relativeHeight="251658240" behindDoc="1" locked="1" layoutInCell="1" allowOverlap="1" wp14:anchorId="465E45C2" wp14:editId="673683CF">
            <wp:simplePos x="0" y="0"/>
            <wp:positionH relativeFrom="column">
              <wp:posOffset>-946150</wp:posOffset>
            </wp:positionH>
            <wp:positionV relativeFrom="paragraph">
              <wp:posOffset>-771525</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80B8A2F" wp14:editId="3DC0F1A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ascii="Aptos" w:hAnsi="Aptos"/>
          <w:sz w:val="48"/>
          <w:szCs w:val="4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F14AF95" w14:textId="025231CB" w:rsidR="001D2E4C" w:rsidRPr="001D2E4C" w:rsidRDefault="00C156B4" w:rsidP="001D2E4C">
          <w:pPr>
            <w:pStyle w:val="Heading1"/>
            <w:rPr>
              <w:sz w:val="36"/>
              <w:szCs w:val="36"/>
            </w:rPr>
          </w:pPr>
          <w:r>
            <w:rPr>
              <w:rFonts w:ascii="Aptos" w:hAnsi="Aptos"/>
              <w:sz w:val="48"/>
              <w:szCs w:val="48"/>
            </w:rPr>
            <w:t>Factsheet – Recognition of Pathways Arrangements</w:t>
          </w:r>
        </w:p>
      </w:sdtContent>
    </w:sdt>
    <w:bookmarkEnd w:id="0" w:displacedByCustomXml="prev"/>
    <w:bookmarkEnd w:id="1" w:displacedByCustomXml="prev"/>
    <w:p w14:paraId="08B24312" w14:textId="77777777" w:rsidR="0091289E" w:rsidRDefault="0091289E" w:rsidP="001D2E4C">
      <w:pPr>
        <w:rPr>
          <w:rFonts w:ascii="Aptos" w:hAnsi="Aptos"/>
        </w:rPr>
      </w:pPr>
    </w:p>
    <w:p w14:paraId="6527869E" w14:textId="42B7EBA0" w:rsidR="001D2E4C" w:rsidRDefault="008F23F4" w:rsidP="001D2E4C">
      <w:pPr>
        <w:rPr>
          <w:rFonts w:ascii="Aptos" w:hAnsi="Aptos"/>
        </w:rPr>
      </w:pPr>
      <w:r>
        <w:rPr>
          <w:rFonts w:ascii="Aptos" w:hAnsi="Aptos"/>
        </w:rPr>
        <w:t>The Australia</w:t>
      </w:r>
      <w:r w:rsidR="0091289E">
        <w:rPr>
          <w:rFonts w:ascii="Aptos" w:hAnsi="Aptos"/>
        </w:rPr>
        <w:t>n</w:t>
      </w:r>
      <w:r>
        <w:rPr>
          <w:rFonts w:ascii="Aptos" w:hAnsi="Aptos"/>
        </w:rPr>
        <w:t xml:space="preserve"> </w:t>
      </w:r>
      <w:r w:rsidR="001D2E4C" w:rsidRPr="001D2E4C">
        <w:rPr>
          <w:rFonts w:ascii="Aptos" w:hAnsi="Aptos"/>
        </w:rPr>
        <w:t>Government recognises the importance and value of embedded university pathways providers (EUPPs or “pathways provider</w:t>
      </w:r>
      <w:r w:rsidR="0091289E">
        <w:rPr>
          <w:rFonts w:ascii="Aptos" w:hAnsi="Aptos"/>
        </w:rPr>
        <w:t>s</w:t>
      </w:r>
      <w:r w:rsidR="001D2E4C" w:rsidRPr="001D2E4C">
        <w:rPr>
          <w:rFonts w:ascii="Aptos" w:hAnsi="Aptos"/>
        </w:rPr>
        <w:t xml:space="preserve">”) to the Australian higher education sector and is supporting their high-quality partnership arrangements with universities in a way that ensures long-term stability and sustainability. </w:t>
      </w:r>
    </w:p>
    <w:p w14:paraId="17D165EB" w14:textId="20045987" w:rsidR="004638B7" w:rsidRPr="001D2E4C" w:rsidRDefault="004638B7" w:rsidP="001D2E4C">
      <w:pPr>
        <w:rPr>
          <w:rFonts w:ascii="Aptos" w:hAnsi="Aptos"/>
        </w:rPr>
      </w:pPr>
      <w:r>
        <w:rPr>
          <w:rFonts w:ascii="Aptos" w:hAnsi="Aptos"/>
        </w:rPr>
        <w:t xml:space="preserve">The Government also wants to support partnerships between TAFE providers and universities that promote a more joined-up tertiary system </w:t>
      </w:r>
      <w:r w:rsidR="00192BC9">
        <w:rPr>
          <w:rFonts w:ascii="Aptos" w:hAnsi="Aptos"/>
        </w:rPr>
        <w:t>and help Australia meet its skills challenges.</w:t>
      </w:r>
    </w:p>
    <w:p w14:paraId="38643936" w14:textId="6E343757" w:rsidR="001D2E4C" w:rsidRPr="001D2E4C" w:rsidRDefault="001D2E4C" w:rsidP="001D2E4C">
      <w:pPr>
        <w:rPr>
          <w:rFonts w:ascii="Aptos" w:hAnsi="Aptos"/>
        </w:rPr>
      </w:pPr>
      <w:r w:rsidRPr="001D2E4C">
        <w:rPr>
          <w:rFonts w:ascii="Aptos" w:hAnsi="Aptos"/>
        </w:rPr>
        <w:t xml:space="preserve">In </w:t>
      </w:r>
      <w:r w:rsidR="0091289E">
        <w:rPr>
          <w:rFonts w:ascii="Aptos" w:hAnsi="Aptos"/>
        </w:rPr>
        <w:t>May</w:t>
      </w:r>
      <w:r w:rsidR="0091289E" w:rsidRPr="001D2E4C">
        <w:rPr>
          <w:rFonts w:ascii="Aptos" w:hAnsi="Aptos"/>
        </w:rPr>
        <w:t xml:space="preserve"> </w:t>
      </w:r>
      <w:r w:rsidRPr="001D2E4C">
        <w:rPr>
          <w:rFonts w:ascii="Aptos" w:hAnsi="Aptos"/>
        </w:rPr>
        <w:t>2025, the Department of Education formed the University Pathways Working Group, comprising Government and sector representatives, which provided advice on treatment of international pathways students progressing to a university course under managed growth settings.</w:t>
      </w:r>
    </w:p>
    <w:p w14:paraId="77F38FFA" w14:textId="643C09C0" w:rsidR="001D2E4C" w:rsidRPr="001D2E4C" w:rsidRDefault="001D2E4C" w:rsidP="001D2E4C">
      <w:pPr>
        <w:rPr>
          <w:rFonts w:ascii="Aptos" w:hAnsi="Aptos"/>
        </w:rPr>
      </w:pPr>
      <w:r w:rsidRPr="001D2E4C">
        <w:rPr>
          <w:rFonts w:ascii="Aptos" w:hAnsi="Aptos"/>
        </w:rPr>
        <w:t>Through consultation with this group, Government has developed an approach to support high-quality partnership arrangements between pathways providers and universities.</w:t>
      </w:r>
    </w:p>
    <w:p w14:paraId="62F71A1F" w14:textId="0B3E68FD" w:rsidR="001D2E4C" w:rsidRPr="001D2E4C" w:rsidRDefault="001D2E4C" w:rsidP="001D2E4C">
      <w:pPr>
        <w:pStyle w:val="Heading4"/>
        <w:rPr>
          <w:rFonts w:ascii="Aptos" w:hAnsi="Aptos" w:cstheme="minorHAnsi"/>
        </w:rPr>
      </w:pPr>
      <w:r w:rsidRPr="001D2E4C">
        <w:rPr>
          <w:rFonts w:ascii="Aptos" w:hAnsi="Aptos" w:cstheme="minorHAnsi"/>
        </w:rPr>
        <w:t>Embedded University Pathways Provider NOSC Exemption</w:t>
      </w:r>
    </w:p>
    <w:p w14:paraId="5931F49A" w14:textId="180CC2FE" w:rsidR="001D2E4C" w:rsidRPr="001D2E4C" w:rsidRDefault="00192BC9" w:rsidP="001D2E4C">
      <w:pPr>
        <w:spacing w:after="160" w:line="278"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From 2026, a student starting a higher education </w:t>
      </w:r>
      <w:r w:rsidR="008F07CF">
        <w:rPr>
          <w:rFonts w:ascii="Aptos" w:eastAsia="Aptos" w:hAnsi="Aptos" w:cs="Times New Roman"/>
          <w:kern w:val="2"/>
          <w14:ligatures w14:val="standardContextual"/>
        </w:rPr>
        <w:t xml:space="preserve">course at a </w:t>
      </w:r>
      <w:proofErr w:type="gramStart"/>
      <w:r w:rsidR="008F07CF">
        <w:rPr>
          <w:rFonts w:ascii="Aptos" w:eastAsia="Aptos" w:hAnsi="Aptos" w:cs="Times New Roman"/>
          <w:kern w:val="2"/>
          <w14:ligatures w14:val="standardContextual"/>
        </w:rPr>
        <w:t>publicly-funded</w:t>
      </w:r>
      <w:proofErr w:type="gramEnd"/>
      <w:r w:rsidR="008F07CF">
        <w:rPr>
          <w:rFonts w:ascii="Aptos" w:eastAsia="Aptos" w:hAnsi="Aptos" w:cs="Times New Roman"/>
          <w:kern w:val="2"/>
          <w14:ligatures w14:val="standardContextual"/>
        </w:rPr>
        <w:t xml:space="preserve"> university will be exempt from the National Planning Level (NPL) and will not count as a new overseas student commencement (NOSC) where that student has recently completed a </w:t>
      </w:r>
      <w:r w:rsidR="00F24EF3">
        <w:rPr>
          <w:rFonts w:ascii="Aptos" w:eastAsia="Aptos" w:hAnsi="Aptos" w:cs="Times New Roman"/>
          <w:kern w:val="2"/>
          <w14:ligatures w14:val="standardContextual"/>
        </w:rPr>
        <w:t xml:space="preserve">higher education </w:t>
      </w:r>
      <w:r w:rsidR="00DE3F0C">
        <w:rPr>
          <w:rFonts w:ascii="Aptos" w:eastAsia="Aptos" w:hAnsi="Aptos" w:cs="Times New Roman"/>
          <w:kern w:val="2"/>
          <w14:ligatures w14:val="standardContextual"/>
        </w:rPr>
        <w:t xml:space="preserve">course at </w:t>
      </w:r>
      <w:r w:rsidR="00B4455D">
        <w:rPr>
          <w:rFonts w:ascii="Aptos" w:eastAsia="Aptos" w:hAnsi="Aptos" w:cs="Times New Roman"/>
          <w:kern w:val="2"/>
          <w14:ligatures w14:val="standardContextual"/>
        </w:rPr>
        <w:t xml:space="preserve">an embedded university pathways provider </w:t>
      </w:r>
      <w:r w:rsidR="60E6D067" w:rsidRPr="27C8D609">
        <w:rPr>
          <w:rFonts w:ascii="Aptos" w:eastAsia="Aptos" w:hAnsi="Aptos" w:cs="Times New Roman"/>
        </w:rPr>
        <w:t>affiliated</w:t>
      </w:r>
      <w:r w:rsidR="00B4455D">
        <w:rPr>
          <w:rFonts w:ascii="Aptos" w:eastAsia="Aptos" w:hAnsi="Aptos" w:cs="Times New Roman"/>
          <w:kern w:val="2"/>
          <w14:ligatures w14:val="standardContextual"/>
        </w:rPr>
        <w:t xml:space="preserve"> with the university</w:t>
      </w:r>
      <w:r w:rsidR="00AC32BA">
        <w:rPr>
          <w:rFonts w:ascii="Aptos" w:eastAsia="Aptos" w:hAnsi="Aptos" w:cs="Times New Roman"/>
          <w:kern w:val="2"/>
          <w14:ligatures w14:val="standardContextual"/>
        </w:rPr>
        <w:t xml:space="preserve">. </w:t>
      </w:r>
    </w:p>
    <w:p w14:paraId="6C81AB68" w14:textId="10ADEE50" w:rsidR="001D2E4C" w:rsidRPr="001D2E4C" w:rsidRDefault="006151E3" w:rsidP="001D2E4C">
      <w:pPr>
        <w:spacing w:after="160" w:line="278" w:lineRule="auto"/>
        <w:rPr>
          <w:rFonts w:ascii="Aptos" w:eastAsia="Aptos" w:hAnsi="Aptos" w:cs="Times New Roman"/>
          <w:kern w:val="2"/>
          <w14:ligatures w14:val="standardContextual"/>
        </w:rPr>
      </w:pPr>
      <w:r>
        <w:rPr>
          <w:rFonts w:ascii="Aptos" w:eastAsia="Aptos" w:hAnsi="Aptos" w:cs="Times New Roman"/>
          <w:kern w:val="2"/>
          <w14:ligatures w14:val="standardContextual"/>
        </w:rPr>
        <w:t>This means an overseas student will count as a NOSC against the EUPP’s allocation</w:t>
      </w:r>
      <w:r w:rsidR="00297E03">
        <w:rPr>
          <w:rFonts w:ascii="Aptos" w:eastAsia="Aptos" w:hAnsi="Aptos" w:cs="Times New Roman"/>
          <w:kern w:val="2"/>
          <w14:ligatures w14:val="standardContextual"/>
        </w:rPr>
        <w:t xml:space="preserve"> upon commencement</w:t>
      </w:r>
      <w:r w:rsidR="005B2CB4">
        <w:rPr>
          <w:rFonts w:ascii="Aptos" w:eastAsia="Aptos" w:hAnsi="Aptos" w:cs="Times New Roman"/>
          <w:kern w:val="2"/>
          <w14:ligatures w14:val="standardContextual"/>
        </w:rPr>
        <w:t xml:space="preserve"> of a higher education course</w:t>
      </w:r>
      <w:r w:rsidR="00297E03">
        <w:rPr>
          <w:rFonts w:ascii="Aptos" w:eastAsia="Aptos" w:hAnsi="Aptos" w:cs="Times New Roman"/>
          <w:kern w:val="2"/>
          <w14:ligatures w14:val="standardContextual"/>
        </w:rPr>
        <w:t xml:space="preserve"> at that EUPP</w:t>
      </w:r>
      <w:r w:rsidR="00AD316A">
        <w:rPr>
          <w:rFonts w:ascii="Aptos" w:eastAsia="Aptos" w:hAnsi="Aptos" w:cs="Times New Roman"/>
          <w:kern w:val="2"/>
          <w14:ligatures w14:val="standardContextual"/>
        </w:rPr>
        <w:t xml:space="preserve"> but will not count against </w:t>
      </w:r>
      <w:r w:rsidR="001D2E4C" w:rsidRPr="001D2E4C">
        <w:rPr>
          <w:rFonts w:ascii="Aptos" w:eastAsia="Aptos" w:hAnsi="Aptos" w:cs="Times New Roman"/>
          <w:kern w:val="2"/>
          <w14:ligatures w14:val="standardContextual"/>
        </w:rPr>
        <w:t xml:space="preserve">the affiliated university’s allocation upon commencement of the degree qualification. </w:t>
      </w:r>
    </w:p>
    <w:p w14:paraId="4599B176" w14:textId="4F1EBB7B" w:rsidR="001D2E4C" w:rsidRDefault="001D2E4C" w:rsidP="001D2E4C">
      <w:pPr>
        <w:spacing w:after="160" w:line="278" w:lineRule="auto"/>
        <w:rPr>
          <w:rFonts w:ascii="Aptos" w:eastAsia="Aptos" w:hAnsi="Aptos" w:cs="Times New Roman"/>
          <w:kern w:val="2"/>
          <w14:ligatures w14:val="standardContextual"/>
        </w:rPr>
      </w:pPr>
      <w:r w:rsidRPr="001D2E4C">
        <w:rPr>
          <w:rFonts w:ascii="Aptos" w:eastAsia="Aptos" w:hAnsi="Aptos" w:cs="Times New Roman"/>
          <w:kern w:val="2"/>
          <w14:ligatures w14:val="standardContextual"/>
        </w:rPr>
        <w:t xml:space="preserve">The university and the EUPP will </w:t>
      </w:r>
      <w:r w:rsidR="00F24EF3">
        <w:rPr>
          <w:rFonts w:ascii="Aptos" w:eastAsia="Aptos" w:hAnsi="Aptos" w:cs="Times New Roman"/>
          <w:kern w:val="2"/>
          <w14:ligatures w14:val="standardContextual"/>
        </w:rPr>
        <w:t>also have the flexibility</w:t>
      </w:r>
      <w:r w:rsidRPr="001D2E4C">
        <w:rPr>
          <w:rFonts w:ascii="Aptos" w:eastAsia="Aptos" w:hAnsi="Aptos" w:cs="Times New Roman"/>
          <w:kern w:val="2"/>
          <w14:ligatures w14:val="standardContextual"/>
        </w:rPr>
        <w:t xml:space="preserve"> to </w:t>
      </w:r>
      <w:r w:rsidR="00CB3F04">
        <w:rPr>
          <w:rFonts w:ascii="Aptos" w:eastAsia="Aptos" w:hAnsi="Aptos" w:cs="Times New Roman"/>
          <w:kern w:val="2"/>
          <w14:ligatures w14:val="standardContextual"/>
        </w:rPr>
        <w:t xml:space="preserve">agree a </w:t>
      </w:r>
      <w:r w:rsidRPr="001D2E4C">
        <w:rPr>
          <w:rFonts w:ascii="Aptos" w:eastAsia="Aptos" w:hAnsi="Aptos" w:cs="Times New Roman"/>
          <w:kern w:val="2"/>
          <w14:ligatures w14:val="standardContextual"/>
        </w:rPr>
        <w:t>redistribut</w:t>
      </w:r>
      <w:r w:rsidR="00CB3F04">
        <w:rPr>
          <w:rFonts w:ascii="Aptos" w:eastAsia="Aptos" w:hAnsi="Aptos" w:cs="Times New Roman"/>
          <w:kern w:val="2"/>
          <w14:ligatures w14:val="standardContextual"/>
        </w:rPr>
        <w:t xml:space="preserve">ion of </w:t>
      </w:r>
      <w:r w:rsidRPr="001D2E4C">
        <w:rPr>
          <w:rFonts w:ascii="Aptos" w:eastAsia="Aptos" w:hAnsi="Aptos" w:cs="Times New Roman"/>
          <w:kern w:val="2"/>
          <w14:ligatures w14:val="standardContextual"/>
        </w:rPr>
        <w:t xml:space="preserve">their respective </w:t>
      </w:r>
      <w:r w:rsidR="004D2C54">
        <w:rPr>
          <w:rFonts w:ascii="Aptos" w:eastAsia="Aptos" w:hAnsi="Aptos" w:cs="Times New Roman"/>
          <w:kern w:val="2"/>
          <w14:ligatures w14:val="standardContextual"/>
        </w:rPr>
        <w:t xml:space="preserve">NOSC </w:t>
      </w:r>
      <w:r w:rsidRPr="001D2E4C">
        <w:rPr>
          <w:rFonts w:ascii="Aptos" w:eastAsia="Aptos" w:hAnsi="Aptos" w:cs="Times New Roman"/>
          <w:kern w:val="2"/>
          <w14:ligatures w14:val="standardContextual"/>
        </w:rPr>
        <w:t xml:space="preserve">allocations </w:t>
      </w:r>
      <w:r w:rsidR="00D255E7">
        <w:rPr>
          <w:rFonts w:ascii="Aptos" w:eastAsia="Aptos" w:hAnsi="Aptos" w:cs="Times New Roman"/>
          <w:kern w:val="2"/>
          <w14:ligatures w14:val="standardContextual"/>
        </w:rPr>
        <w:t xml:space="preserve">by notifying </w:t>
      </w:r>
      <w:r w:rsidR="00450CF8">
        <w:rPr>
          <w:rFonts w:ascii="Aptos" w:eastAsia="Aptos" w:hAnsi="Aptos" w:cs="Times New Roman"/>
          <w:kern w:val="2"/>
          <w14:ligatures w14:val="standardContextual"/>
        </w:rPr>
        <w:t>the department</w:t>
      </w:r>
      <w:r w:rsidRPr="001D2E4C">
        <w:rPr>
          <w:rFonts w:ascii="Aptos" w:eastAsia="Aptos" w:hAnsi="Aptos" w:cs="Times New Roman"/>
          <w:kern w:val="2"/>
          <w14:ligatures w14:val="standardContextual"/>
        </w:rPr>
        <w:t>.</w:t>
      </w:r>
    </w:p>
    <w:p w14:paraId="4DA35F04" w14:textId="7B3C1455" w:rsidR="00AF0DF6" w:rsidRPr="001D2E4C" w:rsidRDefault="00AF0DF6" w:rsidP="001D2E4C">
      <w:pPr>
        <w:spacing w:after="160" w:line="278" w:lineRule="auto"/>
        <w:rPr>
          <w:rFonts w:ascii="Aptos" w:eastAsia="Aptos" w:hAnsi="Aptos" w:cs="Times New Roman"/>
          <w:kern w:val="2"/>
          <w14:ligatures w14:val="standardContextual"/>
        </w:rPr>
      </w:pPr>
      <w:r>
        <w:rPr>
          <w:rFonts w:ascii="Aptos" w:eastAsia="Aptos" w:hAnsi="Aptos" w:cs="Times New Roman"/>
          <w:kern w:val="2"/>
          <w14:ligatures w14:val="standardContextual"/>
        </w:rPr>
        <w:t>The exemption does not apply if the student has undertaken a course at the embedded university pathways provider that is outside the NPL (e.g. non-award foundation studies or ELICOS).</w:t>
      </w:r>
    </w:p>
    <w:p w14:paraId="38582DB3" w14:textId="69056A3D" w:rsidR="00636185" w:rsidRPr="001D2E4C" w:rsidRDefault="00636185" w:rsidP="00636185">
      <w:pPr>
        <w:pStyle w:val="Heading4"/>
        <w:rPr>
          <w:rFonts w:ascii="Aptos" w:hAnsi="Aptos"/>
        </w:rPr>
      </w:pPr>
      <w:r>
        <w:rPr>
          <w:rFonts w:ascii="Aptos" w:hAnsi="Aptos"/>
        </w:rPr>
        <w:lastRenderedPageBreak/>
        <w:t>Embedded University Pathways Provider d</w:t>
      </w:r>
      <w:r w:rsidRPr="001D2E4C">
        <w:rPr>
          <w:rFonts w:ascii="Aptos" w:hAnsi="Aptos"/>
        </w:rPr>
        <w:t>efinition</w:t>
      </w:r>
    </w:p>
    <w:p w14:paraId="29DDF5D5" w14:textId="577DA9FA" w:rsidR="00636185" w:rsidRPr="001D2E4C" w:rsidRDefault="00636185" w:rsidP="00636185">
      <w:pPr>
        <w:rPr>
          <w:rFonts w:ascii="Aptos" w:hAnsi="Aptos"/>
        </w:rPr>
      </w:pPr>
      <w:r w:rsidRPr="001D2E4C">
        <w:rPr>
          <w:rFonts w:ascii="Aptos" w:hAnsi="Aptos"/>
        </w:rPr>
        <w:t>To be eligible for th</w:t>
      </w:r>
      <w:r>
        <w:rPr>
          <w:rFonts w:ascii="Aptos" w:hAnsi="Aptos"/>
        </w:rPr>
        <w:t>e</w:t>
      </w:r>
      <w:r w:rsidRPr="001D2E4C">
        <w:rPr>
          <w:rFonts w:ascii="Aptos" w:hAnsi="Aptos"/>
        </w:rPr>
        <w:t xml:space="preserve"> </w:t>
      </w:r>
      <w:r>
        <w:rPr>
          <w:rFonts w:ascii="Aptos" w:hAnsi="Aptos"/>
        </w:rPr>
        <w:t xml:space="preserve">NOSC </w:t>
      </w:r>
      <w:r w:rsidRPr="001D2E4C">
        <w:rPr>
          <w:rFonts w:ascii="Aptos" w:hAnsi="Aptos"/>
        </w:rPr>
        <w:t xml:space="preserve">exemption, the </w:t>
      </w:r>
      <w:r w:rsidR="00D105E9">
        <w:rPr>
          <w:rFonts w:ascii="Aptos" w:hAnsi="Aptos"/>
        </w:rPr>
        <w:t>EUPP</w:t>
      </w:r>
      <w:r w:rsidRPr="001D2E4C">
        <w:rPr>
          <w:rFonts w:ascii="Aptos" w:hAnsi="Aptos"/>
        </w:rPr>
        <w:t xml:space="preserve"> must meet the following definition</w:t>
      </w:r>
      <w:r>
        <w:rPr>
          <w:rFonts w:ascii="Aptos" w:hAnsi="Aptos"/>
        </w:rPr>
        <w:t xml:space="preserve">. </w:t>
      </w:r>
    </w:p>
    <w:p w14:paraId="432CC2FF" w14:textId="77777777" w:rsidR="00636185" w:rsidRPr="003B51AB" w:rsidRDefault="00636185" w:rsidP="00636185">
      <w:pPr>
        <w:rPr>
          <w:rFonts w:ascii="Aptos" w:hAnsi="Aptos"/>
          <w:b/>
          <w:bCs/>
        </w:rPr>
      </w:pPr>
      <w:r w:rsidRPr="003B51AB">
        <w:rPr>
          <w:rFonts w:ascii="Aptos" w:hAnsi="Aptos"/>
          <w:b/>
          <w:bCs/>
        </w:rPr>
        <w:t>An embedded university pathways provider:</w:t>
      </w:r>
    </w:p>
    <w:p w14:paraId="27418994" w14:textId="77777777" w:rsidR="00636185" w:rsidRPr="001D2E4C" w:rsidRDefault="00636185" w:rsidP="00636185">
      <w:pPr>
        <w:numPr>
          <w:ilvl w:val="0"/>
          <w:numId w:val="21"/>
        </w:numPr>
        <w:spacing w:after="160" w:line="278" w:lineRule="auto"/>
        <w:rPr>
          <w:rFonts w:ascii="Aptos" w:hAnsi="Aptos"/>
        </w:rPr>
      </w:pPr>
      <w:r w:rsidRPr="001D2E4C">
        <w:rPr>
          <w:rFonts w:ascii="Aptos" w:hAnsi="Aptos"/>
        </w:rPr>
        <w:t>prepares students for entry into degree programs at the affiliated university (whether, for international students, under the same CRICOS registration, or a separate CRICOS registration to the affiliated university), and</w:t>
      </w:r>
    </w:p>
    <w:p w14:paraId="1847BD8C" w14:textId="77777777" w:rsidR="00636185" w:rsidRPr="001D2E4C" w:rsidRDefault="00636185" w:rsidP="00636185">
      <w:pPr>
        <w:numPr>
          <w:ilvl w:val="0"/>
          <w:numId w:val="21"/>
        </w:numPr>
        <w:spacing w:after="160" w:line="278" w:lineRule="auto"/>
        <w:rPr>
          <w:rFonts w:ascii="Aptos" w:hAnsi="Aptos"/>
        </w:rPr>
      </w:pPr>
      <w:r w:rsidRPr="001D2E4C">
        <w:rPr>
          <w:rFonts w:ascii="Aptos" w:hAnsi="Aptos"/>
        </w:rPr>
        <w:t xml:space="preserve">delivers programs* which are: </w:t>
      </w:r>
    </w:p>
    <w:p w14:paraId="133F61FA" w14:textId="77777777" w:rsidR="00636185" w:rsidRPr="001D2E4C" w:rsidRDefault="00636185" w:rsidP="00636185">
      <w:pPr>
        <w:numPr>
          <w:ilvl w:val="1"/>
          <w:numId w:val="21"/>
        </w:numPr>
        <w:spacing w:after="160" w:line="278" w:lineRule="auto"/>
        <w:rPr>
          <w:rFonts w:ascii="Aptos" w:hAnsi="Aptos"/>
        </w:rPr>
      </w:pPr>
      <w:r w:rsidRPr="001D2E4C">
        <w:rPr>
          <w:rFonts w:ascii="Aptos" w:hAnsi="Aptos"/>
        </w:rPr>
        <w:t>principally intended as a pathway to degree programs at the affiliated university, and</w:t>
      </w:r>
    </w:p>
    <w:p w14:paraId="019E7D8E" w14:textId="77777777" w:rsidR="00636185" w:rsidRPr="001D2E4C" w:rsidRDefault="00636185" w:rsidP="00636185">
      <w:pPr>
        <w:numPr>
          <w:ilvl w:val="1"/>
          <w:numId w:val="21"/>
        </w:numPr>
        <w:spacing w:after="160" w:line="278" w:lineRule="auto"/>
        <w:rPr>
          <w:rFonts w:ascii="Aptos" w:hAnsi="Aptos"/>
        </w:rPr>
      </w:pPr>
      <w:r w:rsidRPr="001D2E4C">
        <w:rPr>
          <w:rFonts w:ascii="Aptos" w:hAnsi="Aptos"/>
        </w:rPr>
        <w:t>developed in conjunction with the affiliated university, and</w:t>
      </w:r>
    </w:p>
    <w:p w14:paraId="384359DF" w14:textId="77777777" w:rsidR="00636185" w:rsidRPr="001D2E4C" w:rsidRDefault="00636185" w:rsidP="00636185">
      <w:pPr>
        <w:numPr>
          <w:ilvl w:val="1"/>
          <w:numId w:val="21"/>
        </w:numPr>
        <w:spacing w:after="160" w:line="278" w:lineRule="auto"/>
        <w:rPr>
          <w:rFonts w:ascii="Aptos" w:hAnsi="Aptos"/>
        </w:rPr>
      </w:pPr>
      <w:r w:rsidRPr="001D2E4C">
        <w:rPr>
          <w:rFonts w:ascii="Aptos" w:hAnsi="Aptos"/>
        </w:rPr>
        <w:t>integrated into the affiliated university’s operating model (i.e. students from these pathway programs represent a consistently significant component of the relevant university degree programs and are factored into the university’s business and academic delivery planning), and</w:t>
      </w:r>
    </w:p>
    <w:p w14:paraId="0ADB9D14" w14:textId="77777777" w:rsidR="00636185" w:rsidRPr="001D2E4C" w:rsidRDefault="00636185" w:rsidP="00636185">
      <w:pPr>
        <w:numPr>
          <w:ilvl w:val="1"/>
          <w:numId w:val="21"/>
        </w:numPr>
        <w:spacing w:after="160" w:line="278" w:lineRule="auto"/>
        <w:rPr>
          <w:rFonts w:ascii="Aptos" w:hAnsi="Aptos"/>
          <w:u w:val="single"/>
        </w:rPr>
      </w:pPr>
      <w:r w:rsidRPr="001D2E4C">
        <w:rPr>
          <w:rFonts w:ascii="Aptos" w:hAnsi="Aptos"/>
        </w:rPr>
        <w:t xml:space="preserve">accredited or otherwise recognised by the affiliated university; </w:t>
      </w:r>
      <w:r w:rsidRPr="001D2E4C">
        <w:rPr>
          <w:rFonts w:ascii="Aptos" w:hAnsi="Aptos"/>
          <w:u w:val="single"/>
        </w:rPr>
        <w:t>and</w:t>
      </w:r>
    </w:p>
    <w:p w14:paraId="2625B7C6" w14:textId="77777777" w:rsidR="00636185" w:rsidRPr="001D2E4C" w:rsidRDefault="00636185" w:rsidP="00636185">
      <w:pPr>
        <w:numPr>
          <w:ilvl w:val="0"/>
          <w:numId w:val="21"/>
        </w:numPr>
        <w:spacing w:after="160" w:line="278" w:lineRule="auto"/>
        <w:rPr>
          <w:rFonts w:ascii="Aptos" w:hAnsi="Aptos"/>
        </w:rPr>
      </w:pPr>
      <w:r w:rsidRPr="001D2E4C">
        <w:rPr>
          <w:rFonts w:ascii="Aptos" w:hAnsi="Aptos"/>
        </w:rPr>
        <w:t xml:space="preserve">has an enforceable, established agreement in place with the affiliated university which demonstrates a shared commitment to high quality delivery and the close integration of the pathway programs with the university’s operations through: </w:t>
      </w:r>
    </w:p>
    <w:p w14:paraId="1007E08E" w14:textId="690B44DC" w:rsidR="00636185" w:rsidRPr="001D2E4C" w:rsidRDefault="00636185" w:rsidP="00636185">
      <w:pPr>
        <w:numPr>
          <w:ilvl w:val="1"/>
          <w:numId w:val="21"/>
        </w:numPr>
        <w:spacing w:after="160" w:line="278" w:lineRule="auto"/>
        <w:rPr>
          <w:rFonts w:ascii="Aptos" w:hAnsi="Aptos"/>
        </w:rPr>
      </w:pPr>
      <w:r w:rsidRPr="001D2E4C">
        <w:rPr>
          <w:rFonts w:ascii="Aptos" w:hAnsi="Aptos"/>
        </w:rPr>
        <w:t>joint academic, governance or business structures with the affiliated university (for example, oversight of pathways provider program design and delivery by the university academic board or similar arrangement with substantial representation from the university, or approval from the affiliated university to include the university’s name in their trading name), or</w:t>
      </w:r>
    </w:p>
    <w:p w14:paraId="193E4EDA" w14:textId="77777777" w:rsidR="00636185" w:rsidRPr="001D2E4C" w:rsidRDefault="00636185" w:rsidP="00636185">
      <w:pPr>
        <w:pStyle w:val="ListParagraph"/>
        <w:numPr>
          <w:ilvl w:val="1"/>
          <w:numId w:val="21"/>
        </w:numPr>
        <w:rPr>
          <w:rFonts w:ascii="Aptos" w:hAnsi="Aptos"/>
          <w:sz w:val="22"/>
          <w:szCs w:val="22"/>
        </w:rPr>
      </w:pPr>
      <w:r w:rsidRPr="001D2E4C">
        <w:rPr>
          <w:rFonts w:ascii="Aptos" w:hAnsi="Aptos"/>
          <w:sz w:val="22"/>
          <w:szCs w:val="22"/>
        </w:rPr>
        <w:t xml:space="preserve">evidence of partnership arrangements with the affiliated university for third party academic delivery which have been reported to the Tertiary Education Quality and Standards Authority (TEQSA) in accordance with Section 5.4 of the </w:t>
      </w:r>
      <w:hyperlink r:id="rId14" w:tooltip="Higher Education Standards Framework (Threshold Standards) 2021" w:history="1">
        <w:r w:rsidRPr="001D2E4C">
          <w:rPr>
            <w:rStyle w:val="Hyperlink"/>
            <w:rFonts w:ascii="Aptos" w:hAnsi="Aptos"/>
            <w:i/>
            <w:iCs/>
            <w:sz w:val="22"/>
            <w:szCs w:val="22"/>
          </w:rPr>
          <w:t>Higher Education Standards Framework (Threshold Standards) 2021</w:t>
        </w:r>
      </w:hyperlink>
      <w:r w:rsidRPr="001D2E4C">
        <w:rPr>
          <w:rFonts w:ascii="Aptos" w:hAnsi="Aptos"/>
          <w:sz w:val="22"/>
          <w:szCs w:val="22"/>
        </w:rPr>
        <w:t xml:space="preserve">. </w:t>
      </w:r>
    </w:p>
    <w:p w14:paraId="0663BB91" w14:textId="77777777" w:rsidR="00636185" w:rsidRDefault="00636185" w:rsidP="00636185">
      <w:pPr>
        <w:rPr>
          <w:rFonts w:ascii="Aptos" w:hAnsi="Aptos" w:cs="Arial"/>
        </w:rPr>
      </w:pPr>
      <w:r w:rsidRPr="2158BE58">
        <w:rPr>
          <w:rFonts w:ascii="Aptos" w:hAnsi="Aptos" w:cs="Arial"/>
        </w:rPr>
        <w:t>*This includes non-award foundation programs, ELICOS programs, higher education diploma programs and pre-</w:t>
      </w:r>
      <w:bookmarkStart w:id="2" w:name="_Int_ZN3tr2c6"/>
      <w:r w:rsidRPr="2158BE58">
        <w:rPr>
          <w:rFonts w:ascii="Aptos" w:hAnsi="Aptos" w:cs="Arial"/>
        </w:rPr>
        <w:t>masters</w:t>
      </w:r>
      <w:bookmarkEnd w:id="2"/>
      <w:r w:rsidRPr="2158BE58">
        <w:rPr>
          <w:rFonts w:ascii="Aptos" w:hAnsi="Aptos" w:cs="Arial"/>
        </w:rPr>
        <w:t xml:space="preserve"> programs.</w:t>
      </w:r>
    </w:p>
    <w:p w14:paraId="760E324B" w14:textId="6A88C0BC" w:rsidR="00B93F52" w:rsidRPr="001D2E4C" w:rsidRDefault="00B93F52" w:rsidP="00636185">
      <w:pPr>
        <w:rPr>
          <w:rFonts w:ascii="Aptos" w:hAnsi="Aptos" w:cs="Arial"/>
        </w:rPr>
      </w:pPr>
      <w:bookmarkStart w:id="3" w:name="_Hlk207354811"/>
      <w:r>
        <w:rPr>
          <w:rFonts w:ascii="Aptos" w:hAnsi="Aptos" w:cs="Arial"/>
        </w:rPr>
        <w:t>Typically</w:t>
      </w:r>
      <w:r w:rsidR="00A9250B">
        <w:rPr>
          <w:rFonts w:ascii="Aptos" w:hAnsi="Aptos" w:cs="Arial"/>
        </w:rPr>
        <w:t>,</w:t>
      </w:r>
      <w:r>
        <w:rPr>
          <w:rFonts w:ascii="Aptos" w:hAnsi="Aptos" w:cs="Arial"/>
        </w:rPr>
        <w:t xml:space="preserve"> each university will only have one embedded university pathways provider</w:t>
      </w:r>
      <w:r w:rsidR="00DE5CB0">
        <w:rPr>
          <w:rFonts w:ascii="Aptos" w:hAnsi="Aptos" w:cs="Arial"/>
        </w:rPr>
        <w:t xml:space="preserve">, outside of exceptional circumstances (e.g. university merger, </w:t>
      </w:r>
      <w:r w:rsidR="00434284">
        <w:rPr>
          <w:rFonts w:ascii="Aptos" w:hAnsi="Aptos" w:cs="Arial"/>
        </w:rPr>
        <w:t>transfer of contract arrangements)</w:t>
      </w:r>
      <w:r w:rsidR="00BB6F5C">
        <w:rPr>
          <w:rFonts w:ascii="Aptos" w:hAnsi="Aptos" w:cs="Arial"/>
        </w:rPr>
        <w:t xml:space="preserve"> or arrangements with TAFE providers. </w:t>
      </w:r>
    </w:p>
    <w:bookmarkEnd w:id="3"/>
    <w:p w14:paraId="14014EC7" w14:textId="198DE153" w:rsidR="001D2E4C" w:rsidRPr="005C3423" w:rsidRDefault="001D2E4C" w:rsidP="005C3423">
      <w:pPr>
        <w:pStyle w:val="Heading4"/>
        <w:rPr>
          <w:rFonts w:ascii="Aptos" w:hAnsi="Aptos"/>
        </w:rPr>
      </w:pPr>
      <w:r w:rsidRPr="005C3423">
        <w:rPr>
          <w:rFonts w:ascii="Aptos" w:hAnsi="Aptos"/>
        </w:rPr>
        <w:t xml:space="preserve">The exemption </w:t>
      </w:r>
      <w:r w:rsidRPr="005C3423">
        <w:rPr>
          <w:rFonts w:ascii="Aptos" w:hAnsi="Aptos"/>
          <w:u w:val="single"/>
        </w:rPr>
        <w:t>only applies</w:t>
      </w:r>
      <w:r w:rsidRPr="005C3423">
        <w:rPr>
          <w:rFonts w:ascii="Aptos" w:hAnsi="Aptos"/>
        </w:rPr>
        <w:t>:</w:t>
      </w:r>
    </w:p>
    <w:p w14:paraId="4DD4390C" w14:textId="0A38F232" w:rsidR="00870045" w:rsidRDefault="000815E8" w:rsidP="005C3423">
      <w:pPr>
        <w:numPr>
          <w:ilvl w:val="0"/>
          <w:numId w:val="22"/>
        </w:numPr>
        <w:rPr>
          <w:rFonts w:ascii="Aptos" w:hAnsi="Aptos" w:cs="Arial"/>
        </w:rPr>
      </w:pPr>
      <w:r>
        <w:rPr>
          <w:rFonts w:ascii="Aptos" w:hAnsi="Aptos" w:cs="Arial"/>
        </w:rPr>
        <w:t>W</w:t>
      </w:r>
      <w:r w:rsidR="001D2E4C" w:rsidRPr="2FC61E15">
        <w:rPr>
          <w:rFonts w:ascii="Aptos" w:hAnsi="Aptos" w:cs="Arial"/>
        </w:rPr>
        <w:t xml:space="preserve">hen the student completes their </w:t>
      </w:r>
      <w:r w:rsidR="004D2C54">
        <w:rPr>
          <w:rFonts w:ascii="Aptos" w:hAnsi="Aptos" w:cs="Arial"/>
        </w:rPr>
        <w:t xml:space="preserve">higher education </w:t>
      </w:r>
      <w:r w:rsidR="001D2E4C" w:rsidRPr="2FC61E15">
        <w:rPr>
          <w:rFonts w:ascii="Aptos" w:hAnsi="Aptos" w:cs="Arial"/>
        </w:rPr>
        <w:t>pathway course and continues on to commence a program at an affiliated university</w:t>
      </w:r>
      <w:r>
        <w:rPr>
          <w:rFonts w:ascii="Aptos" w:hAnsi="Aptos" w:cs="Arial"/>
        </w:rPr>
        <w:t xml:space="preserve">. </w:t>
      </w:r>
    </w:p>
    <w:p w14:paraId="3CCE1FE0" w14:textId="4AB2EF19" w:rsidR="001D2E4C" w:rsidRPr="001D2E4C" w:rsidRDefault="000815E8" w:rsidP="00194AD6">
      <w:pPr>
        <w:numPr>
          <w:ilvl w:val="1"/>
          <w:numId w:val="22"/>
        </w:numPr>
        <w:rPr>
          <w:rFonts w:ascii="Aptos" w:hAnsi="Aptos" w:cs="Arial"/>
        </w:rPr>
      </w:pPr>
      <w:r>
        <w:rPr>
          <w:rFonts w:ascii="Aptos" w:hAnsi="Aptos" w:cs="Arial"/>
        </w:rPr>
        <w:t>T</w:t>
      </w:r>
      <w:r w:rsidR="001D2E4C" w:rsidRPr="2FC61E15">
        <w:rPr>
          <w:rFonts w:ascii="Aptos" w:hAnsi="Aptos" w:cs="Arial"/>
        </w:rPr>
        <w:t>he</w:t>
      </w:r>
      <w:r w:rsidR="0D982FBE" w:rsidRPr="2FC61E15">
        <w:rPr>
          <w:rFonts w:ascii="Aptos" w:hAnsi="Aptos" w:cs="Arial"/>
        </w:rPr>
        <w:t xml:space="preserve"> </w:t>
      </w:r>
      <w:r w:rsidR="001D2E4C" w:rsidRPr="2FC61E15">
        <w:rPr>
          <w:rFonts w:ascii="Aptos" w:hAnsi="Aptos" w:cs="Arial"/>
        </w:rPr>
        <w:t>student continues to count as a NOSC if they were to commence at a non-affiliated university</w:t>
      </w:r>
      <w:r w:rsidR="00721376">
        <w:rPr>
          <w:rFonts w:ascii="Aptos" w:hAnsi="Aptos" w:cs="Arial"/>
        </w:rPr>
        <w:t>.</w:t>
      </w:r>
    </w:p>
    <w:p w14:paraId="744328C1" w14:textId="77777777" w:rsidR="00870045" w:rsidRDefault="00575263" w:rsidP="005C3423">
      <w:pPr>
        <w:numPr>
          <w:ilvl w:val="0"/>
          <w:numId w:val="22"/>
        </w:numPr>
        <w:rPr>
          <w:rFonts w:ascii="Aptos" w:hAnsi="Aptos" w:cs="Arial"/>
        </w:rPr>
      </w:pPr>
      <w:r>
        <w:rPr>
          <w:rFonts w:ascii="Aptos" w:hAnsi="Aptos" w:cs="Arial"/>
        </w:rPr>
        <w:lastRenderedPageBreak/>
        <w:t>W</w:t>
      </w:r>
      <w:r w:rsidR="001D2E4C" w:rsidRPr="2FC61E15">
        <w:rPr>
          <w:rFonts w:ascii="Aptos" w:hAnsi="Aptos" w:cs="Arial"/>
        </w:rPr>
        <w:t>here pathway providers operate under a separate CRICOS code to the university</w:t>
      </w:r>
      <w:r>
        <w:rPr>
          <w:rFonts w:ascii="Aptos" w:hAnsi="Aptos" w:cs="Arial"/>
        </w:rPr>
        <w:t xml:space="preserve">. </w:t>
      </w:r>
    </w:p>
    <w:p w14:paraId="4AA9A79F" w14:textId="05D4ADE8" w:rsidR="001D2E4C" w:rsidRDefault="00575263" w:rsidP="00194AD6">
      <w:pPr>
        <w:numPr>
          <w:ilvl w:val="1"/>
          <w:numId w:val="22"/>
        </w:numPr>
        <w:rPr>
          <w:rFonts w:ascii="Aptos" w:hAnsi="Aptos" w:cs="Arial"/>
        </w:rPr>
      </w:pPr>
      <w:r>
        <w:rPr>
          <w:rFonts w:ascii="Aptos" w:hAnsi="Aptos" w:cs="Arial"/>
        </w:rPr>
        <w:t>I</w:t>
      </w:r>
      <w:r w:rsidR="001D2E4C" w:rsidRPr="2FC61E15">
        <w:rPr>
          <w:rFonts w:ascii="Aptos" w:hAnsi="Aptos" w:cs="Arial"/>
        </w:rPr>
        <w:t xml:space="preserve">n cases where an EUPP operates under the same CRICOS code as the university, the student is already </w:t>
      </w:r>
      <w:r w:rsidR="004D2C54">
        <w:rPr>
          <w:rFonts w:ascii="Aptos" w:hAnsi="Aptos" w:cs="Arial"/>
        </w:rPr>
        <w:t xml:space="preserve">only </w:t>
      </w:r>
      <w:r w:rsidR="001D2E4C" w:rsidRPr="2FC61E15">
        <w:rPr>
          <w:rFonts w:ascii="Aptos" w:hAnsi="Aptos" w:cs="Arial"/>
        </w:rPr>
        <w:t>counted as a NOSC once</w:t>
      </w:r>
      <w:r>
        <w:rPr>
          <w:rFonts w:ascii="Aptos" w:hAnsi="Aptos" w:cs="Arial"/>
        </w:rPr>
        <w:t>.</w:t>
      </w:r>
    </w:p>
    <w:p w14:paraId="771F22AB" w14:textId="1CA3B6C8" w:rsidR="00870045" w:rsidRDefault="00575263" w:rsidP="2FC61E15">
      <w:pPr>
        <w:numPr>
          <w:ilvl w:val="0"/>
          <w:numId w:val="22"/>
        </w:numPr>
        <w:rPr>
          <w:rFonts w:ascii="Aptos" w:hAnsi="Aptos" w:cs="Arial"/>
        </w:rPr>
      </w:pPr>
      <w:r>
        <w:rPr>
          <w:rFonts w:ascii="Aptos" w:hAnsi="Aptos" w:cs="Arial"/>
        </w:rPr>
        <w:t>W</w:t>
      </w:r>
      <w:r w:rsidR="005C3423" w:rsidRPr="2FC61E15">
        <w:rPr>
          <w:rFonts w:ascii="Aptos" w:hAnsi="Aptos" w:cs="Arial"/>
        </w:rPr>
        <w:t xml:space="preserve">hen the EUPP satisfies the criteria outlined in the </w:t>
      </w:r>
      <w:r w:rsidR="00443B71">
        <w:rPr>
          <w:rFonts w:ascii="Aptos" w:hAnsi="Aptos" w:cs="Arial"/>
        </w:rPr>
        <w:t xml:space="preserve">above </w:t>
      </w:r>
      <w:r w:rsidR="005C3423" w:rsidRPr="2FC61E15">
        <w:rPr>
          <w:rFonts w:ascii="Aptos" w:hAnsi="Aptos" w:cs="Arial"/>
        </w:rPr>
        <w:t>definition</w:t>
      </w:r>
      <w:r>
        <w:rPr>
          <w:rFonts w:ascii="Aptos" w:hAnsi="Aptos" w:cs="Arial"/>
        </w:rPr>
        <w:t>.</w:t>
      </w:r>
      <w:r w:rsidR="005C3423" w:rsidRPr="2FC61E15">
        <w:rPr>
          <w:rFonts w:ascii="Aptos" w:hAnsi="Aptos" w:cs="Arial"/>
        </w:rPr>
        <w:t xml:space="preserve"> </w:t>
      </w:r>
    </w:p>
    <w:p w14:paraId="388E6B5B" w14:textId="03F8B407" w:rsidR="005C3423" w:rsidRDefault="00575263" w:rsidP="00194AD6">
      <w:pPr>
        <w:numPr>
          <w:ilvl w:val="1"/>
          <w:numId w:val="22"/>
        </w:numPr>
        <w:rPr>
          <w:rFonts w:ascii="Aptos" w:hAnsi="Aptos" w:cs="Arial"/>
        </w:rPr>
      </w:pPr>
      <w:r>
        <w:rPr>
          <w:rFonts w:ascii="Aptos" w:hAnsi="Aptos" w:cs="Arial"/>
        </w:rPr>
        <w:t>T</w:t>
      </w:r>
      <w:r w:rsidR="005C3423" w:rsidRPr="2FC61E15">
        <w:rPr>
          <w:rFonts w:ascii="Aptos" w:hAnsi="Aptos" w:cs="Arial"/>
        </w:rPr>
        <w:t>he exemption is not intended to capture all articulation arrangements between providers</w:t>
      </w:r>
      <w:r>
        <w:rPr>
          <w:rFonts w:ascii="Aptos" w:hAnsi="Aptos" w:cs="Arial"/>
        </w:rPr>
        <w:t>.</w:t>
      </w:r>
    </w:p>
    <w:p w14:paraId="3EFC927A" w14:textId="0266D434" w:rsidR="00E06377" w:rsidRDefault="00B06FCD" w:rsidP="00DC23D8">
      <w:pPr>
        <w:numPr>
          <w:ilvl w:val="0"/>
          <w:numId w:val="22"/>
        </w:numPr>
        <w:rPr>
          <w:rFonts w:ascii="Aptos" w:hAnsi="Aptos" w:cs="Arial"/>
        </w:rPr>
      </w:pPr>
      <w:r w:rsidRPr="00B06FCD">
        <w:rPr>
          <w:rFonts w:ascii="Aptos" w:hAnsi="Aptos" w:cs="Arial"/>
        </w:rPr>
        <w:t xml:space="preserve">If the </w:t>
      </w:r>
      <w:r>
        <w:rPr>
          <w:rFonts w:ascii="Aptos" w:hAnsi="Aptos" w:cs="Arial"/>
        </w:rPr>
        <w:t xml:space="preserve">student commences at the affiliated university within 12 months of completing </w:t>
      </w:r>
      <w:r w:rsidR="00753CBB">
        <w:rPr>
          <w:rFonts w:ascii="Aptos" w:hAnsi="Aptos" w:cs="Arial"/>
        </w:rPr>
        <w:t>their course at the EUPP</w:t>
      </w:r>
      <w:r w:rsidR="00DC23D8">
        <w:rPr>
          <w:rFonts w:ascii="Aptos" w:hAnsi="Aptos" w:cs="Arial"/>
        </w:rPr>
        <w:t>.</w:t>
      </w:r>
    </w:p>
    <w:p w14:paraId="154092EE" w14:textId="042C1B42" w:rsidR="00753CBB" w:rsidRPr="00B06FCD" w:rsidRDefault="00DC23D8" w:rsidP="00DC23D8">
      <w:pPr>
        <w:numPr>
          <w:ilvl w:val="0"/>
          <w:numId w:val="22"/>
        </w:numPr>
        <w:rPr>
          <w:rFonts w:ascii="Aptos" w:hAnsi="Aptos" w:cs="Arial"/>
        </w:rPr>
      </w:pPr>
      <w:r>
        <w:rPr>
          <w:rFonts w:ascii="Aptos" w:hAnsi="Aptos" w:cs="Arial"/>
        </w:rPr>
        <w:t>In respect to the</w:t>
      </w:r>
      <w:r w:rsidR="007E3C2A">
        <w:rPr>
          <w:rFonts w:ascii="Aptos" w:hAnsi="Aptos" w:cs="Arial"/>
        </w:rPr>
        <w:t xml:space="preserve"> first </w:t>
      </w:r>
      <w:r w:rsidR="00142518">
        <w:rPr>
          <w:rFonts w:ascii="Aptos" w:hAnsi="Aptos" w:cs="Arial"/>
        </w:rPr>
        <w:t>course</w:t>
      </w:r>
      <w:r w:rsidR="00584787">
        <w:rPr>
          <w:rFonts w:ascii="Aptos" w:hAnsi="Aptos" w:cs="Arial"/>
        </w:rPr>
        <w:t xml:space="preserve"> </w:t>
      </w:r>
      <w:r w:rsidR="00C02BEA">
        <w:rPr>
          <w:rFonts w:ascii="Aptos" w:hAnsi="Aptos" w:cs="Arial"/>
        </w:rPr>
        <w:t xml:space="preserve">undertaken by the </w:t>
      </w:r>
      <w:r w:rsidR="00D86C3A">
        <w:rPr>
          <w:rFonts w:ascii="Aptos" w:hAnsi="Aptos" w:cs="Arial"/>
        </w:rPr>
        <w:t>student</w:t>
      </w:r>
      <w:r w:rsidR="00A61C67">
        <w:rPr>
          <w:rFonts w:ascii="Aptos" w:hAnsi="Aptos" w:cs="Arial"/>
        </w:rPr>
        <w:t xml:space="preserve"> at the affiliated university</w:t>
      </w:r>
      <w:r w:rsidR="00D86C3A">
        <w:rPr>
          <w:rFonts w:ascii="Aptos" w:hAnsi="Aptos" w:cs="Arial"/>
        </w:rPr>
        <w:t xml:space="preserve"> </w:t>
      </w:r>
      <w:r w:rsidR="00A61C67">
        <w:rPr>
          <w:rFonts w:ascii="Aptos" w:hAnsi="Aptos" w:cs="Arial"/>
        </w:rPr>
        <w:t>that would otherwise count as a NOSC</w:t>
      </w:r>
      <w:r w:rsidR="002F7D37">
        <w:rPr>
          <w:rFonts w:ascii="Aptos" w:hAnsi="Aptos" w:cs="Arial"/>
        </w:rPr>
        <w:t xml:space="preserve"> (e.g.</w:t>
      </w:r>
      <w:r w:rsidR="00870045">
        <w:rPr>
          <w:rFonts w:ascii="Aptos" w:hAnsi="Aptos" w:cs="Arial"/>
        </w:rPr>
        <w:t>,</w:t>
      </w:r>
      <w:r w:rsidR="002F7D37">
        <w:rPr>
          <w:rFonts w:ascii="Aptos" w:hAnsi="Aptos" w:cs="Arial"/>
        </w:rPr>
        <w:t xml:space="preserve"> </w:t>
      </w:r>
      <w:r w:rsidR="007102C0">
        <w:rPr>
          <w:rFonts w:ascii="Aptos" w:hAnsi="Aptos" w:cs="Arial"/>
        </w:rPr>
        <w:t xml:space="preserve">if a student undertakes subsequent </w:t>
      </w:r>
      <w:r w:rsidR="00142518">
        <w:rPr>
          <w:rFonts w:ascii="Aptos" w:hAnsi="Aptos" w:cs="Arial"/>
        </w:rPr>
        <w:t>courses</w:t>
      </w:r>
      <w:r w:rsidR="007102C0">
        <w:rPr>
          <w:rFonts w:ascii="Aptos" w:hAnsi="Aptos" w:cs="Arial"/>
        </w:rPr>
        <w:t xml:space="preserve"> </w:t>
      </w:r>
      <w:r w:rsidR="008F34C3">
        <w:rPr>
          <w:rFonts w:ascii="Aptos" w:hAnsi="Aptos" w:cs="Arial"/>
        </w:rPr>
        <w:t xml:space="preserve">following completion of the </w:t>
      </w:r>
      <w:r w:rsidR="00142518">
        <w:rPr>
          <w:rFonts w:ascii="Aptos" w:hAnsi="Aptos" w:cs="Arial"/>
        </w:rPr>
        <w:t>course</w:t>
      </w:r>
      <w:r w:rsidR="009506FE">
        <w:rPr>
          <w:rFonts w:ascii="Aptos" w:hAnsi="Aptos" w:cs="Arial"/>
        </w:rPr>
        <w:t xml:space="preserve"> for which the university received a NOSC exemption, </w:t>
      </w:r>
      <w:r w:rsidR="003913AA">
        <w:rPr>
          <w:rFonts w:ascii="Aptos" w:hAnsi="Aptos" w:cs="Arial"/>
        </w:rPr>
        <w:t xml:space="preserve">the subsequent qualifications will count as </w:t>
      </w:r>
      <w:r w:rsidR="00870045">
        <w:rPr>
          <w:rFonts w:ascii="Aptos" w:hAnsi="Aptos" w:cs="Arial"/>
        </w:rPr>
        <w:t xml:space="preserve">a </w:t>
      </w:r>
      <w:r w:rsidR="003913AA">
        <w:rPr>
          <w:rFonts w:ascii="Aptos" w:hAnsi="Aptos" w:cs="Arial"/>
        </w:rPr>
        <w:t xml:space="preserve">NOSC). </w:t>
      </w:r>
    </w:p>
    <w:p w14:paraId="735425B8" w14:textId="027E0B91" w:rsidR="001D2E4C" w:rsidRPr="005C3423" w:rsidRDefault="001D2E4C" w:rsidP="005C3423">
      <w:pPr>
        <w:pStyle w:val="Heading4"/>
        <w:rPr>
          <w:rFonts w:ascii="Aptos" w:hAnsi="Aptos"/>
        </w:rPr>
      </w:pPr>
      <w:r w:rsidRPr="005C3423">
        <w:rPr>
          <w:rFonts w:ascii="Aptos" w:hAnsi="Aptos"/>
        </w:rPr>
        <w:t xml:space="preserve">TAFE Arrangements </w:t>
      </w:r>
    </w:p>
    <w:p w14:paraId="275EFE57" w14:textId="77777777" w:rsidR="00C86142" w:rsidRPr="001D2E4C" w:rsidRDefault="00C86142" w:rsidP="00C86142">
      <w:pPr>
        <w:spacing w:after="160" w:line="278" w:lineRule="auto"/>
        <w:rPr>
          <w:rFonts w:ascii="Aptos" w:eastAsia="Aptos" w:hAnsi="Aptos" w:cs="Times New Roman"/>
          <w:kern w:val="2"/>
          <w14:ligatures w14:val="standardContextual"/>
        </w:rPr>
      </w:pPr>
      <w:r w:rsidRPr="001D2E4C">
        <w:rPr>
          <w:rFonts w:ascii="Aptos" w:eastAsia="Aptos" w:hAnsi="Aptos" w:cs="Times New Roman"/>
          <w:kern w:val="2"/>
          <w14:ligatures w14:val="standardContextual"/>
        </w:rPr>
        <w:t>The Government also highly values TAFE partnerships with universities. To make more seamless transitions possible between VET and higher education and vice versa, the Government is establishing equivalent arrangements where there is a strong pathway relationship for international students between TAFE study and a university course.</w:t>
      </w:r>
    </w:p>
    <w:p w14:paraId="7E37F8CE" w14:textId="77777777" w:rsidR="001D2E4C" w:rsidRPr="001D2E4C" w:rsidRDefault="001D2E4C" w:rsidP="001D2E4C">
      <w:pPr>
        <w:rPr>
          <w:rFonts w:ascii="Aptos" w:hAnsi="Aptos" w:cs="Arial"/>
        </w:rPr>
      </w:pPr>
      <w:r w:rsidRPr="001D2E4C">
        <w:rPr>
          <w:rFonts w:ascii="Aptos" w:hAnsi="Aptos" w:cs="Arial"/>
        </w:rPr>
        <w:t>Recognition of TAFE arrangements in relation to international students could occur when there is a written agreement in place between the TAFE and the affiliated university that  </w:t>
      </w:r>
    </w:p>
    <w:p w14:paraId="4450E581" w14:textId="00C35CF7" w:rsidR="001D2E4C" w:rsidRPr="001D2E4C" w:rsidRDefault="001D2E4C" w:rsidP="001D2E4C">
      <w:pPr>
        <w:numPr>
          <w:ilvl w:val="0"/>
          <w:numId w:val="22"/>
        </w:numPr>
        <w:rPr>
          <w:rFonts w:ascii="Aptos" w:hAnsi="Aptos" w:cs="Arial"/>
        </w:rPr>
      </w:pPr>
      <w:r w:rsidRPr="001D2E4C">
        <w:rPr>
          <w:rFonts w:ascii="Aptos" w:hAnsi="Aptos" w:cs="Arial"/>
        </w:rPr>
        <w:t>specifies the relevant TAFE and university courses and the associated articulation arrangements, and</w:t>
      </w:r>
    </w:p>
    <w:p w14:paraId="2EB4C925" w14:textId="5B0D7694" w:rsidR="00E5343C" w:rsidRPr="002536B3" w:rsidRDefault="001D2E4C" w:rsidP="00E5343C">
      <w:pPr>
        <w:numPr>
          <w:ilvl w:val="0"/>
          <w:numId w:val="23"/>
        </w:numPr>
        <w:rPr>
          <w:rFonts w:ascii="Aptos" w:hAnsi="Aptos" w:cs="Arial"/>
        </w:rPr>
      </w:pPr>
      <w:r w:rsidRPr="001D2E4C">
        <w:rPr>
          <w:rFonts w:ascii="Aptos" w:hAnsi="Aptos" w:cs="Arial"/>
        </w:rPr>
        <w:t>involves further commitments from the TAFE and affiliated university in relation to matters such as any shared curriculum or joint academic delivery, application and admissions processes, agent relationships and administration of student records in PRISMS.</w:t>
      </w:r>
    </w:p>
    <w:p w14:paraId="4F1F7F9C" w14:textId="54AB7E95" w:rsidR="003B51AB" w:rsidRPr="003B51AB" w:rsidRDefault="003B51AB" w:rsidP="003B51AB">
      <w:pPr>
        <w:pStyle w:val="Heading4"/>
        <w:rPr>
          <w:rFonts w:ascii="Aptos" w:hAnsi="Aptos"/>
        </w:rPr>
      </w:pPr>
      <w:r w:rsidRPr="003B51AB">
        <w:rPr>
          <w:rFonts w:ascii="Aptos" w:hAnsi="Aptos"/>
        </w:rPr>
        <w:t>Action Required</w:t>
      </w:r>
    </w:p>
    <w:p w14:paraId="445A77CB" w14:textId="4F90B39F" w:rsidR="001D2E4C" w:rsidRDefault="001D2E4C" w:rsidP="001D2E4C">
      <w:pPr>
        <w:rPr>
          <w:rFonts w:ascii="Aptos" w:hAnsi="Aptos" w:cs="Arial"/>
        </w:rPr>
      </w:pPr>
      <w:r w:rsidRPr="001D2E4C">
        <w:rPr>
          <w:rFonts w:ascii="Aptos" w:hAnsi="Aptos" w:cs="Arial"/>
        </w:rPr>
        <w:t xml:space="preserve">Public universities </w:t>
      </w:r>
      <w:r w:rsidRPr="00A9250B">
        <w:rPr>
          <w:rFonts w:ascii="Aptos" w:hAnsi="Aptos" w:cs="Arial"/>
        </w:rPr>
        <w:t>will receive</w:t>
      </w:r>
      <w:r w:rsidR="003726F9">
        <w:rPr>
          <w:rFonts w:ascii="Aptos" w:hAnsi="Aptos" w:cs="Arial"/>
        </w:rPr>
        <w:t xml:space="preserve"> correspondence</w:t>
      </w:r>
      <w:r w:rsidRPr="001D2E4C">
        <w:rPr>
          <w:rFonts w:ascii="Aptos" w:hAnsi="Aptos" w:cs="Arial"/>
        </w:rPr>
        <w:t xml:space="preserve"> from the department inviting them to nominate their affiliated EUPP. </w:t>
      </w:r>
      <w:r w:rsidR="00870D37">
        <w:rPr>
          <w:rFonts w:ascii="Aptos" w:hAnsi="Aptos" w:cs="Arial"/>
        </w:rPr>
        <w:t xml:space="preserve">Provided the </w:t>
      </w:r>
      <w:r w:rsidR="00203B95">
        <w:rPr>
          <w:rFonts w:ascii="Aptos" w:hAnsi="Aptos" w:cs="Arial"/>
        </w:rPr>
        <w:t>nominated EUPP satisfies the criteria outlined in the definition</w:t>
      </w:r>
      <w:r w:rsidR="007C3A7C">
        <w:rPr>
          <w:rFonts w:ascii="Aptos" w:hAnsi="Aptos" w:cs="Arial"/>
        </w:rPr>
        <w:t xml:space="preserve">, the department will apply the NOSC exemption </w:t>
      </w:r>
      <w:r w:rsidR="00E06377">
        <w:rPr>
          <w:rFonts w:ascii="Aptos" w:hAnsi="Aptos" w:cs="Arial"/>
        </w:rPr>
        <w:t xml:space="preserve">upon the student’s commencement at the affiliated university. </w:t>
      </w:r>
    </w:p>
    <w:p w14:paraId="2CCFDF00" w14:textId="0280F142" w:rsidR="001D2E4C" w:rsidRPr="001D2E4C" w:rsidRDefault="00E06377" w:rsidP="001D2E4C">
      <w:pPr>
        <w:rPr>
          <w:rFonts w:ascii="Aptos" w:hAnsi="Aptos" w:cs="Arial"/>
        </w:rPr>
      </w:pPr>
      <w:r w:rsidRPr="00E06377">
        <w:rPr>
          <w:rFonts w:ascii="Aptos" w:hAnsi="Aptos" w:cs="Arial"/>
        </w:rPr>
        <w:t xml:space="preserve">Please note that the department may conduct further enquiries to ensure the nominated pathway relationship satisfies the definition for the purpose of the NOSC exemption. </w:t>
      </w:r>
    </w:p>
    <w:sectPr w:rsidR="001D2E4C" w:rsidRPr="001D2E4C" w:rsidSect="00D86284">
      <w:headerReference w:type="even" r:id="rId15"/>
      <w:headerReference w:type="default" r:id="rId16"/>
      <w:footerReference w:type="even" r:id="rId17"/>
      <w:footerReference w:type="default" r:id="rId18"/>
      <w:headerReference w:type="firs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F02E" w14:textId="77777777" w:rsidR="002B1F9F" w:rsidRDefault="002B1F9F" w:rsidP="000A6228">
      <w:pPr>
        <w:spacing w:after="0" w:line="240" w:lineRule="auto"/>
      </w:pPr>
      <w:r>
        <w:separator/>
      </w:r>
    </w:p>
  </w:endnote>
  <w:endnote w:type="continuationSeparator" w:id="0">
    <w:p w14:paraId="79804EDB" w14:textId="77777777" w:rsidR="002B1F9F" w:rsidRDefault="002B1F9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FBA4" w14:textId="77777777" w:rsidR="00502614" w:rsidRDefault="00502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5B11" w14:textId="77777777" w:rsidR="00D86284" w:rsidRDefault="00D86284">
    <w:pPr>
      <w:pStyle w:val="Footer"/>
    </w:pPr>
    <w:r>
      <w:rPr>
        <w:noProof/>
      </w:rPr>
      <w:drawing>
        <wp:anchor distT="0" distB="0" distL="114300" distR="114300" simplePos="0" relativeHeight="251657216" behindDoc="1" locked="1" layoutInCell="1" allowOverlap="1" wp14:anchorId="7F523BC3" wp14:editId="10CBAE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7959" w14:textId="77777777" w:rsidR="00502614" w:rsidRDefault="0050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8517" w14:textId="77777777" w:rsidR="002B1F9F" w:rsidRDefault="002B1F9F" w:rsidP="000A6228">
      <w:pPr>
        <w:spacing w:after="0" w:line="240" w:lineRule="auto"/>
      </w:pPr>
      <w:r>
        <w:separator/>
      </w:r>
    </w:p>
  </w:footnote>
  <w:footnote w:type="continuationSeparator" w:id="0">
    <w:p w14:paraId="066C8B98" w14:textId="77777777" w:rsidR="002B1F9F" w:rsidRDefault="002B1F9F"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CB55" w14:textId="77777777" w:rsidR="00502614" w:rsidRDefault="00502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2352" w14:textId="14C7D327" w:rsidR="00502614" w:rsidRDefault="00502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E1C1" w14:textId="77777777" w:rsidR="00502614" w:rsidRDefault="0050261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N3tr2c6" int2:invalidationBookmarkName="" int2:hashCode="OXScOApMYaCjmU" int2:id="Ms534oB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5314B4"/>
    <w:multiLevelType w:val="hybridMultilevel"/>
    <w:tmpl w:val="5B926D5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B190B63"/>
    <w:multiLevelType w:val="hybridMultilevel"/>
    <w:tmpl w:val="FCFE36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3D5717"/>
    <w:multiLevelType w:val="multilevel"/>
    <w:tmpl w:val="897CB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151DA"/>
    <w:multiLevelType w:val="multilevel"/>
    <w:tmpl w:val="ABA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0"/>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1"/>
  </w:num>
  <w:num w:numId="17" w16cid:durableId="2029670193">
    <w:abstractNumId w:val="16"/>
  </w:num>
  <w:num w:numId="18" w16cid:durableId="887570554">
    <w:abstractNumId w:val="8"/>
  </w:num>
  <w:num w:numId="19" w16cid:durableId="147789394">
    <w:abstractNumId w:val="19"/>
  </w:num>
  <w:num w:numId="20" w16cid:durableId="1822229831">
    <w:abstractNumId w:val="13"/>
  </w:num>
  <w:num w:numId="21" w16cid:durableId="1631127319">
    <w:abstractNumId w:val="12"/>
  </w:num>
  <w:num w:numId="22" w16cid:durableId="1674911482">
    <w:abstractNumId w:val="17"/>
  </w:num>
  <w:num w:numId="23" w16cid:durableId="1971739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8F5"/>
    <w:rsid w:val="00011FCA"/>
    <w:rsid w:val="00012366"/>
    <w:rsid w:val="00013171"/>
    <w:rsid w:val="00016AAB"/>
    <w:rsid w:val="00021FBE"/>
    <w:rsid w:val="00030454"/>
    <w:rsid w:val="00032357"/>
    <w:rsid w:val="000405EB"/>
    <w:rsid w:val="000521D7"/>
    <w:rsid w:val="000566D2"/>
    <w:rsid w:val="00075C56"/>
    <w:rsid w:val="000815E8"/>
    <w:rsid w:val="00081A0B"/>
    <w:rsid w:val="00094F47"/>
    <w:rsid w:val="000A0B58"/>
    <w:rsid w:val="000A6228"/>
    <w:rsid w:val="000B5D40"/>
    <w:rsid w:val="000B7EC6"/>
    <w:rsid w:val="000D4E56"/>
    <w:rsid w:val="000D6911"/>
    <w:rsid w:val="000D6B65"/>
    <w:rsid w:val="00107D87"/>
    <w:rsid w:val="00107DD5"/>
    <w:rsid w:val="0012343A"/>
    <w:rsid w:val="00127278"/>
    <w:rsid w:val="00127E80"/>
    <w:rsid w:val="00133B8D"/>
    <w:rsid w:val="0013611E"/>
    <w:rsid w:val="00142518"/>
    <w:rsid w:val="00147AE5"/>
    <w:rsid w:val="001515BF"/>
    <w:rsid w:val="0015263B"/>
    <w:rsid w:val="001539E2"/>
    <w:rsid w:val="00164265"/>
    <w:rsid w:val="0017134D"/>
    <w:rsid w:val="00192BC9"/>
    <w:rsid w:val="00193FC7"/>
    <w:rsid w:val="00194AD6"/>
    <w:rsid w:val="001A48DA"/>
    <w:rsid w:val="001A6C68"/>
    <w:rsid w:val="001C1523"/>
    <w:rsid w:val="001D2E4C"/>
    <w:rsid w:val="001D59EE"/>
    <w:rsid w:val="001E1109"/>
    <w:rsid w:val="001E11D0"/>
    <w:rsid w:val="001E1BBD"/>
    <w:rsid w:val="001F03A5"/>
    <w:rsid w:val="00203B95"/>
    <w:rsid w:val="00203C3A"/>
    <w:rsid w:val="0022053B"/>
    <w:rsid w:val="00221D8F"/>
    <w:rsid w:val="002272DB"/>
    <w:rsid w:val="002536B3"/>
    <w:rsid w:val="00270FE6"/>
    <w:rsid w:val="00276047"/>
    <w:rsid w:val="00291DAD"/>
    <w:rsid w:val="00297E03"/>
    <w:rsid w:val="002A4458"/>
    <w:rsid w:val="002A601C"/>
    <w:rsid w:val="002B1F9F"/>
    <w:rsid w:val="002D589A"/>
    <w:rsid w:val="002E2F1B"/>
    <w:rsid w:val="002E491A"/>
    <w:rsid w:val="002F46D4"/>
    <w:rsid w:val="002F7D37"/>
    <w:rsid w:val="00305FB1"/>
    <w:rsid w:val="003245C7"/>
    <w:rsid w:val="0034599A"/>
    <w:rsid w:val="00363142"/>
    <w:rsid w:val="003726F9"/>
    <w:rsid w:val="0037395B"/>
    <w:rsid w:val="00375A50"/>
    <w:rsid w:val="003811A2"/>
    <w:rsid w:val="003832D9"/>
    <w:rsid w:val="003913AA"/>
    <w:rsid w:val="003A0D3D"/>
    <w:rsid w:val="003A6C35"/>
    <w:rsid w:val="003A70F0"/>
    <w:rsid w:val="003B2FB9"/>
    <w:rsid w:val="003B51AB"/>
    <w:rsid w:val="003F3A12"/>
    <w:rsid w:val="0040155D"/>
    <w:rsid w:val="00410229"/>
    <w:rsid w:val="0041713E"/>
    <w:rsid w:val="004216EF"/>
    <w:rsid w:val="00421D3F"/>
    <w:rsid w:val="00423785"/>
    <w:rsid w:val="00434284"/>
    <w:rsid w:val="00435682"/>
    <w:rsid w:val="00443B71"/>
    <w:rsid w:val="00450CF8"/>
    <w:rsid w:val="00452D26"/>
    <w:rsid w:val="00455201"/>
    <w:rsid w:val="004638B7"/>
    <w:rsid w:val="004710C0"/>
    <w:rsid w:val="00481C4F"/>
    <w:rsid w:val="004A06CD"/>
    <w:rsid w:val="004A17E2"/>
    <w:rsid w:val="004A4B6F"/>
    <w:rsid w:val="004A4CF9"/>
    <w:rsid w:val="004C475A"/>
    <w:rsid w:val="004C56CD"/>
    <w:rsid w:val="004D2965"/>
    <w:rsid w:val="004D2C54"/>
    <w:rsid w:val="004D2D9D"/>
    <w:rsid w:val="00502614"/>
    <w:rsid w:val="00507B22"/>
    <w:rsid w:val="00533003"/>
    <w:rsid w:val="00561B03"/>
    <w:rsid w:val="00575263"/>
    <w:rsid w:val="00584787"/>
    <w:rsid w:val="00585BCD"/>
    <w:rsid w:val="00595801"/>
    <w:rsid w:val="005A75C9"/>
    <w:rsid w:val="005B187D"/>
    <w:rsid w:val="005B2CB4"/>
    <w:rsid w:val="005B3BDE"/>
    <w:rsid w:val="005B478C"/>
    <w:rsid w:val="005C3423"/>
    <w:rsid w:val="00613D40"/>
    <w:rsid w:val="006151E3"/>
    <w:rsid w:val="006232DC"/>
    <w:rsid w:val="0063094F"/>
    <w:rsid w:val="00636185"/>
    <w:rsid w:val="006371A6"/>
    <w:rsid w:val="006379E7"/>
    <w:rsid w:val="00637CEB"/>
    <w:rsid w:val="00643F91"/>
    <w:rsid w:val="00654749"/>
    <w:rsid w:val="00657919"/>
    <w:rsid w:val="00661C00"/>
    <w:rsid w:val="006761BE"/>
    <w:rsid w:val="0067756B"/>
    <w:rsid w:val="0068553A"/>
    <w:rsid w:val="006A55C4"/>
    <w:rsid w:val="006B56D5"/>
    <w:rsid w:val="006D0F10"/>
    <w:rsid w:val="006D18E8"/>
    <w:rsid w:val="006D67F3"/>
    <w:rsid w:val="006E2888"/>
    <w:rsid w:val="006E6643"/>
    <w:rsid w:val="006F1FFF"/>
    <w:rsid w:val="006F6D10"/>
    <w:rsid w:val="00707E70"/>
    <w:rsid w:val="007102C0"/>
    <w:rsid w:val="007111B2"/>
    <w:rsid w:val="00712B94"/>
    <w:rsid w:val="00721376"/>
    <w:rsid w:val="00730117"/>
    <w:rsid w:val="00740EA3"/>
    <w:rsid w:val="00753CBB"/>
    <w:rsid w:val="00763EDF"/>
    <w:rsid w:val="00785B1E"/>
    <w:rsid w:val="00793089"/>
    <w:rsid w:val="007A1B13"/>
    <w:rsid w:val="007B2CA1"/>
    <w:rsid w:val="007B33AC"/>
    <w:rsid w:val="007C3A7C"/>
    <w:rsid w:val="007D0ABC"/>
    <w:rsid w:val="007E3C2A"/>
    <w:rsid w:val="007F381B"/>
    <w:rsid w:val="00800547"/>
    <w:rsid w:val="008028EE"/>
    <w:rsid w:val="008042F5"/>
    <w:rsid w:val="00830498"/>
    <w:rsid w:val="008321F1"/>
    <w:rsid w:val="008418F6"/>
    <w:rsid w:val="008646F3"/>
    <w:rsid w:val="00867FDF"/>
    <w:rsid w:val="00870045"/>
    <w:rsid w:val="00870D37"/>
    <w:rsid w:val="00884F59"/>
    <w:rsid w:val="00886959"/>
    <w:rsid w:val="00893A34"/>
    <w:rsid w:val="008A36E1"/>
    <w:rsid w:val="008A37A7"/>
    <w:rsid w:val="008B0736"/>
    <w:rsid w:val="008C1EAD"/>
    <w:rsid w:val="008D00D9"/>
    <w:rsid w:val="008E70F5"/>
    <w:rsid w:val="008F07CF"/>
    <w:rsid w:val="008F23F4"/>
    <w:rsid w:val="008F34C3"/>
    <w:rsid w:val="008F3D63"/>
    <w:rsid w:val="0091289E"/>
    <w:rsid w:val="009269D8"/>
    <w:rsid w:val="0093084E"/>
    <w:rsid w:val="009315BA"/>
    <w:rsid w:val="00941B2D"/>
    <w:rsid w:val="00945E7A"/>
    <w:rsid w:val="00947623"/>
    <w:rsid w:val="009506FE"/>
    <w:rsid w:val="00950B06"/>
    <w:rsid w:val="00957B08"/>
    <w:rsid w:val="00970069"/>
    <w:rsid w:val="00971524"/>
    <w:rsid w:val="009721EB"/>
    <w:rsid w:val="00974E3D"/>
    <w:rsid w:val="00976829"/>
    <w:rsid w:val="009A7AA1"/>
    <w:rsid w:val="009B706E"/>
    <w:rsid w:val="009C423A"/>
    <w:rsid w:val="009D3B07"/>
    <w:rsid w:val="009D43B7"/>
    <w:rsid w:val="009E20E2"/>
    <w:rsid w:val="009E49A2"/>
    <w:rsid w:val="009E6326"/>
    <w:rsid w:val="009E79ED"/>
    <w:rsid w:val="009F5940"/>
    <w:rsid w:val="00A04FDB"/>
    <w:rsid w:val="00A054B3"/>
    <w:rsid w:val="00A07596"/>
    <w:rsid w:val="00A17A08"/>
    <w:rsid w:val="00A36072"/>
    <w:rsid w:val="00A53564"/>
    <w:rsid w:val="00A5548F"/>
    <w:rsid w:val="00A60673"/>
    <w:rsid w:val="00A61C67"/>
    <w:rsid w:val="00A9250B"/>
    <w:rsid w:val="00AA2D1E"/>
    <w:rsid w:val="00AC1872"/>
    <w:rsid w:val="00AC32BA"/>
    <w:rsid w:val="00AC4C11"/>
    <w:rsid w:val="00AC7CAA"/>
    <w:rsid w:val="00AD316A"/>
    <w:rsid w:val="00AD631F"/>
    <w:rsid w:val="00AE0C74"/>
    <w:rsid w:val="00AE21FF"/>
    <w:rsid w:val="00AE373B"/>
    <w:rsid w:val="00AE7E4E"/>
    <w:rsid w:val="00AF0DF6"/>
    <w:rsid w:val="00AF1F18"/>
    <w:rsid w:val="00AF4D54"/>
    <w:rsid w:val="00B06FCD"/>
    <w:rsid w:val="00B0726E"/>
    <w:rsid w:val="00B17511"/>
    <w:rsid w:val="00B17658"/>
    <w:rsid w:val="00B17A64"/>
    <w:rsid w:val="00B219D1"/>
    <w:rsid w:val="00B35C45"/>
    <w:rsid w:val="00B4455D"/>
    <w:rsid w:val="00B7361B"/>
    <w:rsid w:val="00B73C24"/>
    <w:rsid w:val="00B81FA4"/>
    <w:rsid w:val="00B8794C"/>
    <w:rsid w:val="00B91211"/>
    <w:rsid w:val="00B92B74"/>
    <w:rsid w:val="00B93F52"/>
    <w:rsid w:val="00B95EF4"/>
    <w:rsid w:val="00BA0379"/>
    <w:rsid w:val="00BA0B21"/>
    <w:rsid w:val="00BA4B98"/>
    <w:rsid w:val="00BB2C09"/>
    <w:rsid w:val="00BB6509"/>
    <w:rsid w:val="00BB6F5C"/>
    <w:rsid w:val="00BC248C"/>
    <w:rsid w:val="00BC61AF"/>
    <w:rsid w:val="00BD086B"/>
    <w:rsid w:val="00BE6841"/>
    <w:rsid w:val="00C01EC0"/>
    <w:rsid w:val="00C02BEA"/>
    <w:rsid w:val="00C1536F"/>
    <w:rsid w:val="00C156B4"/>
    <w:rsid w:val="00C17BBB"/>
    <w:rsid w:val="00C244EE"/>
    <w:rsid w:val="00C513C5"/>
    <w:rsid w:val="00C648F7"/>
    <w:rsid w:val="00C6660D"/>
    <w:rsid w:val="00C6752B"/>
    <w:rsid w:val="00C72224"/>
    <w:rsid w:val="00C75706"/>
    <w:rsid w:val="00C86142"/>
    <w:rsid w:val="00C94C02"/>
    <w:rsid w:val="00CA4815"/>
    <w:rsid w:val="00CB22AE"/>
    <w:rsid w:val="00CB3F04"/>
    <w:rsid w:val="00CB6FD6"/>
    <w:rsid w:val="00CD1F64"/>
    <w:rsid w:val="00CD2375"/>
    <w:rsid w:val="00CF3925"/>
    <w:rsid w:val="00CF4A92"/>
    <w:rsid w:val="00CF5BBC"/>
    <w:rsid w:val="00CF6562"/>
    <w:rsid w:val="00D105E9"/>
    <w:rsid w:val="00D255E7"/>
    <w:rsid w:val="00D32678"/>
    <w:rsid w:val="00D54F05"/>
    <w:rsid w:val="00D5688A"/>
    <w:rsid w:val="00D62C81"/>
    <w:rsid w:val="00D82144"/>
    <w:rsid w:val="00D86284"/>
    <w:rsid w:val="00D86C3A"/>
    <w:rsid w:val="00DA1191"/>
    <w:rsid w:val="00DA1954"/>
    <w:rsid w:val="00DA4252"/>
    <w:rsid w:val="00DC2263"/>
    <w:rsid w:val="00DC23D8"/>
    <w:rsid w:val="00DC32C7"/>
    <w:rsid w:val="00DC5980"/>
    <w:rsid w:val="00DC5E13"/>
    <w:rsid w:val="00DD057C"/>
    <w:rsid w:val="00DD0651"/>
    <w:rsid w:val="00DD2B46"/>
    <w:rsid w:val="00DE3F0C"/>
    <w:rsid w:val="00DE4D33"/>
    <w:rsid w:val="00DE5CB0"/>
    <w:rsid w:val="00DF2CCA"/>
    <w:rsid w:val="00DF35AE"/>
    <w:rsid w:val="00E06377"/>
    <w:rsid w:val="00E06ED6"/>
    <w:rsid w:val="00E4035C"/>
    <w:rsid w:val="00E46C0E"/>
    <w:rsid w:val="00E529E5"/>
    <w:rsid w:val="00E5343C"/>
    <w:rsid w:val="00E82830"/>
    <w:rsid w:val="00E90F54"/>
    <w:rsid w:val="00E9458F"/>
    <w:rsid w:val="00EA2937"/>
    <w:rsid w:val="00EB088B"/>
    <w:rsid w:val="00EB4C2F"/>
    <w:rsid w:val="00ED0DDF"/>
    <w:rsid w:val="00ED30EA"/>
    <w:rsid w:val="00ED3AC4"/>
    <w:rsid w:val="00EE78DA"/>
    <w:rsid w:val="00EF6F09"/>
    <w:rsid w:val="00F00F8B"/>
    <w:rsid w:val="00F1000D"/>
    <w:rsid w:val="00F23981"/>
    <w:rsid w:val="00F24EF3"/>
    <w:rsid w:val="00F311A4"/>
    <w:rsid w:val="00F3790A"/>
    <w:rsid w:val="00F51910"/>
    <w:rsid w:val="00F80E76"/>
    <w:rsid w:val="00F82C2C"/>
    <w:rsid w:val="00F83A00"/>
    <w:rsid w:val="00F85913"/>
    <w:rsid w:val="00F86622"/>
    <w:rsid w:val="00F92E56"/>
    <w:rsid w:val="00FA770F"/>
    <w:rsid w:val="00FD4D6E"/>
    <w:rsid w:val="00FD5DFA"/>
    <w:rsid w:val="00FD6383"/>
    <w:rsid w:val="00FD6FFB"/>
    <w:rsid w:val="00FF178F"/>
    <w:rsid w:val="00FF5BC8"/>
    <w:rsid w:val="0D982FBE"/>
    <w:rsid w:val="1B44A0FA"/>
    <w:rsid w:val="20CE744C"/>
    <w:rsid w:val="2158BE58"/>
    <w:rsid w:val="27C8D609"/>
    <w:rsid w:val="2CB48285"/>
    <w:rsid w:val="2FC61E15"/>
    <w:rsid w:val="552B716B"/>
    <w:rsid w:val="60E6D067"/>
    <w:rsid w:val="7C60869E"/>
    <w:rsid w:val="7F4D05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2ECA"/>
  <w15:chartTrackingRefBased/>
  <w15:docId w15:val="{F5CA2A7A-BC3D-4F50-9CEE-EF264A23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1D2E4C"/>
    <w:pPr>
      <w:spacing w:after="160" w:line="278" w:lineRule="auto"/>
      <w:ind w:left="720"/>
      <w:contextualSpacing/>
    </w:pPr>
    <w:rPr>
      <w:kern w:val="2"/>
      <w:sz w:val="24"/>
      <w:szCs w:val="24"/>
      <w14:ligatures w14:val="standardContextual"/>
    </w:rPr>
  </w:style>
  <w:style w:type="paragraph" w:styleId="CommentText">
    <w:name w:val="annotation text"/>
    <w:basedOn w:val="Normal"/>
    <w:link w:val="CommentTextChar"/>
    <w:uiPriority w:val="99"/>
    <w:unhideWhenUsed/>
    <w:rsid w:val="00193FC7"/>
    <w:pPr>
      <w:spacing w:line="240" w:lineRule="auto"/>
    </w:pPr>
    <w:rPr>
      <w:sz w:val="20"/>
      <w:szCs w:val="20"/>
    </w:rPr>
  </w:style>
  <w:style w:type="character" w:customStyle="1" w:styleId="CommentTextChar">
    <w:name w:val="Comment Text Char"/>
    <w:basedOn w:val="DefaultParagraphFont"/>
    <w:link w:val="CommentText"/>
    <w:uiPriority w:val="99"/>
    <w:rsid w:val="00193FC7"/>
    <w:rPr>
      <w:sz w:val="20"/>
      <w:szCs w:val="20"/>
    </w:rPr>
  </w:style>
  <w:style w:type="character" w:styleId="CommentReference">
    <w:name w:val="annotation reference"/>
    <w:basedOn w:val="DefaultParagraphFont"/>
    <w:uiPriority w:val="99"/>
    <w:semiHidden/>
    <w:unhideWhenUsed/>
    <w:rsid w:val="00193FC7"/>
    <w:rPr>
      <w:sz w:val="16"/>
      <w:szCs w:val="16"/>
    </w:rPr>
  </w:style>
  <w:style w:type="paragraph" w:styleId="CommentSubject">
    <w:name w:val="annotation subject"/>
    <w:basedOn w:val="CommentText"/>
    <w:next w:val="CommentText"/>
    <w:link w:val="CommentSubjectChar"/>
    <w:uiPriority w:val="99"/>
    <w:semiHidden/>
    <w:unhideWhenUsed/>
    <w:rsid w:val="006E2888"/>
    <w:rPr>
      <w:b/>
      <w:bCs/>
    </w:rPr>
  </w:style>
  <w:style w:type="character" w:customStyle="1" w:styleId="CommentSubjectChar">
    <w:name w:val="Comment Subject Char"/>
    <w:basedOn w:val="CommentTextChar"/>
    <w:link w:val="CommentSubject"/>
    <w:uiPriority w:val="99"/>
    <w:semiHidden/>
    <w:rsid w:val="006E2888"/>
    <w:rPr>
      <w:b/>
      <w:bCs/>
      <w:sz w:val="20"/>
      <w:szCs w:val="20"/>
    </w:rPr>
  </w:style>
  <w:style w:type="paragraph" w:styleId="Revision">
    <w:name w:val="Revision"/>
    <w:hidden/>
    <w:uiPriority w:val="99"/>
    <w:semiHidden/>
    <w:rsid w:val="00912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qsa.gov.au/how-we-regulate/higher-education-standards-framework-2021"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6AAB"/>
    <w:rsid w:val="000D6911"/>
    <w:rsid w:val="002B3ACA"/>
    <w:rsid w:val="00396406"/>
    <w:rsid w:val="003A70F0"/>
    <w:rsid w:val="00455201"/>
    <w:rsid w:val="004D1CE4"/>
    <w:rsid w:val="00637CEB"/>
    <w:rsid w:val="006617CF"/>
    <w:rsid w:val="00785B1E"/>
    <w:rsid w:val="007B33AC"/>
    <w:rsid w:val="007C5098"/>
    <w:rsid w:val="00916BB6"/>
    <w:rsid w:val="00993A5E"/>
    <w:rsid w:val="009E6326"/>
    <w:rsid w:val="00AA7D99"/>
    <w:rsid w:val="00AE0C74"/>
    <w:rsid w:val="00AF1A42"/>
    <w:rsid w:val="00BA2943"/>
    <w:rsid w:val="00BA4B98"/>
    <w:rsid w:val="00BF49B1"/>
    <w:rsid w:val="00C32E2E"/>
    <w:rsid w:val="00C94C02"/>
    <w:rsid w:val="00DC32C7"/>
    <w:rsid w:val="00DF2B5A"/>
    <w:rsid w:val="00EA2937"/>
    <w:rsid w:val="00EB088B"/>
    <w:rsid w:val="00F80E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C6B4551C74B43A0A414917A5C2AD7" ma:contentTypeVersion="14" ma:contentTypeDescription="Create a new document." ma:contentTypeScope="" ma:versionID="bff0832be8db75d251e36c5146e8545e">
  <xsd:schema xmlns:xsd="http://www.w3.org/2001/XMLSchema" xmlns:xs="http://www.w3.org/2001/XMLSchema" xmlns:p="http://schemas.microsoft.com/office/2006/metadata/properties" xmlns:ns2="a601612a-e7e8-4129-b3c8-cdf71d152908" xmlns:ns3="7eb330c0-6f3c-486c-8beb-81d3f2e00fb0" targetNamespace="http://schemas.microsoft.com/office/2006/metadata/properties" ma:root="true" ma:fieldsID="7911edcbff57761fa04c12523edd76aa" ns2:_="" ns3:_="">
    <xsd:import namespace="a601612a-e7e8-4129-b3c8-cdf71d152908"/>
    <xsd:import namespace="7eb330c0-6f3c-486c-8beb-81d3f2e00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1612a-e7e8-4129-b3c8-cdf71d1529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ddcc61c-b9fb-4498-b321-bdc7826c6494}" ma:internalName="TaxCatchAll" ma:showField="CatchAllData" ma:web="a601612a-e7e8-4129-b3c8-cdf71d152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330c0-6f3c-486c-8beb-81d3f2e00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b330c0-6f3c-486c-8beb-81d3f2e00fb0">
      <Terms xmlns="http://schemas.microsoft.com/office/infopath/2007/PartnerControls"/>
    </lcf76f155ced4ddcb4097134ff3c332f>
    <TaxCatchAll xmlns="a601612a-e7e8-4129-b3c8-cdf71d152908"/>
  </documentManagement>
</p:properties>
</file>

<file path=customXml/itemProps1.xml><?xml version="1.0" encoding="utf-8"?>
<ds:datastoreItem xmlns:ds="http://schemas.openxmlformats.org/officeDocument/2006/customXml" ds:itemID="{02FF436C-ADDC-4A63-B918-50B2ECD61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1612a-e7e8-4129-b3c8-cdf71d152908"/>
    <ds:schemaRef ds:uri="7eb330c0-6f3c-486c-8beb-81d3f2e00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E0A6EA0-ED5C-4A04-B5B9-A20649549746}">
  <ds:schemaRefs>
    <ds:schemaRef ds:uri="http://schemas.microsoft.com/sharepoint/v3/contenttype/forms"/>
  </ds:schemaRefs>
</ds:datastoreItem>
</file>

<file path=customXml/itemProps4.xml><?xml version="1.0" encoding="utf-8"?>
<ds:datastoreItem xmlns:ds="http://schemas.openxmlformats.org/officeDocument/2006/customXml" ds:itemID="{43D3A039-A37A-4036-9CCA-C23D9C5B4E6B}">
  <ds:schemaRefs>
    <ds:schemaRef ds:uri="7eb330c0-6f3c-486c-8beb-81d3f2e00fb0"/>
    <ds:schemaRef ds:uri="a601612a-e7e8-4129-b3c8-cdf71d15290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Factsheet – Recognition of Pathways Arrangements</vt:lpstr>
    </vt:vector>
  </TitlesOfParts>
  <Company/>
  <LinksUpToDate>false</LinksUpToDate>
  <CharactersWithSpaces>6760</CharactersWithSpaces>
  <SharedDoc>false</SharedDoc>
  <HLinks>
    <vt:vector size="6" baseType="variant">
      <vt:variant>
        <vt:i4>6750314</vt:i4>
      </vt:variant>
      <vt:variant>
        <vt:i4>0</vt:i4>
      </vt:variant>
      <vt:variant>
        <vt:i4>0</vt:i4>
      </vt:variant>
      <vt:variant>
        <vt:i4>5</vt:i4>
      </vt:variant>
      <vt:variant>
        <vt:lpwstr>https://www.teqsa.gov.au/how-we-regulate/higher-education-standards-framework-2021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Recognition of Pathways Arrangements</dc:title>
  <dc:subject/>
  <dc:creator>RUSSELL-PENNY,Thomas</dc:creator>
  <cp:keywords/>
  <dc:description/>
  <cp:lastModifiedBy>DOWNEY,Grace</cp:lastModifiedBy>
  <cp:revision>2</cp:revision>
  <cp:lastPrinted>2025-09-16T06:28:00Z</cp:lastPrinted>
  <dcterms:created xsi:type="dcterms:W3CDTF">2025-09-19T02:08:00Z</dcterms:created>
  <dcterms:modified xsi:type="dcterms:W3CDTF">2025-09-19T02:08:00Z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0x010100EE9C6B4551C74B43A0A414917A5C2AD7</vt:lpwstr>
  </property>
  <property fmtid="{D5CDD505-2E9C-101B-9397-08002B2CF9AE}" pid="10" name="MediaServiceImageTags">
    <vt:lpwstr/>
  </property>
</Properties>
</file>